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58DAFE">
      <w:pPr>
        <w:pStyle w:val="813"/>
        <w:tabs>
          <w:tab w:val="left" w:pos="3360"/>
        </w:tabs>
        <w:spacing w:before="0" w:after="0" w:line="360" w:lineRule="auto"/>
        <w:jc w:val="center"/>
        <w:rPr>
          <w:rFonts w:ascii="Times New Roman" w:hAnsi="Times New Roman"/>
          <w:b w:val="0"/>
          <w:bCs w:val="0"/>
          <w:color w:val="000000"/>
          <w:kern w:val="2"/>
          <w:sz w:val="24"/>
          <w:szCs w:val="22"/>
        </w:rPr>
      </w:pPr>
      <w:bookmarkStart w:id="0" w:name="_Ref499824473"/>
      <w:bookmarkStart w:id="1" w:name="_Toc26895337"/>
      <w:bookmarkStart w:id="2" w:name="_Toc449353897"/>
      <w:bookmarkStart w:id="3" w:name="_Toc21961446"/>
      <w:bookmarkStart w:id="4" w:name="_Toc15499329"/>
      <w:bookmarkStart w:id="5" w:name="_Toc450674582"/>
      <w:bookmarkStart w:id="6" w:name="_Toc15499569"/>
      <w:bookmarkStart w:id="7" w:name="_Toc461100447"/>
      <w:bookmarkStart w:id="8" w:name="_Toc458021318"/>
      <w:bookmarkStart w:id="9" w:name="_Toc321922060"/>
      <w:bookmarkStart w:id="10" w:name="_Toc458070887"/>
      <w:bookmarkStart w:id="11" w:name="_Toc477144605"/>
      <w:bookmarkStart w:id="12" w:name="_Toc440766107"/>
      <w:bookmarkStart w:id="13" w:name="_Toc500376016"/>
      <w:bookmarkStart w:id="14" w:name="_Toc440766303"/>
      <w:bookmarkStart w:id="15" w:name="_Toc489922472"/>
      <w:bookmarkStart w:id="16" w:name="_Toc29090_WPSOffice_Level2"/>
    </w:p>
    <w:p w14:paraId="1CAD5199">
      <w:pPr>
        <w:pStyle w:val="813"/>
        <w:tabs>
          <w:tab w:val="left" w:pos="3360"/>
        </w:tabs>
        <w:spacing w:before="0" w:after="0" w:line="360" w:lineRule="auto"/>
        <w:jc w:val="center"/>
        <w:rPr>
          <w:rFonts w:ascii="Times New Roman" w:hAnsi="Times New Roman"/>
          <w:color w:val="000000"/>
        </w:rPr>
      </w:pPr>
      <w:bookmarkStart w:id="17" w:name="_Toc29401"/>
      <w:r>
        <w:rPr>
          <w:rFonts w:ascii="Times New Roman" w:hAnsi="Times New Roman"/>
          <w:color w:val="000000"/>
          <w:lang w:val="zh-CN"/>
        </w:rPr>
        <w:t>目      录</w:t>
      </w:r>
      <w:bookmarkEnd w:id="17"/>
    </w:p>
    <w:p w14:paraId="4041C5E4">
      <w:pPr>
        <w:pStyle w:val="49"/>
        <w:tabs>
          <w:tab w:val="right" w:leader="dot" w:pos="8788"/>
          <w:tab w:val="clear" w:pos="8296"/>
        </w:tabs>
        <w:rPr>
          <w:rFonts w:ascii="宋体" w:hAnsi="宋体" w:eastAsia="宋体" w:cs="宋体"/>
          <w:color w:val="000000"/>
          <w:szCs w:val="24"/>
        </w:rPr>
      </w:pP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TOC \o "1-2" \h \z \u </w:instrText>
      </w:r>
      <w:r>
        <w:rPr>
          <w:rFonts w:hint="eastAsia" w:ascii="宋体" w:hAnsi="宋体" w:eastAsia="宋体" w:cs="宋体"/>
          <w:color w:val="000000"/>
          <w:szCs w:val="24"/>
        </w:rPr>
        <w:fldChar w:fldCharType="separate"/>
      </w:r>
      <w:r>
        <w:fldChar w:fldCharType="begin"/>
      </w:r>
      <w:r>
        <w:instrText xml:space="preserve"> HYPERLINK \l "_Toc6824" </w:instrText>
      </w:r>
      <w:r>
        <w:fldChar w:fldCharType="separate"/>
      </w:r>
      <w:r>
        <w:rPr>
          <w:rFonts w:hint="eastAsia" w:ascii="宋体" w:hAnsi="宋体" w:eastAsia="宋体" w:cs="宋体"/>
          <w:bCs/>
          <w:color w:val="000000"/>
          <w:szCs w:val="24"/>
        </w:rPr>
        <w:t>概  述</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_Toc6824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46D3D5F9">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"_Toc10954" </w:instrText>
      </w:r>
      <w:r>
        <w:fldChar w:fldCharType="separate"/>
      </w:r>
      <w:r>
        <w:rPr>
          <w:rFonts w:hint="eastAsia" w:ascii="宋体" w:hAnsi="宋体" w:eastAsia="宋体" w:cs="宋体"/>
          <w:bCs/>
          <w:color w:val="000000"/>
          <w:szCs w:val="24"/>
        </w:rPr>
        <w:t>一、建设项目由来及特点</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_Toc10954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360E7B4A">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"_Toc14497" </w:instrText>
      </w:r>
      <w:r>
        <w:fldChar w:fldCharType="separate"/>
      </w:r>
      <w:r>
        <w:rPr>
          <w:rFonts w:hint="eastAsia" w:ascii="宋体" w:hAnsi="宋体" w:eastAsia="宋体" w:cs="宋体"/>
          <w:color w:val="000000"/>
          <w:szCs w:val="24"/>
        </w:rPr>
        <w:t>二、环境影响评价工作过程</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_Toc14497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63DAE30E">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"_Toc5521" </w:instrText>
      </w:r>
      <w:r>
        <w:fldChar w:fldCharType="separate"/>
      </w:r>
      <w:r>
        <w:rPr>
          <w:rFonts w:hint="eastAsia" w:ascii="宋体" w:hAnsi="宋体" w:eastAsia="宋体" w:cs="宋体"/>
          <w:color w:val="000000"/>
          <w:szCs w:val="24"/>
        </w:rPr>
        <w:t>三、项目分析判定相关情况</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_Toc5521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2</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4C7CEB14">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"_Toc26581" </w:instrText>
      </w:r>
      <w:r>
        <w:fldChar w:fldCharType="separate"/>
      </w:r>
      <w:r>
        <w:rPr>
          <w:rFonts w:hint="eastAsia" w:ascii="宋体" w:hAnsi="宋体" w:eastAsia="宋体" w:cs="宋体"/>
          <w:color w:val="000000"/>
          <w:szCs w:val="24"/>
        </w:rPr>
        <w:t>四、关注的主要环境问题及环境影响</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_Toc26581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2</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1CCAC4CA">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"_Toc127" </w:instrText>
      </w:r>
      <w:r>
        <w:fldChar w:fldCharType="separate"/>
      </w:r>
      <w:r>
        <w:rPr>
          <w:rFonts w:hint="eastAsia" w:ascii="宋体" w:hAnsi="宋体" w:eastAsia="宋体" w:cs="宋体"/>
          <w:color w:val="000000"/>
          <w:szCs w:val="24"/>
        </w:rPr>
        <w:t>五、环境影响评价主要结论</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_Toc127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2</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5455EDEB">
      <w:pPr>
        <w:pStyle w:val="49"/>
        <w:tabs>
          <w:tab w:val="right" w:leader="dot" w:pos="8788"/>
          <w:tab w:val="clear" w:pos="8296"/>
        </w:tabs>
        <w:rPr>
          <w:rFonts w:ascii="宋体" w:hAnsi="宋体" w:eastAsia="宋体" w:cs="宋体"/>
          <w:color w:val="000000"/>
          <w:szCs w:val="24"/>
        </w:rPr>
      </w:pPr>
      <w:r>
        <w:fldChar w:fldCharType="begin"/>
      </w:r>
      <w:r>
        <w:instrText xml:space="preserve"> HYPERLINK \l "_Toc26637" </w:instrText>
      </w:r>
      <w:r>
        <w:fldChar w:fldCharType="separate"/>
      </w:r>
      <w:r>
        <w:rPr>
          <w:rFonts w:hint="eastAsia" w:ascii="宋体" w:hAnsi="宋体" w:eastAsia="宋体" w:cs="宋体"/>
          <w:color w:val="000000"/>
          <w:szCs w:val="24"/>
        </w:rPr>
        <w:t>1 总  则</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_Toc26637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4</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2132B029">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"_Toc15604" </w:instrText>
      </w:r>
      <w:r>
        <w:fldChar w:fldCharType="separate"/>
      </w:r>
      <w:r>
        <w:rPr>
          <w:rFonts w:hint="eastAsia" w:ascii="宋体" w:hAnsi="宋体" w:eastAsia="宋体" w:cs="宋体"/>
          <w:color w:val="000000"/>
          <w:szCs w:val="24"/>
        </w:rPr>
        <w:t>1.1 编制依据</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_Toc15604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4</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52AF6B19">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"_Toc31484" </w:instrText>
      </w:r>
      <w:r>
        <w:fldChar w:fldCharType="separate"/>
      </w:r>
      <w:r>
        <w:rPr>
          <w:rFonts w:hint="eastAsia" w:ascii="宋体" w:hAnsi="宋体" w:eastAsia="宋体" w:cs="宋体"/>
          <w:color w:val="000000"/>
          <w:szCs w:val="24"/>
        </w:rPr>
        <w:t>1.2 评价总体构思</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_Toc31484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8</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6F5C82E4">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"_Toc11357" </w:instrText>
      </w:r>
      <w:r>
        <w:fldChar w:fldCharType="separate"/>
      </w:r>
      <w:r>
        <w:rPr>
          <w:rFonts w:hint="eastAsia" w:ascii="宋体" w:hAnsi="宋体" w:eastAsia="宋体" w:cs="宋体"/>
          <w:color w:val="000000"/>
          <w:szCs w:val="24"/>
        </w:rPr>
        <w:t>1.3 评价时段、环境影响识别、评价因子与评价标准</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_Toc11357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9</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7A61EF84">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"_Toc12476" </w:instrText>
      </w:r>
      <w:r>
        <w:fldChar w:fldCharType="separate"/>
      </w:r>
      <w:r>
        <w:rPr>
          <w:rFonts w:hint="eastAsia" w:ascii="宋体" w:hAnsi="宋体" w:eastAsia="宋体" w:cs="宋体"/>
          <w:color w:val="000000"/>
          <w:szCs w:val="24"/>
        </w:rPr>
        <w:t>1.4 评价工作等级和范围</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_Toc12476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15</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29A55A60">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"_Toc2379" </w:instrText>
      </w:r>
      <w:r>
        <w:fldChar w:fldCharType="separate"/>
      </w:r>
      <w:r>
        <w:rPr>
          <w:rFonts w:hint="eastAsia" w:ascii="宋体" w:hAnsi="宋体" w:eastAsia="宋体" w:cs="宋体"/>
          <w:color w:val="000000"/>
          <w:szCs w:val="24"/>
        </w:rPr>
        <w:t>1.5 主要环境保护目标</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_Toc2379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18</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2042F4DB">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"_Toc272" </w:instrText>
      </w:r>
      <w:r>
        <w:fldChar w:fldCharType="separate"/>
      </w:r>
      <w:r>
        <w:rPr>
          <w:rFonts w:hint="eastAsia" w:ascii="宋体" w:hAnsi="宋体" w:eastAsia="宋体" w:cs="宋体"/>
          <w:color w:val="000000"/>
          <w:szCs w:val="24"/>
        </w:rPr>
        <w:t>1.6 相关政策及规划符合性分析</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_Toc272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20</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1C5DF7FE">
      <w:pPr>
        <w:pStyle w:val="49"/>
        <w:tabs>
          <w:tab w:val="right" w:leader="dot" w:pos="8788"/>
          <w:tab w:val="clear" w:pos="8296"/>
        </w:tabs>
        <w:rPr>
          <w:rFonts w:ascii="宋体" w:hAnsi="宋体" w:eastAsia="宋体" w:cs="宋体"/>
          <w:color w:val="000000"/>
          <w:szCs w:val="24"/>
        </w:rPr>
      </w:pPr>
      <w:r>
        <w:fldChar w:fldCharType="begin"/>
      </w:r>
      <w:r>
        <w:instrText xml:space="preserve"> HYPERLINK \l "_Toc15896" </w:instrText>
      </w:r>
      <w:r>
        <w:fldChar w:fldCharType="separate"/>
      </w:r>
      <w:r>
        <w:rPr>
          <w:rFonts w:hint="eastAsia" w:ascii="宋体" w:hAnsi="宋体" w:eastAsia="宋体" w:cs="宋体"/>
          <w:color w:val="000000"/>
          <w:szCs w:val="24"/>
        </w:rPr>
        <w:t>2企业现状</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_Toc15896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35</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5466D977">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"_Toc24549" </w:instrText>
      </w:r>
      <w:r>
        <w:fldChar w:fldCharType="separate"/>
      </w:r>
      <w:r>
        <w:rPr>
          <w:rFonts w:hint="eastAsia" w:ascii="宋体" w:hAnsi="宋体" w:eastAsia="宋体" w:cs="宋体"/>
          <w:color w:val="000000"/>
          <w:szCs w:val="24"/>
        </w:rPr>
        <w:t>2.1企业建设历程及环保手续执行情况</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_Toc24549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35</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779A69BE">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"_Toc24063" </w:instrText>
      </w:r>
      <w:r>
        <w:fldChar w:fldCharType="separate"/>
      </w:r>
      <w:r>
        <w:rPr>
          <w:rFonts w:hint="eastAsia" w:ascii="宋体" w:hAnsi="宋体" w:eastAsia="宋体" w:cs="宋体"/>
          <w:color w:val="000000"/>
          <w:szCs w:val="24"/>
        </w:rPr>
        <w:t>2.2现有工程概况</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_Toc24063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35</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091327B9">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"_Toc11941" </w:instrText>
      </w:r>
      <w:r>
        <w:fldChar w:fldCharType="separate"/>
      </w:r>
      <w:r>
        <w:rPr>
          <w:rFonts w:hint="eastAsia" w:ascii="宋体" w:hAnsi="宋体" w:eastAsia="宋体" w:cs="宋体"/>
          <w:color w:val="000000"/>
          <w:szCs w:val="24"/>
        </w:rPr>
        <w:t>2.3现有工程生产工艺及产排污情况</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_Toc11941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44</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7830CEB2">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"_Toc15238" </w:instrText>
      </w:r>
      <w:r>
        <w:fldChar w:fldCharType="separate"/>
      </w:r>
      <w:r>
        <w:rPr>
          <w:rFonts w:hint="eastAsia" w:ascii="宋体" w:hAnsi="宋体" w:eastAsia="宋体" w:cs="宋体"/>
          <w:color w:val="000000"/>
          <w:szCs w:val="24"/>
        </w:rPr>
        <w:t>2.4现有工程环境问题及整改措施</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_Toc15238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57</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48871AF3">
      <w:pPr>
        <w:pStyle w:val="49"/>
        <w:tabs>
          <w:tab w:val="right" w:leader="dot" w:pos="8788"/>
          <w:tab w:val="clear" w:pos="8296"/>
        </w:tabs>
        <w:rPr>
          <w:rFonts w:ascii="宋体" w:hAnsi="宋体" w:eastAsia="宋体" w:cs="宋体"/>
          <w:color w:val="000000"/>
          <w:szCs w:val="24"/>
        </w:rPr>
      </w:pPr>
      <w:r>
        <w:fldChar w:fldCharType="begin"/>
      </w:r>
      <w:r>
        <w:instrText xml:space="preserve"> HYPERLINK \l "_Toc14681" </w:instrText>
      </w:r>
      <w:r>
        <w:fldChar w:fldCharType="separate"/>
      </w:r>
      <w:r>
        <w:rPr>
          <w:rFonts w:hint="eastAsia" w:ascii="宋体" w:hAnsi="宋体" w:eastAsia="宋体" w:cs="宋体"/>
          <w:bCs/>
          <w:color w:val="000000"/>
          <w:szCs w:val="24"/>
        </w:rPr>
        <w:t>3建设项目概况及工程分析</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_Toc14681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58</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75D653FA">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"_Toc9650" </w:instrText>
      </w:r>
      <w:r>
        <w:fldChar w:fldCharType="separate"/>
      </w:r>
      <w:r>
        <w:rPr>
          <w:rFonts w:hint="eastAsia" w:ascii="宋体" w:hAnsi="宋体" w:eastAsia="宋体" w:cs="宋体"/>
          <w:bCs/>
          <w:color w:val="000000"/>
          <w:szCs w:val="24"/>
        </w:rPr>
        <w:t>3.1拟建项目概况</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_Toc9650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58</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5DF317A6">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"_Toc32592" </w:instrText>
      </w:r>
      <w:r>
        <w:fldChar w:fldCharType="separate"/>
      </w:r>
      <w:r>
        <w:rPr>
          <w:rFonts w:hint="eastAsia" w:ascii="宋体" w:hAnsi="宋体" w:eastAsia="宋体" w:cs="宋体"/>
          <w:color w:val="000000"/>
          <w:szCs w:val="24"/>
        </w:rPr>
        <w:t>3.2工程分析</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_Toc32592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70</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2A56BB36">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"_Toc11111" </w:instrText>
      </w:r>
      <w:r>
        <w:fldChar w:fldCharType="separate"/>
      </w:r>
      <w:r>
        <w:rPr>
          <w:rFonts w:hint="eastAsia" w:ascii="宋体" w:hAnsi="宋体" w:eastAsia="宋体" w:cs="宋体"/>
          <w:color w:val="000000"/>
          <w:szCs w:val="24"/>
        </w:rPr>
        <w:t>3.3清洁生产</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_Toc11111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85</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7FDF1BDE">
      <w:pPr>
        <w:pStyle w:val="49"/>
        <w:tabs>
          <w:tab w:val="right" w:leader="dot" w:pos="8788"/>
          <w:tab w:val="clear" w:pos="8296"/>
        </w:tabs>
        <w:rPr>
          <w:rFonts w:ascii="宋体" w:hAnsi="宋体" w:eastAsia="宋体" w:cs="宋体"/>
          <w:color w:val="000000"/>
          <w:szCs w:val="24"/>
        </w:rPr>
      </w:pPr>
      <w:r>
        <w:fldChar w:fldCharType="begin"/>
      </w:r>
      <w:r>
        <w:instrText xml:space="preserve"> HYPERLINK \l "_Toc30846" </w:instrText>
      </w:r>
      <w:r>
        <w:fldChar w:fldCharType="separate"/>
      </w:r>
      <w:r>
        <w:rPr>
          <w:rFonts w:hint="eastAsia" w:ascii="宋体" w:hAnsi="宋体" w:eastAsia="宋体" w:cs="宋体"/>
          <w:bCs/>
          <w:color w:val="000000"/>
          <w:szCs w:val="24"/>
        </w:rPr>
        <w:t>4 环境现状调查与评价</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_Toc30846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87</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19717227">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"_Toc26773" </w:instrText>
      </w:r>
      <w:r>
        <w:fldChar w:fldCharType="separate"/>
      </w:r>
      <w:r>
        <w:rPr>
          <w:rFonts w:hint="eastAsia" w:ascii="宋体" w:hAnsi="宋体" w:eastAsia="宋体" w:cs="宋体"/>
          <w:bCs/>
          <w:color w:val="000000"/>
          <w:szCs w:val="24"/>
        </w:rPr>
        <w:t>4.1 自然环境</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_Toc26773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87</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3EEEC9EB">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"_Toc28653" </w:instrText>
      </w:r>
      <w:r>
        <w:fldChar w:fldCharType="separate"/>
      </w:r>
      <w:r>
        <w:rPr>
          <w:rFonts w:hint="eastAsia" w:ascii="宋体" w:hAnsi="宋体" w:eastAsia="宋体" w:cs="宋体"/>
          <w:color w:val="000000"/>
          <w:szCs w:val="24"/>
        </w:rPr>
        <w:t>4.2 发展规划</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_Toc28653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92</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5CB51244">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"_Toc31229" </w:instrText>
      </w:r>
      <w:r>
        <w:fldChar w:fldCharType="separate"/>
      </w:r>
      <w:r>
        <w:rPr>
          <w:rFonts w:hint="eastAsia" w:ascii="宋体" w:hAnsi="宋体" w:eastAsia="宋体" w:cs="宋体"/>
          <w:color w:val="000000"/>
          <w:szCs w:val="24"/>
        </w:rPr>
        <w:t>4.3 环境质量现状调查与评价</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_Toc31229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101</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52DFAC67">
      <w:pPr>
        <w:pStyle w:val="49"/>
        <w:tabs>
          <w:tab w:val="right" w:leader="dot" w:pos="8788"/>
          <w:tab w:val="clear" w:pos="8296"/>
        </w:tabs>
        <w:rPr>
          <w:rFonts w:ascii="宋体" w:hAnsi="宋体" w:eastAsia="宋体" w:cs="宋体"/>
          <w:color w:val="000000"/>
          <w:szCs w:val="24"/>
        </w:rPr>
      </w:pPr>
      <w:r>
        <w:fldChar w:fldCharType="begin"/>
      </w:r>
      <w:r>
        <w:instrText xml:space="preserve"> HYPERLINK \l "_Toc18097" </w:instrText>
      </w:r>
      <w:r>
        <w:fldChar w:fldCharType="separate"/>
      </w:r>
      <w:r>
        <w:rPr>
          <w:rFonts w:hint="eastAsia" w:ascii="宋体" w:hAnsi="宋体" w:eastAsia="宋体" w:cs="宋体"/>
          <w:color w:val="000000"/>
          <w:szCs w:val="24"/>
        </w:rPr>
        <w:t>5 环境影响预测与评价</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_Toc18097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114</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73DD8BBB">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"_Toc32343" </w:instrText>
      </w:r>
      <w:r>
        <w:fldChar w:fldCharType="separate"/>
      </w:r>
      <w:r>
        <w:rPr>
          <w:rFonts w:hint="eastAsia" w:ascii="宋体" w:hAnsi="宋体" w:eastAsia="宋体" w:cs="宋体"/>
          <w:color w:val="000000"/>
          <w:szCs w:val="24"/>
        </w:rPr>
        <w:t>5.1 施工期环境影响分析</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_Toc32343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114</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6DC286C3">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"_Toc8913" </w:instrText>
      </w:r>
      <w:r>
        <w:fldChar w:fldCharType="separate"/>
      </w:r>
      <w:r>
        <w:rPr>
          <w:rFonts w:hint="eastAsia" w:ascii="宋体" w:hAnsi="宋体" w:eastAsia="宋体" w:cs="宋体"/>
          <w:color w:val="000000"/>
          <w:szCs w:val="24"/>
        </w:rPr>
        <w:t>5.2运营期环境影响分析</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_Toc8913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117</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59F48FE1">
      <w:pPr>
        <w:pStyle w:val="49"/>
        <w:tabs>
          <w:tab w:val="right" w:leader="dot" w:pos="8788"/>
          <w:tab w:val="clear" w:pos="8296"/>
        </w:tabs>
        <w:rPr>
          <w:rFonts w:ascii="宋体" w:hAnsi="宋体" w:eastAsia="宋体" w:cs="宋体"/>
          <w:color w:val="000000"/>
          <w:szCs w:val="24"/>
        </w:rPr>
      </w:pPr>
      <w:r>
        <w:fldChar w:fldCharType="begin"/>
      </w:r>
      <w:r>
        <w:instrText xml:space="preserve"> HYPERLINK \l "_Toc9489" </w:instrText>
      </w:r>
      <w:r>
        <w:fldChar w:fldCharType="separate"/>
      </w:r>
      <w:r>
        <w:rPr>
          <w:rFonts w:hint="eastAsia" w:ascii="宋体" w:hAnsi="宋体" w:eastAsia="宋体" w:cs="宋体"/>
          <w:color w:val="000000"/>
          <w:szCs w:val="24"/>
        </w:rPr>
        <w:t>6 环境风险评价</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_Toc9489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135</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19BF7D16">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"_Toc6522" </w:instrText>
      </w:r>
      <w:r>
        <w:fldChar w:fldCharType="separate"/>
      </w:r>
      <w:r>
        <w:rPr>
          <w:rFonts w:hint="eastAsia" w:ascii="宋体" w:hAnsi="宋体" w:eastAsia="宋体" w:cs="宋体"/>
          <w:color w:val="000000"/>
          <w:szCs w:val="24"/>
        </w:rPr>
        <w:t>6.1 评价目的、重点和程序</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_Toc6522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135</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7CA8C3EB">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"_Toc11314" </w:instrText>
      </w:r>
      <w:r>
        <w:fldChar w:fldCharType="separate"/>
      </w:r>
      <w:r>
        <w:rPr>
          <w:rFonts w:hint="eastAsia" w:ascii="宋体" w:hAnsi="宋体" w:eastAsia="宋体" w:cs="宋体"/>
          <w:color w:val="000000"/>
          <w:szCs w:val="24"/>
        </w:rPr>
        <w:t>6.2 环境风险调查及风险潜势初判</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_Toc11314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136</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4B6ECFB0">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"_Toc16353" </w:instrText>
      </w:r>
      <w:r>
        <w:fldChar w:fldCharType="separate"/>
      </w:r>
      <w:r>
        <w:rPr>
          <w:rFonts w:hint="eastAsia" w:ascii="宋体" w:hAnsi="宋体" w:eastAsia="宋体" w:cs="宋体"/>
          <w:color w:val="000000"/>
          <w:szCs w:val="24"/>
        </w:rPr>
        <w:t>6.3 评价等级</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_Toc16353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137</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6DB8D360">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"_Toc3647" </w:instrText>
      </w:r>
      <w:r>
        <w:fldChar w:fldCharType="separate"/>
      </w:r>
      <w:r>
        <w:rPr>
          <w:rFonts w:hint="eastAsia" w:ascii="宋体" w:hAnsi="宋体" w:eastAsia="宋体" w:cs="宋体"/>
          <w:bCs/>
          <w:color w:val="000000"/>
          <w:szCs w:val="24"/>
        </w:rPr>
        <w:t>6.4 环境影响途径</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_Toc3647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137</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2C6F9AD5">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"_Toc15" </w:instrText>
      </w:r>
      <w:r>
        <w:fldChar w:fldCharType="separate"/>
      </w:r>
      <w:r>
        <w:rPr>
          <w:rFonts w:hint="eastAsia" w:ascii="宋体" w:hAnsi="宋体" w:eastAsia="宋体" w:cs="宋体"/>
          <w:bCs/>
          <w:color w:val="000000"/>
          <w:szCs w:val="24"/>
        </w:rPr>
        <w:t>6.5环境危害后果</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_Toc15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137</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02291A1B">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"_Toc26704" </w:instrText>
      </w:r>
      <w:r>
        <w:fldChar w:fldCharType="separate"/>
      </w:r>
      <w:r>
        <w:rPr>
          <w:rFonts w:hint="eastAsia" w:ascii="宋体" w:hAnsi="宋体" w:eastAsia="宋体" w:cs="宋体"/>
          <w:bCs/>
          <w:color w:val="000000"/>
          <w:szCs w:val="24"/>
        </w:rPr>
        <w:t>6.6环境风险防范措施</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_Toc26704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138</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6C63DBC5">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"_Toc14635" </w:instrText>
      </w:r>
      <w:r>
        <w:fldChar w:fldCharType="separate"/>
      </w:r>
      <w:r>
        <w:rPr>
          <w:rFonts w:hint="eastAsia" w:ascii="宋体" w:hAnsi="宋体" w:eastAsia="宋体" w:cs="宋体"/>
          <w:color w:val="000000"/>
          <w:szCs w:val="24"/>
        </w:rPr>
        <w:t>6.7 突发环境事件应急预案</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_Toc14635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142</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1FFDA72F">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"_Toc8628" </w:instrText>
      </w:r>
      <w:r>
        <w:fldChar w:fldCharType="separate"/>
      </w:r>
      <w:r>
        <w:rPr>
          <w:rFonts w:hint="eastAsia" w:ascii="宋体" w:hAnsi="宋体" w:eastAsia="宋体" w:cs="宋体"/>
          <w:color w:val="000000"/>
          <w:szCs w:val="24"/>
        </w:rPr>
        <w:t>6.8 小结</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_Toc8628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143</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249217BA">
      <w:pPr>
        <w:pStyle w:val="49"/>
        <w:tabs>
          <w:tab w:val="right" w:leader="dot" w:pos="8788"/>
          <w:tab w:val="clear" w:pos="8296"/>
        </w:tabs>
        <w:rPr>
          <w:rFonts w:ascii="宋体" w:hAnsi="宋体" w:eastAsia="宋体" w:cs="宋体"/>
          <w:color w:val="000000"/>
          <w:szCs w:val="24"/>
        </w:rPr>
      </w:pPr>
      <w:r>
        <w:fldChar w:fldCharType="begin"/>
      </w:r>
      <w:r>
        <w:instrText xml:space="preserve"> HYPERLINK \l "_Toc12032" </w:instrText>
      </w:r>
      <w:r>
        <w:fldChar w:fldCharType="separate"/>
      </w:r>
      <w:r>
        <w:rPr>
          <w:rFonts w:hint="eastAsia" w:ascii="宋体" w:hAnsi="宋体" w:eastAsia="宋体" w:cs="宋体"/>
          <w:color w:val="000000"/>
          <w:szCs w:val="24"/>
        </w:rPr>
        <w:t>7 环境保护措施及其可行性论证</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_Toc12032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144</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40B2C8C3">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"_Toc27094" </w:instrText>
      </w:r>
      <w:r>
        <w:fldChar w:fldCharType="separate"/>
      </w:r>
      <w:r>
        <w:rPr>
          <w:rFonts w:hint="eastAsia" w:ascii="宋体" w:hAnsi="宋体" w:eastAsia="宋体" w:cs="宋体"/>
          <w:color w:val="000000"/>
          <w:szCs w:val="24"/>
        </w:rPr>
        <w:t>7.1 废气污染防治措施</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_Toc27094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144</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2701FCC3">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"_Toc10964" </w:instrText>
      </w:r>
      <w:r>
        <w:fldChar w:fldCharType="separate"/>
      </w:r>
      <w:r>
        <w:rPr>
          <w:rFonts w:hint="eastAsia" w:ascii="宋体" w:hAnsi="宋体" w:eastAsia="宋体" w:cs="宋体"/>
          <w:color w:val="000000"/>
          <w:szCs w:val="24"/>
        </w:rPr>
        <w:t>7.2 废水污染防治措施</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_Toc10964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144</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16ECD9E2">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"_Toc1610" </w:instrText>
      </w:r>
      <w:r>
        <w:fldChar w:fldCharType="separate"/>
      </w:r>
      <w:r>
        <w:rPr>
          <w:rFonts w:hint="eastAsia" w:ascii="宋体" w:hAnsi="宋体" w:eastAsia="宋体" w:cs="宋体"/>
          <w:color w:val="000000"/>
          <w:szCs w:val="24"/>
        </w:rPr>
        <w:t>7.3 噪声污染防治措施</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_Toc1610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146</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5B66D775">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"_Toc32711" </w:instrText>
      </w:r>
      <w:r>
        <w:fldChar w:fldCharType="separate"/>
      </w:r>
      <w:r>
        <w:rPr>
          <w:rFonts w:hint="eastAsia" w:ascii="宋体" w:hAnsi="宋体" w:eastAsia="宋体" w:cs="宋体"/>
          <w:color w:val="000000"/>
          <w:szCs w:val="24"/>
        </w:rPr>
        <w:t>7.4 固体废物处置措施</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_Toc32711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146</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2ACB8EED">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"_Toc31265" </w:instrText>
      </w:r>
      <w:r>
        <w:fldChar w:fldCharType="separate"/>
      </w:r>
      <w:r>
        <w:rPr>
          <w:rFonts w:hint="eastAsia" w:ascii="宋体" w:hAnsi="宋体" w:eastAsia="宋体" w:cs="宋体"/>
          <w:color w:val="000000"/>
          <w:szCs w:val="24"/>
        </w:rPr>
        <w:t>7.5 地下水污染防治措施</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_Toc31265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147</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76DC066D">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"_Toc30545" </w:instrText>
      </w:r>
      <w:r>
        <w:fldChar w:fldCharType="separate"/>
      </w:r>
      <w:r>
        <w:rPr>
          <w:rFonts w:hint="eastAsia" w:ascii="宋体" w:hAnsi="宋体" w:eastAsia="宋体" w:cs="宋体"/>
          <w:color w:val="000000"/>
          <w:szCs w:val="24"/>
        </w:rPr>
        <w:t>7.6 土壤污染防治措施</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_Toc30545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150</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6310AA2E">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"_Toc6388" </w:instrText>
      </w:r>
      <w:r>
        <w:fldChar w:fldCharType="separate"/>
      </w:r>
      <w:r>
        <w:rPr>
          <w:rFonts w:hint="eastAsia" w:ascii="宋体" w:hAnsi="宋体" w:eastAsia="宋体" w:cs="宋体"/>
          <w:color w:val="000000"/>
          <w:szCs w:val="24"/>
        </w:rPr>
        <w:t>7.7环保措施统计及投资估算</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_Toc6388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152</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2E5C5167">
      <w:pPr>
        <w:pStyle w:val="49"/>
        <w:tabs>
          <w:tab w:val="right" w:leader="dot" w:pos="8788"/>
          <w:tab w:val="clear" w:pos="8296"/>
        </w:tabs>
        <w:rPr>
          <w:rFonts w:ascii="宋体" w:hAnsi="宋体" w:eastAsia="宋体" w:cs="宋体"/>
          <w:color w:val="000000"/>
          <w:szCs w:val="24"/>
        </w:rPr>
      </w:pPr>
      <w:r>
        <w:fldChar w:fldCharType="begin"/>
      </w:r>
      <w:r>
        <w:instrText xml:space="preserve"> HYPERLINK \l "_Toc3744" </w:instrText>
      </w:r>
      <w:r>
        <w:fldChar w:fldCharType="separate"/>
      </w:r>
      <w:r>
        <w:rPr>
          <w:rFonts w:hint="eastAsia" w:ascii="宋体" w:hAnsi="宋体" w:eastAsia="宋体" w:cs="宋体"/>
          <w:color w:val="000000"/>
          <w:szCs w:val="24"/>
        </w:rPr>
        <w:t>8 环境经济损益分析</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_Toc3744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154</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12E17292">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"_Toc27471" </w:instrText>
      </w:r>
      <w:r>
        <w:fldChar w:fldCharType="separate"/>
      </w:r>
      <w:r>
        <w:rPr>
          <w:rFonts w:hint="eastAsia" w:ascii="宋体" w:hAnsi="宋体" w:eastAsia="宋体" w:cs="宋体"/>
          <w:color w:val="000000"/>
          <w:szCs w:val="24"/>
        </w:rPr>
        <w:t>8.1 环境保护费用</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_Toc27471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154</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5BC07002">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"_Toc29658" </w:instrText>
      </w:r>
      <w:r>
        <w:fldChar w:fldCharType="separate"/>
      </w:r>
      <w:r>
        <w:rPr>
          <w:rFonts w:hint="eastAsia" w:ascii="宋体" w:hAnsi="宋体" w:eastAsia="宋体" w:cs="宋体"/>
          <w:color w:val="000000"/>
          <w:szCs w:val="24"/>
        </w:rPr>
        <w:t>8.2 环境保护效益</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_Toc29658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154</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76A5375D">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"_Toc14173" </w:instrText>
      </w:r>
      <w:r>
        <w:fldChar w:fldCharType="separate"/>
      </w:r>
      <w:r>
        <w:rPr>
          <w:rFonts w:hint="eastAsia" w:ascii="宋体" w:hAnsi="宋体" w:eastAsia="宋体" w:cs="宋体"/>
          <w:color w:val="000000"/>
          <w:szCs w:val="24"/>
        </w:rPr>
        <w:t>8.3 环境影响经济损益分析</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_Toc14173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155</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4EB2524A">
      <w:pPr>
        <w:pStyle w:val="49"/>
        <w:tabs>
          <w:tab w:val="right" w:leader="dot" w:pos="8788"/>
          <w:tab w:val="clear" w:pos="8296"/>
        </w:tabs>
        <w:rPr>
          <w:rFonts w:ascii="宋体" w:hAnsi="宋体" w:eastAsia="宋体" w:cs="宋体"/>
          <w:color w:val="000000"/>
          <w:szCs w:val="24"/>
        </w:rPr>
      </w:pPr>
      <w:r>
        <w:fldChar w:fldCharType="begin"/>
      </w:r>
      <w:r>
        <w:instrText xml:space="preserve"> HYPERLINK \l "_Toc27291" </w:instrText>
      </w:r>
      <w:r>
        <w:fldChar w:fldCharType="separate"/>
      </w:r>
      <w:r>
        <w:rPr>
          <w:rFonts w:hint="eastAsia" w:ascii="宋体" w:hAnsi="宋体" w:eastAsia="宋体" w:cs="宋体"/>
          <w:color w:val="000000"/>
          <w:szCs w:val="24"/>
        </w:rPr>
        <w:t>9 环境管理与监测计划</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_Toc27291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156</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37BAB6A3">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"_Toc22530" </w:instrText>
      </w:r>
      <w:r>
        <w:fldChar w:fldCharType="separate"/>
      </w:r>
      <w:r>
        <w:rPr>
          <w:rFonts w:hint="eastAsia" w:ascii="宋体" w:hAnsi="宋体" w:eastAsia="宋体" w:cs="宋体"/>
          <w:color w:val="000000"/>
          <w:szCs w:val="24"/>
        </w:rPr>
        <w:t>9.1环境管理</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_Toc22530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156</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13D1A3DA">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"_Toc14620" </w:instrText>
      </w:r>
      <w:r>
        <w:fldChar w:fldCharType="separate"/>
      </w:r>
      <w:r>
        <w:rPr>
          <w:rFonts w:hint="eastAsia" w:ascii="宋体" w:hAnsi="宋体" w:eastAsia="宋体" w:cs="宋体"/>
          <w:color w:val="000000"/>
          <w:szCs w:val="24"/>
        </w:rPr>
        <w:t>9.2排污口规整和自动监测</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_Toc14620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158</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67692BB8">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"_Toc7628" </w:instrText>
      </w:r>
      <w:r>
        <w:fldChar w:fldCharType="separate"/>
      </w:r>
      <w:r>
        <w:rPr>
          <w:rFonts w:hint="eastAsia" w:ascii="宋体" w:hAnsi="宋体" w:eastAsia="宋体" w:cs="宋体"/>
          <w:color w:val="000000"/>
          <w:szCs w:val="24"/>
        </w:rPr>
        <w:t>9.3环境监测计划</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_Toc7628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159</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0C687B7C">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"_Toc3055" </w:instrText>
      </w:r>
      <w:r>
        <w:fldChar w:fldCharType="separate"/>
      </w:r>
      <w:r>
        <w:rPr>
          <w:rFonts w:hint="eastAsia" w:ascii="宋体" w:hAnsi="宋体" w:eastAsia="宋体" w:cs="宋体"/>
          <w:color w:val="000000"/>
          <w:szCs w:val="24"/>
        </w:rPr>
        <w:t>9.4环保验收内容及要求</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_Toc3055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160</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4DD18204">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"_Toc4192" </w:instrText>
      </w:r>
      <w:r>
        <w:fldChar w:fldCharType="separate"/>
      </w:r>
      <w:r>
        <w:rPr>
          <w:rFonts w:hint="eastAsia" w:ascii="宋体" w:hAnsi="宋体" w:eastAsia="宋体" w:cs="宋体"/>
          <w:color w:val="000000"/>
          <w:szCs w:val="24"/>
        </w:rPr>
        <w:t>9.5污染物排放清单</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_Toc4192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163</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7AA3B166">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"_Toc27695" </w:instrText>
      </w:r>
      <w:r>
        <w:fldChar w:fldCharType="separate"/>
      </w:r>
      <w:r>
        <w:rPr>
          <w:rFonts w:hint="eastAsia" w:ascii="宋体" w:hAnsi="宋体" w:eastAsia="宋体" w:cs="宋体"/>
          <w:color w:val="000000"/>
          <w:szCs w:val="24"/>
        </w:rPr>
        <w:t>9.6环境信息公开及人员培训</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_Toc27695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164</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3B88B77C">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"_Toc23627" </w:instrText>
      </w:r>
      <w:r>
        <w:fldChar w:fldCharType="separate"/>
      </w:r>
      <w:r>
        <w:rPr>
          <w:rFonts w:hint="eastAsia" w:ascii="宋体" w:hAnsi="宋体" w:eastAsia="宋体" w:cs="宋体"/>
          <w:bCs/>
          <w:color w:val="000000"/>
          <w:szCs w:val="24"/>
        </w:rPr>
        <w:t>9.7总量控制</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_Toc23627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164</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6F5E27A3">
      <w:pPr>
        <w:pStyle w:val="49"/>
        <w:tabs>
          <w:tab w:val="right" w:leader="dot" w:pos="8788"/>
          <w:tab w:val="clear" w:pos="8296"/>
        </w:tabs>
        <w:rPr>
          <w:rFonts w:ascii="宋体" w:hAnsi="宋体" w:eastAsia="宋体" w:cs="宋体"/>
          <w:color w:val="000000"/>
          <w:szCs w:val="24"/>
        </w:rPr>
      </w:pPr>
      <w:r>
        <w:fldChar w:fldCharType="begin"/>
      </w:r>
      <w:r>
        <w:instrText xml:space="preserve"> HYPERLINK \l "_Toc1169" </w:instrText>
      </w:r>
      <w:r>
        <w:fldChar w:fldCharType="separate"/>
      </w:r>
      <w:r>
        <w:rPr>
          <w:rFonts w:hint="eastAsia" w:ascii="宋体" w:hAnsi="宋体" w:eastAsia="宋体" w:cs="宋体"/>
          <w:color w:val="000000"/>
          <w:szCs w:val="24"/>
        </w:rPr>
        <w:t>10结论及建议</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_Toc1169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166</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6DFF6D19">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"_Toc22623" </w:instrText>
      </w:r>
      <w:r>
        <w:fldChar w:fldCharType="separate"/>
      </w:r>
      <w:r>
        <w:rPr>
          <w:rFonts w:hint="eastAsia" w:ascii="宋体" w:hAnsi="宋体" w:eastAsia="宋体" w:cs="宋体"/>
          <w:color w:val="000000"/>
          <w:szCs w:val="24"/>
        </w:rPr>
        <w:t>10.1结论</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_Toc22623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166</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5581DFBD">
      <w:pPr>
        <w:pStyle w:val="61"/>
        <w:tabs>
          <w:tab w:val="right" w:leader="dot" w:pos="8788"/>
          <w:tab w:val="clear" w:pos="1320"/>
          <w:tab w:val="clear" w:pos="8296"/>
        </w:tabs>
        <w:rPr>
          <w:rFonts w:ascii="宋体" w:hAnsi="宋体" w:eastAsia="宋体" w:cs="宋体"/>
          <w:color w:val="000000"/>
          <w:szCs w:val="24"/>
        </w:rPr>
      </w:pPr>
      <w:r>
        <w:fldChar w:fldCharType="begin"/>
      </w:r>
      <w:r>
        <w:instrText xml:space="preserve"> HYPERLINK \l "_Toc5063" </w:instrText>
      </w:r>
      <w:r>
        <w:fldChar w:fldCharType="separate"/>
      </w:r>
      <w:r>
        <w:rPr>
          <w:rFonts w:hint="eastAsia" w:ascii="宋体" w:hAnsi="宋体" w:eastAsia="宋体" w:cs="宋体"/>
          <w:color w:val="000000"/>
          <w:szCs w:val="24"/>
        </w:rPr>
        <w:t>10.2建议</w:t>
      </w:r>
      <w:r>
        <w:rPr>
          <w:rFonts w:hint="eastAsia" w:ascii="宋体" w:hAnsi="宋体" w:eastAsia="宋体" w:cs="宋体"/>
          <w:color w:val="000000"/>
          <w:szCs w:val="24"/>
        </w:rPr>
        <w:tab/>
      </w:r>
      <w:r>
        <w:rPr>
          <w:rFonts w:hint="eastAsia" w:ascii="宋体" w:hAnsi="宋体" w:eastAsia="宋体" w:cs="宋体"/>
          <w:color w:val="000000"/>
          <w:szCs w:val="24"/>
        </w:rPr>
        <w:fldChar w:fldCharType="begin"/>
      </w:r>
      <w:r>
        <w:rPr>
          <w:rFonts w:hint="eastAsia" w:ascii="宋体" w:hAnsi="宋体" w:eastAsia="宋体" w:cs="宋体"/>
          <w:color w:val="000000"/>
          <w:szCs w:val="24"/>
        </w:rPr>
        <w:instrText xml:space="preserve"> PAGEREF _Toc5063 \h </w:instrText>
      </w:r>
      <w:r>
        <w:rPr>
          <w:rFonts w:hint="eastAsia" w:ascii="宋体" w:hAnsi="宋体" w:eastAsia="宋体" w:cs="宋体"/>
          <w:color w:val="000000"/>
          <w:szCs w:val="24"/>
        </w:rPr>
        <w:fldChar w:fldCharType="separate"/>
      </w:r>
      <w:r>
        <w:rPr>
          <w:rFonts w:hint="eastAsia" w:ascii="宋体" w:hAnsi="宋体" w:eastAsia="宋体" w:cs="宋体"/>
          <w:color w:val="000000"/>
          <w:szCs w:val="24"/>
        </w:rPr>
        <w:t>171</w:t>
      </w:r>
      <w:r>
        <w:rPr>
          <w:rFonts w:hint="eastAsia" w:ascii="宋体" w:hAnsi="宋体" w:eastAsia="宋体" w:cs="宋体"/>
          <w:color w:val="000000"/>
          <w:szCs w:val="24"/>
        </w:rPr>
        <w:fldChar w:fldCharType="end"/>
      </w:r>
      <w:r>
        <w:rPr>
          <w:rFonts w:hint="eastAsia" w:ascii="宋体" w:hAnsi="宋体" w:eastAsia="宋体" w:cs="宋体"/>
          <w:color w:val="000000"/>
          <w:szCs w:val="24"/>
        </w:rPr>
        <w:fldChar w:fldCharType="end"/>
      </w:r>
    </w:p>
    <w:p w14:paraId="757C8127">
      <w:pPr>
        <w:pStyle w:val="2"/>
        <w:ind w:left="0" w:leftChars="0" w:firstLine="0" w:firstLineChars="0"/>
        <w:rPr>
          <w:color w:val="000000"/>
        </w:rPr>
      </w:pPr>
      <w:r>
        <w:rPr>
          <w:rFonts w:hint="eastAsia"/>
          <w:color w:val="000000"/>
          <w:sz w:val="24"/>
        </w:rPr>
        <w:fldChar w:fldCharType="end"/>
      </w:r>
    </w:p>
    <w:p w14:paraId="3081C812">
      <w:pPr>
        <w:pStyle w:val="2"/>
        <w:spacing w:after="0" w:line="360" w:lineRule="auto"/>
        <w:ind w:left="0" w:leftChars="0" w:firstLine="0" w:firstLineChars="0"/>
        <w:rPr>
          <w:rFonts w:ascii="Times New Roman" w:hAnsi="Times New Roman" w:cs="Times New Roman"/>
          <w:b/>
          <w:bCs/>
          <w:color w:val="000000"/>
          <w:sz w:val="24"/>
        </w:rPr>
      </w:pPr>
      <w:r>
        <w:rPr>
          <w:rFonts w:ascii="Times New Roman" w:hAnsi="Times New Roman" w:cs="Times New Roman"/>
          <w:b/>
          <w:bCs/>
          <w:color w:val="000000"/>
          <w:sz w:val="24"/>
        </w:rPr>
        <w:t>附图</w:t>
      </w:r>
    </w:p>
    <w:p w14:paraId="2FDC3D29">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附图1  项目地理位置图</w:t>
      </w:r>
    </w:p>
    <w:p w14:paraId="04AFF288">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附图2  项目厂区平面布置及给排水管网图</w:t>
      </w:r>
    </w:p>
    <w:p w14:paraId="31958E10">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附图3  项目设施设备布局及分区防渗图</w:t>
      </w:r>
    </w:p>
    <w:p w14:paraId="162F254B">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附图4  项目周边环境保护目标分布图</w:t>
      </w:r>
    </w:p>
    <w:p w14:paraId="6FEC122F">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附图5  项目与生态保护红线关系图</w:t>
      </w:r>
    </w:p>
    <w:p w14:paraId="53A0EF1C">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附图6  项目与园区土地利用规划关系图</w:t>
      </w:r>
    </w:p>
    <w:p w14:paraId="38AC8D47">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附图7  项目与园区规划排水管网关系图</w:t>
      </w:r>
    </w:p>
    <w:p w14:paraId="77AC6A87">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附图8  项目与园区及地下暗河位置关系图</w:t>
      </w:r>
    </w:p>
    <w:p w14:paraId="7C0F2DB7">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附图9  项目所在环境管控单元图</w:t>
      </w:r>
    </w:p>
    <w:p w14:paraId="654D8AF9">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附图10 项目监测布点图</w:t>
      </w:r>
    </w:p>
    <w:p w14:paraId="5866D543">
      <w:pPr>
        <w:rPr>
          <w:color w:val="000000"/>
        </w:rPr>
      </w:pPr>
      <w:r>
        <w:rPr>
          <w:color w:val="000000"/>
        </w:rPr>
        <w:t>附图11 项目区域水文地质图</w:t>
      </w:r>
    </w:p>
    <w:p w14:paraId="290F5B7F">
      <w:pPr>
        <w:pStyle w:val="2"/>
        <w:spacing w:after="0" w:line="360" w:lineRule="auto"/>
        <w:ind w:left="0" w:leftChars="0" w:firstLine="0" w:firstLineChars="0"/>
        <w:rPr>
          <w:rFonts w:ascii="Times New Roman" w:hAnsi="Times New Roman" w:cs="Times New Roman"/>
          <w:b/>
          <w:bCs/>
          <w:color w:val="000000"/>
          <w:sz w:val="24"/>
        </w:rPr>
      </w:pPr>
      <w:r>
        <w:rPr>
          <w:rFonts w:ascii="Times New Roman" w:hAnsi="Times New Roman" w:cs="Times New Roman"/>
          <w:b/>
          <w:bCs/>
          <w:color w:val="000000"/>
          <w:sz w:val="24"/>
        </w:rPr>
        <w:t>附件</w:t>
      </w:r>
    </w:p>
    <w:p w14:paraId="18CE95FE">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附件1  备案证</w:t>
      </w:r>
    </w:p>
    <w:p w14:paraId="6E9B459F">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附件2  项目建议书</w:t>
      </w:r>
    </w:p>
    <w:p w14:paraId="69108B14">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附件3  LNG工厂土地证</w:t>
      </w:r>
    </w:p>
    <w:p w14:paraId="06871A8D">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附件4  LNG工厂环评批复</w:t>
      </w:r>
    </w:p>
    <w:p w14:paraId="10752BB7">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附件5-1  LNG工厂自主验收专家意见</w:t>
      </w:r>
    </w:p>
    <w:p w14:paraId="1C629FF9">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附件5-2  LNG工厂固体废物污染防治设施竣工环保验收批复</w:t>
      </w:r>
    </w:p>
    <w:p w14:paraId="24A7AAA3">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附件6  LNG工厂国家排污许可登记回执</w:t>
      </w:r>
      <w:bookmarkStart w:id="18" w:name="_Toc8804_WPSOffice_Level1"/>
    </w:p>
    <w:p w14:paraId="10AFB841">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附件7  LNG工厂风险评估报告、应急预案备案回执</w:t>
      </w:r>
    </w:p>
    <w:p w14:paraId="268FA157">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附件8  LNG工厂自行监测报告</w:t>
      </w:r>
    </w:p>
    <w:p w14:paraId="730CE929">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附件9  关于重庆白涛化工园区规划修编环境影响报告书审查意见的函</w:t>
      </w:r>
    </w:p>
    <w:p w14:paraId="2B41BC49">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附件10 拟建项目在后溪河1km外说明文件</w:t>
      </w:r>
    </w:p>
    <w:p w14:paraId="1174DB64">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附件11引用监测报告</w:t>
      </w:r>
    </w:p>
    <w:p w14:paraId="1169EE10">
      <w:pPr>
        <w:pStyle w:val="2"/>
        <w:spacing w:after="0" w:line="360" w:lineRule="auto"/>
        <w:ind w:left="0" w:leftChars="0" w:firstLine="0" w:firstLineChars="0"/>
        <w:rPr>
          <w:rFonts w:ascii="Times New Roman" w:hAnsi="Times New Roman" w:cs="Times New Roman"/>
          <w:color w:val="000000"/>
          <w:sz w:val="24"/>
        </w:rPr>
      </w:pPr>
      <w:r>
        <w:rPr>
          <w:rFonts w:ascii="Times New Roman" w:hAnsi="Times New Roman" w:cs="Times New Roman"/>
          <w:color w:val="000000"/>
          <w:sz w:val="24"/>
        </w:rPr>
        <w:t>附件12项目现状监测报告</w:t>
      </w:r>
    </w:p>
    <w:p w14:paraId="7D4C64E1">
      <w:pPr>
        <w:rPr>
          <w:color w:val="000000"/>
        </w:rPr>
        <w:sectPr>
          <w:headerReference r:id="rId7" w:type="first"/>
          <w:footerReference r:id="rId10" w:type="first"/>
          <w:headerReference r:id="rId5" w:type="default"/>
          <w:footerReference r:id="rId8" w:type="default"/>
          <w:headerReference r:id="rId6" w:type="even"/>
          <w:footerReference r:id="rId9" w:type="even"/>
          <w:pgSz w:w="11850" w:h="16783"/>
          <w:pgMar w:top="1440" w:right="1531" w:bottom="1440" w:left="1531" w:header="850" w:footer="907" w:gutter="0"/>
          <w:pgNumType w:start="1"/>
          <w:cols w:space="720" w:num="1"/>
          <w:docGrid w:linePitch="332" w:charSpace="0"/>
        </w:sectPr>
      </w:pPr>
      <w:r>
        <w:rPr>
          <w:color w:val="000000"/>
        </w:rPr>
        <w:t>附件13 污水处理合同</w:t>
      </w:r>
    </w:p>
    <w:p w14:paraId="008662AA">
      <w:pPr>
        <w:ind w:firstLine="480"/>
        <w:rPr>
          <w:color w:val="000000"/>
        </w:rPr>
      </w:pPr>
    </w:p>
    <w:p w14:paraId="4E85394E">
      <w:pPr>
        <w:pStyle w:val="781"/>
        <w:rPr>
          <w:color w:val="000000"/>
        </w:rPr>
      </w:pPr>
      <w:bookmarkStart w:id="19" w:name="_Toc6824"/>
      <w:bookmarkStart w:id="20" w:name="_Toc79_WPSOffice_Level1"/>
      <w:r>
        <w:rPr>
          <w:color w:val="000000"/>
        </w:rPr>
        <w:t>概  述</w:t>
      </w:r>
      <w:bookmarkEnd w:id="18"/>
      <w:bookmarkEnd w:id="19"/>
      <w:bookmarkEnd w:id="20"/>
    </w:p>
    <w:p w14:paraId="49DCA523">
      <w:pPr>
        <w:pStyle w:val="770"/>
        <w:outlineLvl w:val="9"/>
        <w:rPr>
          <w:color w:val="000000"/>
        </w:rPr>
      </w:pPr>
      <w:bookmarkStart w:id="21" w:name="_Toc4277"/>
      <w:bookmarkStart w:id="22" w:name="_Toc28352_WPSOffice_Level1"/>
      <w:bookmarkStart w:id="23" w:name="_Toc489922420"/>
      <w:bookmarkStart w:id="24" w:name="_Toc500375961"/>
      <w:bookmarkStart w:id="25" w:name="_Toc26616_WPSOffice_Level1"/>
      <w:bookmarkStart w:id="26" w:name="_Toc5374"/>
      <w:bookmarkStart w:id="27" w:name="_Toc10954"/>
      <w:r>
        <w:rPr>
          <w:color w:val="000000"/>
        </w:rPr>
        <w:t>一、</w:t>
      </w:r>
      <w:bookmarkEnd w:id="21"/>
      <w:bookmarkEnd w:id="22"/>
      <w:bookmarkEnd w:id="23"/>
      <w:bookmarkEnd w:id="24"/>
      <w:bookmarkEnd w:id="25"/>
      <w:r>
        <w:rPr>
          <w:color w:val="000000"/>
        </w:rPr>
        <w:t>建设项目由来及特点</w:t>
      </w:r>
      <w:bookmarkEnd w:id="26"/>
      <w:bookmarkEnd w:id="27"/>
    </w:p>
    <w:p w14:paraId="53034052">
      <w:pPr>
        <w:ind w:firstLine="480" w:firstLineChars="200"/>
        <w:rPr>
          <w:color w:val="000000"/>
        </w:rPr>
      </w:pPr>
      <w:bookmarkStart w:id="28" w:name="_Toc7034_WPSOffice_Level1"/>
      <w:bookmarkStart w:id="29" w:name="_Toc489922421"/>
      <w:bookmarkStart w:id="30" w:name="_Toc8872_WPSOffice_Level1"/>
      <w:bookmarkStart w:id="31" w:name="_Toc500375962"/>
      <w:r>
        <w:rPr>
          <w:color w:val="000000"/>
        </w:rPr>
        <w:t>氦气是一种重要的工业气体，在航空航天、重大科学工程、电子工业、生物医疗等高端技术领域和核武器制造等方面具有不可替代的作用，被誉为气体中的“芯片”，国际上把氦气视为重要的战略物资。随着我国经济的不断发展，国防事业的不断加强，科研需求的不断增大，我国对氦气的需求量越来越大。特别是，当前我国高端技术产业正处于在国际分工产业链低端向高端跨越的关键时刻，电子信息产业等高端技术产业的高端生产工艺对氦气的需求量很大，而进口氦气总量受到国外限制，进口氦气用途受到国外管制，已成为制约我国高质量发展的“卡脖子”资源。因此，发挥中国石化优势，充分利用我国有限的氦气资源，发展自主的天然气提氦工业，生产高纯度氦气，具有重大战略意义。</w:t>
      </w:r>
    </w:p>
    <w:p w14:paraId="4E3F811B">
      <w:pPr>
        <w:ind w:firstLine="480" w:firstLineChars="200"/>
        <w:rPr>
          <w:color w:val="000000"/>
        </w:rPr>
      </w:pPr>
      <w:r>
        <w:rPr>
          <w:color w:val="000000"/>
        </w:rPr>
        <w:t>重庆涪陵中石化通汇天然气液化工厂采用中石化开发的低能耗天然气液化技术，以LNG工厂现LNG储罐闪蒸气（即BOG尾气）为原料回收高纯氦气，具有极高的战略意义和经济价值。2021年9月重庆中石化通汇能源有限公司向涪陵区发展改革委员会申请了涪陵LNG工厂增设BOG尾气提氦改扩建项目建议书，于2021年12月获得了重庆市涪陵区发展和改革委员会下发的重庆市企业投资项目备案证（2107-500102-04-02-373372）。</w:t>
      </w:r>
    </w:p>
    <w:p w14:paraId="6C34E69F">
      <w:pPr>
        <w:ind w:firstLine="480" w:firstLineChars="200"/>
        <w:rPr>
          <w:color w:val="000000"/>
        </w:rPr>
      </w:pPr>
      <w:r>
        <w:rPr>
          <w:color w:val="000000"/>
        </w:rPr>
        <w:t>重庆中石化通汇能源有限公司依托现涪陵LNG工厂现场条件，投资5321万元利用LNG工厂现LNG储罐闪蒸气（即BOG尾气）为原料生产高纯氦气。项目主要有提氦装置区、装车及储存单元以及配套辅助工程、储运工程等组成，生产5N级氦气20 吨/年（以产品计）。</w:t>
      </w:r>
    </w:p>
    <w:bookmarkEnd w:id="28"/>
    <w:bookmarkEnd w:id="29"/>
    <w:bookmarkEnd w:id="30"/>
    <w:bookmarkEnd w:id="31"/>
    <w:p w14:paraId="393C65EB">
      <w:pPr>
        <w:pStyle w:val="770"/>
        <w:outlineLvl w:val="9"/>
        <w:rPr>
          <w:bCs w:val="0"/>
          <w:color w:val="000000"/>
        </w:rPr>
      </w:pPr>
      <w:bookmarkStart w:id="32" w:name="_Toc11094"/>
      <w:bookmarkStart w:id="33" w:name="_Toc15913_WPSOffice_Level1"/>
      <w:bookmarkStart w:id="34" w:name="_Toc29090_WPSOffice_Level1"/>
      <w:bookmarkStart w:id="35" w:name="_Toc500375963"/>
      <w:bookmarkStart w:id="36" w:name="_Toc489922422"/>
      <w:bookmarkStart w:id="37" w:name="_Toc14497"/>
      <w:bookmarkStart w:id="38" w:name="_Toc17909"/>
      <w:r>
        <w:rPr>
          <w:bCs w:val="0"/>
          <w:color w:val="000000"/>
        </w:rPr>
        <w:t>二、</w:t>
      </w:r>
      <w:bookmarkEnd w:id="32"/>
      <w:bookmarkEnd w:id="33"/>
      <w:bookmarkEnd w:id="34"/>
      <w:bookmarkEnd w:id="35"/>
      <w:bookmarkEnd w:id="36"/>
      <w:r>
        <w:rPr>
          <w:bCs w:val="0"/>
          <w:color w:val="000000"/>
        </w:rPr>
        <w:t>环境影响评价工作过程</w:t>
      </w:r>
      <w:bookmarkEnd w:id="37"/>
      <w:bookmarkEnd w:id="38"/>
    </w:p>
    <w:p w14:paraId="744F8099">
      <w:pPr>
        <w:ind w:firstLine="480" w:firstLineChars="200"/>
        <w:rPr>
          <w:color w:val="000000"/>
        </w:rPr>
      </w:pPr>
      <w:r>
        <w:rPr>
          <w:color w:val="000000"/>
        </w:rPr>
        <w:t>环境影响评价的工作程序和主要工作内容： 环境影响评价的工作程序分为准备阶段、正式工作阶段和报告书编制阶段。</w:t>
      </w:r>
    </w:p>
    <w:p w14:paraId="0605B0A3">
      <w:pPr>
        <w:ind w:firstLine="480"/>
        <w:rPr>
          <w:color w:val="000000"/>
          <w:szCs w:val="20"/>
        </w:rPr>
      </w:pPr>
      <w:r>
        <w:rPr>
          <w:color w:val="000000"/>
          <w:szCs w:val="20"/>
        </w:rPr>
        <w:t>根据《中华人民共和国环境保护法》、《中华人民共和国环境影响评价法》、《建设项目环境保护管理条例》以及</w:t>
      </w:r>
      <w:r>
        <w:rPr>
          <w:color w:val="000000"/>
        </w:rPr>
        <w:t>《建设项目环境影响评价分类管理名录》（生态环境部第1号令）</w:t>
      </w:r>
      <w:r>
        <w:rPr>
          <w:color w:val="000000"/>
          <w:szCs w:val="20"/>
        </w:rPr>
        <w:t>等法律法规及文件要求，本项目属于“十五、化学原料和化学制品制造业 基础化学原料制造261”，应编制环境影响报告书。</w:t>
      </w:r>
    </w:p>
    <w:p w14:paraId="071C7B14">
      <w:pPr>
        <w:ind w:firstLine="480"/>
        <w:rPr>
          <w:color w:val="000000"/>
          <w:szCs w:val="20"/>
        </w:rPr>
      </w:pPr>
      <w:r>
        <w:rPr>
          <w:color w:val="000000"/>
        </w:rPr>
        <w:t>受重庆中石化通汇能源有限公司委托，我公司承担该项目环境影响评价工作。</w:t>
      </w:r>
      <w:r>
        <w:rPr>
          <w:color w:val="000000"/>
          <w:szCs w:val="20"/>
        </w:rPr>
        <w:t>工作期间，我公司组织技术人员多次进行现场踏勘，并收集了项目区域环境资料，并</w:t>
      </w:r>
      <w:r>
        <w:rPr>
          <w:color w:val="000000"/>
        </w:rPr>
        <w:t>委托重庆智海科技有限责任公司于2022年3月14~15日对项目区域声环境、土壤环境等进行了实地监测。</w:t>
      </w:r>
      <w:r>
        <w:rPr>
          <w:color w:val="000000"/>
          <w:szCs w:val="20"/>
        </w:rPr>
        <w:t>在详细研究项目工程技术资料的基础上，结合相关法律法规、环保政策以及环评技术规范，完成了该项目环境影响报告书的编制工作。</w:t>
      </w:r>
    </w:p>
    <w:p w14:paraId="1F127DD6">
      <w:pPr>
        <w:ind w:firstLine="480"/>
        <w:rPr>
          <w:color w:val="000000"/>
          <w:szCs w:val="20"/>
        </w:rPr>
      </w:pPr>
      <w:r>
        <w:rPr>
          <w:color w:val="000000"/>
          <w:szCs w:val="20"/>
        </w:rPr>
        <w:t>在环境影响评价过程中，建设单位作为责任主体按照《环境影响评价公众参与办法》将项目基本情况和环境影响评价的内容成果进行了公开，广泛征集了公众对本项目环境保护方面的意见。</w:t>
      </w:r>
    </w:p>
    <w:p w14:paraId="145CABDC">
      <w:pPr>
        <w:pStyle w:val="770"/>
        <w:outlineLvl w:val="9"/>
        <w:rPr>
          <w:bCs w:val="0"/>
          <w:color w:val="000000"/>
        </w:rPr>
      </w:pPr>
      <w:bookmarkStart w:id="39" w:name="_Toc22860"/>
      <w:bookmarkStart w:id="40" w:name="_Toc5521"/>
      <w:bookmarkStart w:id="41" w:name="_Toc500375964"/>
      <w:bookmarkStart w:id="42" w:name="_Toc8423_WPSOffice_Level1"/>
      <w:bookmarkStart w:id="43" w:name="_Toc13698"/>
      <w:bookmarkStart w:id="44" w:name="_Toc19093_WPSOffice_Level1"/>
      <w:bookmarkStart w:id="45" w:name="_Toc489922423"/>
      <w:r>
        <w:rPr>
          <w:bCs w:val="0"/>
          <w:color w:val="000000"/>
        </w:rPr>
        <w:t>三、项目分析判定相关情况</w:t>
      </w:r>
      <w:bookmarkEnd w:id="39"/>
      <w:bookmarkEnd w:id="40"/>
      <w:bookmarkEnd w:id="41"/>
      <w:bookmarkEnd w:id="42"/>
      <w:bookmarkEnd w:id="43"/>
      <w:bookmarkEnd w:id="44"/>
      <w:bookmarkEnd w:id="45"/>
    </w:p>
    <w:p w14:paraId="4C9ABEFC">
      <w:pPr>
        <w:ind w:firstLine="480"/>
        <w:rPr>
          <w:color w:val="000000"/>
        </w:rPr>
      </w:pPr>
      <w:r>
        <w:rPr>
          <w:color w:val="000000"/>
          <w:kern w:val="0"/>
        </w:rPr>
        <w:t>本项目不属于《产业结构调整指导目录（2019 年本）》中的鼓励类、限制类和淘汰类建设</w:t>
      </w:r>
      <w:r>
        <w:rPr>
          <w:rFonts w:hint="eastAsia"/>
          <w:color w:val="000000"/>
          <w:kern w:val="0"/>
          <w:lang w:eastAsia="zh-CN"/>
        </w:rPr>
        <w:t>项目</w:t>
      </w:r>
      <w:r>
        <w:rPr>
          <w:color w:val="000000"/>
          <w:kern w:val="0"/>
        </w:rPr>
        <w:t>，属于允许类，本项目已获得了重庆市涪陵区发展和改革委员会下发的重庆市企业投资项目备案证（2107-500102-04-02-373372）</w:t>
      </w:r>
      <w:r>
        <w:rPr>
          <w:color w:val="000000"/>
        </w:rPr>
        <w:t>。</w:t>
      </w:r>
    </w:p>
    <w:p w14:paraId="008F37F7">
      <w:pPr>
        <w:ind w:firstLine="480" w:firstLineChars="200"/>
        <w:rPr>
          <w:color w:val="000000"/>
        </w:rPr>
      </w:pPr>
      <w:r>
        <w:rPr>
          <w:color w:val="000000"/>
        </w:rPr>
        <w:t>本项目在现有LNG工厂内建设，不新征用土地，用地性质为工业用地，符合用地规划。项目符合国家产业政策、产业规划及环保规划的相关要求，符合</w:t>
      </w:r>
      <w:r>
        <w:rPr>
          <w:color w:val="000000"/>
          <w:szCs w:val="24"/>
        </w:rPr>
        <w:t>气、水、土、地下水等污染防治政策</w:t>
      </w:r>
      <w:r>
        <w:rPr>
          <w:color w:val="000000"/>
        </w:rPr>
        <w:t>；符合</w:t>
      </w:r>
      <w:r>
        <w:rPr>
          <w:bCs/>
          <w:snapToGrid w:val="0"/>
          <w:color w:val="000000"/>
          <w:szCs w:val="24"/>
        </w:rPr>
        <w:t>《中华人民共和国长江保护法》、</w:t>
      </w:r>
      <w:r>
        <w:rPr>
          <w:color w:val="000000"/>
        </w:rPr>
        <w:t>《长江经济带生态环境保护规划》、《长江经济带发展负面清单指南（试行，2022年版）》、《重庆市长江经济带发展负面清单实施细则（试行）》文件的要求；符合《重庆白涛化工园区规划修编环境影响报告书》及审查意见、“三线一单”的要求。</w:t>
      </w:r>
    </w:p>
    <w:p w14:paraId="221A4769">
      <w:pPr>
        <w:pStyle w:val="770"/>
        <w:outlineLvl w:val="9"/>
        <w:rPr>
          <w:bCs w:val="0"/>
          <w:color w:val="000000"/>
        </w:rPr>
      </w:pPr>
      <w:bookmarkStart w:id="46" w:name="_Toc500375965"/>
      <w:bookmarkStart w:id="47" w:name="_Toc25900_WPSOffice_Level1"/>
      <w:bookmarkStart w:id="48" w:name="_Toc26581"/>
      <w:bookmarkStart w:id="49" w:name="_Toc489922424"/>
      <w:bookmarkStart w:id="50" w:name="_Toc19184"/>
      <w:bookmarkStart w:id="51" w:name="_Toc27393"/>
      <w:bookmarkStart w:id="52" w:name="_Toc2072_WPSOffice_Level1"/>
      <w:r>
        <w:rPr>
          <w:bCs w:val="0"/>
          <w:color w:val="000000"/>
        </w:rPr>
        <w:t>四、关注的主要环境问题及环境影响</w:t>
      </w:r>
      <w:bookmarkEnd w:id="46"/>
      <w:bookmarkEnd w:id="47"/>
      <w:bookmarkEnd w:id="48"/>
      <w:bookmarkEnd w:id="49"/>
      <w:bookmarkEnd w:id="50"/>
      <w:bookmarkEnd w:id="51"/>
      <w:bookmarkEnd w:id="52"/>
    </w:p>
    <w:p w14:paraId="2604F7C8">
      <w:pPr>
        <w:ind w:firstLine="480"/>
        <w:rPr>
          <w:color w:val="000000"/>
        </w:rPr>
      </w:pPr>
      <w:r>
        <w:rPr>
          <w:color w:val="000000"/>
        </w:rPr>
        <w:t>（1）产业政策及相关环保规划的符合性。</w:t>
      </w:r>
    </w:p>
    <w:p w14:paraId="4F7D81B7">
      <w:pPr>
        <w:ind w:firstLine="480"/>
        <w:rPr>
          <w:color w:val="000000"/>
        </w:rPr>
      </w:pPr>
      <w:r>
        <w:rPr>
          <w:color w:val="000000"/>
        </w:rPr>
        <w:t>（2）了解现有工程存在的主要环境问题，三废处理方案及排放情况。</w:t>
      </w:r>
    </w:p>
    <w:p w14:paraId="06E9E135">
      <w:pPr>
        <w:ind w:firstLine="480"/>
        <w:rPr>
          <w:color w:val="000000"/>
        </w:rPr>
      </w:pPr>
      <w:r>
        <w:rPr>
          <w:color w:val="000000"/>
        </w:rPr>
        <w:t>（3）本项目位于现有LNG工厂内，公用工程及环保工程等存在依托关系，因此本项目将重点关注其依托可行性。</w:t>
      </w:r>
    </w:p>
    <w:p w14:paraId="0A8C8C3B">
      <w:pPr>
        <w:ind w:firstLine="480"/>
        <w:rPr>
          <w:color w:val="000000"/>
        </w:rPr>
      </w:pPr>
      <w:r>
        <w:rPr>
          <w:color w:val="000000"/>
        </w:rPr>
        <w:t>（4）本项目将关注废气、废水、噪声、固体废弃物及土壤、地下水、环境风险的主要环境影响。</w:t>
      </w:r>
    </w:p>
    <w:p w14:paraId="54AEA2B0">
      <w:pPr>
        <w:pStyle w:val="770"/>
        <w:outlineLvl w:val="9"/>
        <w:rPr>
          <w:bCs w:val="0"/>
          <w:color w:val="000000"/>
        </w:rPr>
      </w:pPr>
      <w:bookmarkStart w:id="53" w:name="_Toc15873_WPSOffice_Level1"/>
      <w:bookmarkStart w:id="54" w:name="_Toc3328"/>
      <w:bookmarkStart w:id="55" w:name="_Toc22374"/>
      <w:bookmarkStart w:id="56" w:name="_Toc127"/>
      <w:bookmarkStart w:id="57" w:name="_Toc22200_WPSOffice_Level1"/>
      <w:bookmarkStart w:id="58" w:name="_Toc500375966"/>
      <w:bookmarkStart w:id="59" w:name="_Toc489922425"/>
      <w:r>
        <w:rPr>
          <w:bCs w:val="0"/>
          <w:color w:val="000000"/>
        </w:rPr>
        <w:t>五、环境影响评价主要结论</w:t>
      </w:r>
      <w:bookmarkEnd w:id="53"/>
      <w:bookmarkEnd w:id="54"/>
      <w:bookmarkEnd w:id="55"/>
      <w:bookmarkEnd w:id="56"/>
      <w:bookmarkEnd w:id="57"/>
      <w:bookmarkEnd w:id="58"/>
      <w:bookmarkEnd w:id="59"/>
    </w:p>
    <w:p w14:paraId="46FB8381">
      <w:pPr>
        <w:ind w:firstLine="480"/>
        <w:rPr>
          <w:color w:val="000000"/>
          <w:kern w:val="0"/>
          <w:szCs w:val="20"/>
        </w:rPr>
      </w:pPr>
      <w:r>
        <w:rPr>
          <w:color w:val="000000"/>
        </w:rPr>
        <w:t>重庆中石化通汇能源有限公司涪陵LNG工厂增设BOG尾气提氦改扩建项目</w:t>
      </w:r>
      <w:r>
        <w:rPr>
          <w:color w:val="000000"/>
          <w:kern w:val="0"/>
          <w:szCs w:val="20"/>
        </w:rPr>
        <w:t>符合国家产业政策、用地规划，符合相关环保政策、环保规划以及重庆白涛化工园区总体规划环境影响报告书及审查意见的要求；</w:t>
      </w:r>
      <w:r>
        <w:rPr>
          <w:bCs/>
          <w:snapToGrid w:val="0"/>
          <w:color w:val="000000"/>
          <w:szCs w:val="24"/>
        </w:rPr>
        <w:t>符合《中华人民共和国长江保护法》中对化工项目的选址要求；</w:t>
      </w:r>
      <w:r>
        <w:rPr>
          <w:color w:val="000000"/>
          <w:kern w:val="0"/>
          <w:szCs w:val="20"/>
        </w:rPr>
        <w:t>项目生产中产生的各类污染物，拟采取的污染防治措施合理可行，可实现达标排放，对环境的影响程度较小，环境可接受；在加强安全生产措施、避免环境风险影响前提下，环境风险可控。从环境保护角度看，本项目的建设是可行的。</w:t>
      </w:r>
    </w:p>
    <w:p w14:paraId="39F219E2">
      <w:pPr>
        <w:ind w:firstLine="480"/>
        <w:rPr>
          <w:color w:val="000000"/>
        </w:rPr>
      </w:pPr>
    </w:p>
    <w:p w14:paraId="0DCF8872">
      <w:pPr>
        <w:rPr>
          <w:color w:val="000000"/>
        </w:rPr>
        <w:sectPr>
          <w:footerReference r:id="rId11" w:type="default"/>
          <w:pgSz w:w="11850" w:h="16783"/>
          <w:pgMar w:top="1440" w:right="1531" w:bottom="1440" w:left="1531" w:header="850" w:footer="964" w:gutter="0"/>
          <w:pgNumType w:start="1"/>
          <w:cols w:space="720" w:num="1"/>
          <w:docGrid w:linePitch="332" w:charSpace="0"/>
        </w:sectPr>
      </w:pPr>
    </w:p>
    <w:p w14:paraId="5732FC8B">
      <w:pPr>
        <w:pStyle w:val="781"/>
        <w:rPr>
          <w:color w:val="000000"/>
        </w:rPr>
      </w:pPr>
      <w:bookmarkStart w:id="60" w:name="_Toc407830676"/>
      <w:bookmarkStart w:id="61" w:name="_Toc407830801"/>
      <w:bookmarkStart w:id="62" w:name="_Toc407828642"/>
      <w:bookmarkStart w:id="63" w:name="_Toc407830717"/>
      <w:bookmarkStart w:id="64" w:name="_Toc408334028"/>
      <w:bookmarkStart w:id="65" w:name="_Toc408345137"/>
      <w:bookmarkStart w:id="66" w:name="_Toc440766058"/>
      <w:bookmarkStart w:id="67" w:name="_Toc26637"/>
      <w:bookmarkStart w:id="68" w:name="_Toc489922426"/>
      <w:bookmarkStart w:id="69" w:name="_Toc500375967"/>
      <w:bookmarkStart w:id="70" w:name="_Toc440766254"/>
      <w:bookmarkStart w:id="71" w:name="_Toc26616_WPSOffice_Level2"/>
      <w:bookmarkStart w:id="72" w:name="_Toc477144586"/>
      <w:r>
        <w:rPr>
          <w:color w:val="000000"/>
        </w:rPr>
        <w:t>1 总</w:t>
      </w:r>
      <w:bookmarkEnd w:id="60"/>
      <w:bookmarkEnd w:id="61"/>
      <w:bookmarkEnd w:id="62"/>
      <w:bookmarkEnd w:id="63"/>
      <w:bookmarkEnd w:id="64"/>
      <w:bookmarkEnd w:id="65"/>
      <w:r>
        <w:rPr>
          <w:color w:val="000000"/>
        </w:rPr>
        <w:t xml:space="preserve">  则</w:t>
      </w:r>
      <w:bookmarkEnd w:id="66"/>
      <w:bookmarkEnd w:id="67"/>
      <w:bookmarkEnd w:id="68"/>
      <w:bookmarkEnd w:id="69"/>
      <w:bookmarkEnd w:id="70"/>
      <w:bookmarkEnd w:id="71"/>
      <w:bookmarkEnd w:id="72"/>
    </w:p>
    <w:p w14:paraId="078C1AED">
      <w:pPr>
        <w:pStyle w:val="770"/>
        <w:rPr>
          <w:bCs w:val="0"/>
          <w:color w:val="000000"/>
        </w:rPr>
      </w:pPr>
      <w:bookmarkStart w:id="73" w:name="_Toc440766059"/>
      <w:bookmarkStart w:id="74" w:name="_Toc440766255"/>
      <w:bookmarkStart w:id="75" w:name="_Toc26616_WPSOffice_Level3"/>
      <w:bookmarkStart w:id="76" w:name="_Toc489922427"/>
      <w:bookmarkStart w:id="77" w:name="_Toc500375968"/>
      <w:bookmarkStart w:id="78" w:name="_Toc477144587"/>
      <w:bookmarkStart w:id="79" w:name="_Toc15604"/>
      <w:bookmarkStart w:id="80" w:name="_Toc407830678"/>
      <w:bookmarkStart w:id="81" w:name="_Toc408334032"/>
      <w:bookmarkStart w:id="82" w:name="_Toc407830719"/>
      <w:bookmarkStart w:id="83" w:name="_Toc407830803"/>
      <w:bookmarkStart w:id="84" w:name="_Toc408345141"/>
      <w:r>
        <w:rPr>
          <w:bCs w:val="0"/>
          <w:color w:val="000000"/>
        </w:rPr>
        <w:t>1.1 编制依据</w:t>
      </w:r>
      <w:bookmarkEnd w:id="73"/>
      <w:bookmarkEnd w:id="74"/>
      <w:bookmarkEnd w:id="75"/>
      <w:bookmarkEnd w:id="76"/>
      <w:bookmarkEnd w:id="77"/>
      <w:bookmarkEnd w:id="78"/>
      <w:bookmarkEnd w:id="79"/>
    </w:p>
    <w:p w14:paraId="7CC940E5">
      <w:pPr>
        <w:pStyle w:val="771"/>
        <w:rPr>
          <w:color w:val="000000"/>
        </w:rPr>
      </w:pPr>
      <w:bookmarkStart w:id="85" w:name="_Toc489922428"/>
      <w:bookmarkStart w:id="86" w:name="_Toc440766060"/>
      <w:bookmarkStart w:id="87" w:name="_Toc500375969"/>
      <w:bookmarkStart w:id="88" w:name="_Toc440766256"/>
      <w:bookmarkStart w:id="89" w:name="_Toc424636392"/>
      <w:r>
        <w:rPr>
          <w:color w:val="000000"/>
        </w:rPr>
        <w:t>1.1.1 相关法律</w:t>
      </w:r>
      <w:bookmarkEnd w:id="85"/>
      <w:bookmarkEnd w:id="86"/>
      <w:bookmarkEnd w:id="87"/>
      <w:bookmarkEnd w:id="88"/>
      <w:bookmarkEnd w:id="89"/>
    </w:p>
    <w:bookmarkEnd w:id="80"/>
    <w:bookmarkEnd w:id="81"/>
    <w:bookmarkEnd w:id="82"/>
    <w:bookmarkEnd w:id="83"/>
    <w:bookmarkEnd w:id="84"/>
    <w:p w14:paraId="37EE33F0">
      <w:pPr>
        <w:ind w:firstLine="480"/>
        <w:rPr>
          <w:color w:val="000000"/>
        </w:rPr>
      </w:pPr>
      <w:r>
        <w:rPr>
          <w:color w:val="000000"/>
        </w:rPr>
        <w:t>（1）《中华人民共和国环境保护法》（2014年修订）；</w:t>
      </w:r>
    </w:p>
    <w:p w14:paraId="7D9C919A">
      <w:pPr>
        <w:ind w:firstLine="480"/>
        <w:rPr>
          <w:color w:val="000000"/>
        </w:rPr>
      </w:pPr>
      <w:r>
        <w:rPr>
          <w:color w:val="000000"/>
        </w:rPr>
        <w:t>（2）《中华人民共和国环境影响评价法》（</w:t>
      </w:r>
      <w:r>
        <w:rPr>
          <w:color w:val="000000"/>
          <w:szCs w:val="24"/>
        </w:rPr>
        <w:t>2018年修订</w:t>
      </w:r>
      <w:r>
        <w:rPr>
          <w:color w:val="000000"/>
        </w:rPr>
        <w:t>）；</w:t>
      </w:r>
    </w:p>
    <w:p w14:paraId="50D27394">
      <w:pPr>
        <w:ind w:firstLine="480"/>
        <w:rPr>
          <w:color w:val="000000"/>
        </w:rPr>
      </w:pPr>
      <w:r>
        <w:rPr>
          <w:color w:val="000000"/>
        </w:rPr>
        <w:t>（3）《中华人民共和国大气污染防治法》（</w:t>
      </w:r>
      <w:r>
        <w:rPr>
          <w:color w:val="000000"/>
          <w:szCs w:val="24"/>
        </w:rPr>
        <w:t>2018年修订</w:t>
      </w:r>
      <w:r>
        <w:rPr>
          <w:color w:val="000000"/>
        </w:rPr>
        <w:t>）；</w:t>
      </w:r>
    </w:p>
    <w:p w14:paraId="2F98FF15">
      <w:pPr>
        <w:ind w:firstLine="480"/>
        <w:rPr>
          <w:color w:val="000000"/>
        </w:rPr>
      </w:pPr>
      <w:r>
        <w:rPr>
          <w:color w:val="000000"/>
        </w:rPr>
        <w:t>（4）《中华人民共和国水污染防治法》（201</w:t>
      </w:r>
      <w:r>
        <w:rPr>
          <w:color w:val="000000"/>
          <w:szCs w:val="24"/>
        </w:rPr>
        <w:t>7年修订</w:t>
      </w:r>
      <w:r>
        <w:rPr>
          <w:color w:val="000000"/>
        </w:rPr>
        <w:t>）；</w:t>
      </w:r>
    </w:p>
    <w:p w14:paraId="0D8837D8">
      <w:pPr>
        <w:ind w:firstLine="480"/>
        <w:rPr>
          <w:color w:val="000000"/>
        </w:rPr>
      </w:pPr>
      <w:r>
        <w:rPr>
          <w:color w:val="000000"/>
        </w:rPr>
        <w:t>（5）《中华人民共和国环境噪声污染防治法》（</w:t>
      </w:r>
      <w:r>
        <w:rPr>
          <w:color w:val="000000"/>
          <w:szCs w:val="24"/>
        </w:rPr>
        <w:t>2018年修订</w:t>
      </w:r>
      <w:r>
        <w:rPr>
          <w:color w:val="000000"/>
        </w:rPr>
        <w:t>）；</w:t>
      </w:r>
    </w:p>
    <w:p w14:paraId="3156246F">
      <w:pPr>
        <w:ind w:firstLine="480"/>
        <w:rPr>
          <w:color w:val="000000"/>
        </w:rPr>
      </w:pPr>
      <w:r>
        <w:rPr>
          <w:color w:val="000000"/>
        </w:rPr>
        <w:t>（6）《中华人民共和国固体废物污染环境防治法》（</w:t>
      </w:r>
      <w:r>
        <w:rPr>
          <w:color w:val="000000"/>
          <w:szCs w:val="24"/>
        </w:rPr>
        <w:t>2020年修订</w:t>
      </w:r>
      <w:r>
        <w:rPr>
          <w:color w:val="000000"/>
        </w:rPr>
        <w:t>）；</w:t>
      </w:r>
    </w:p>
    <w:p w14:paraId="241BB818">
      <w:pPr>
        <w:ind w:firstLine="480" w:firstLineChars="200"/>
        <w:rPr>
          <w:color w:val="000000"/>
        </w:rPr>
      </w:pPr>
      <w:r>
        <w:rPr>
          <w:color w:val="000000"/>
        </w:rPr>
        <w:t>（7）《中华人民共和国循环经济促进法》（2018年修订）；</w:t>
      </w:r>
    </w:p>
    <w:p w14:paraId="6B15B3A9">
      <w:pPr>
        <w:ind w:firstLine="480"/>
        <w:rPr>
          <w:color w:val="000000"/>
        </w:rPr>
      </w:pPr>
      <w:r>
        <w:rPr>
          <w:color w:val="000000"/>
        </w:rPr>
        <w:t>（8）《中华人民共和国节约能源法》（</w:t>
      </w:r>
      <w:r>
        <w:rPr>
          <w:color w:val="000000"/>
          <w:szCs w:val="24"/>
        </w:rPr>
        <w:t>2018年修订</w:t>
      </w:r>
      <w:r>
        <w:rPr>
          <w:color w:val="000000"/>
        </w:rPr>
        <w:t>）；</w:t>
      </w:r>
    </w:p>
    <w:p w14:paraId="6C75246A">
      <w:pPr>
        <w:ind w:firstLine="480" w:firstLineChars="200"/>
        <w:rPr>
          <w:color w:val="000000"/>
        </w:rPr>
      </w:pPr>
      <w:r>
        <w:rPr>
          <w:color w:val="000000"/>
        </w:rPr>
        <w:t>（9）《中华人民共和国清洁生产促进法》（2016年修订）；</w:t>
      </w:r>
    </w:p>
    <w:p w14:paraId="6ACF0468">
      <w:pPr>
        <w:ind w:firstLine="480"/>
        <w:rPr>
          <w:color w:val="000000"/>
        </w:rPr>
      </w:pPr>
      <w:r>
        <w:rPr>
          <w:color w:val="000000"/>
        </w:rPr>
        <w:t>（10）《中华人民共和国土壤污染防治法》（2019年1月1日起实施）；</w:t>
      </w:r>
    </w:p>
    <w:p w14:paraId="0AA6FF88">
      <w:pPr>
        <w:ind w:firstLine="480"/>
        <w:rPr>
          <w:color w:val="000000"/>
        </w:rPr>
      </w:pPr>
      <w:r>
        <w:rPr>
          <w:color w:val="000000"/>
        </w:rPr>
        <w:t>（11）《中华人民共和国环境保护税法》（2018年修订）。</w:t>
      </w:r>
    </w:p>
    <w:p w14:paraId="12614647">
      <w:pPr>
        <w:pStyle w:val="771"/>
        <w:rPr>
          <w:color w:val="000000"/>
        </w:rPr>
      </w:pPr>
      <w:bookmarkStart w:id="90" w:name="_Toc500375970"/>
      <w:bookmarkStart w:id="91" w:name="_Toc440766061"/>
      <w:bookmarkStart w:id="92" w:name="_Toc440766257"/>
      <w:bookmarkStart w:id="93" w:name="_Toc424636393"/>
      <w:bookmarkStart w:id="94" w:name="_Toc489922429"/>
      <w:r>
        <w:rPr>
          <w:color w:val="000000"/>
        </w:rPr>
        <w:t>1.1.2 相关政策、行政法规及规划</w:t>
      </w:r>
      <w:bookmarkEnd w:id="90"/>
      <w:bookmarkEnd w:id="91"/>
      <w:bookmarkEnd w:id="92"/>
      <w:bookmarkEnd w:id="93"/>
      <w:bookmarkEnd w:id="94"/>
    </w:p>
    <w:p w14:paraId="4949326C">
      <w:pPr>
        <w:tabs>
          <w:tab w:val="left" w:pos="993"/>
        </w:tabs>
        <w:ind w:firstLine="480"/>
        <w:rPr>
          <w:color w:val="000000"/>
        </w:rPr>
      </w:pPr>
      <w:r>
        <w:rPr>
          <w:color w:val="000000"/>
        </w:rPr>
        <w:t xml:space="preserve">（1）《建设项目环境保护管理条例》（2017年10月1日）； </w:t>
      </w:r>
    </w:p>
    <w:p w14:paraId="3A23FC25">
      <w:pPr>
        <w:tabs>
          <w:tab w:val="left" w:pos="993"/>
        </w:tabs>
        <w:ind w:firstLine="480"/>
        <w:rPr>
          <w:color w:val="000000"/>
        </w:rPr>
      </w:pPr>
      <w:r>
        <w:rPr>
          <w:color w:val="000000"/>
        </w:rPr>
        <w:t>（2）《建设项目环境影响评价分类管理名录（2021年版）》（生态环境</w:t>
      </w:r>
      <w:r>
        <w:rPr>
          <w:rFonts w:hint="eastAsia"/>
          <w:color w:val="000000"/>
          <w:lang w:eastAsia="zh-CN"/>
        </w:rPr>
        <w:t>部</w:t>
      </w:r>
      <w:r>
        <w:rPr>
          <w:color w:val="000000"/>
        </w:rPr>
        <w:t>令第16号）；</w:t>
      </w:r>
    </w:p>
    <w:p w14:paraId="054DB506">
      <w:pPr>
        <w:tabs>
          <w:tab w:val="left" w:pos="993"/>
        </w:tabs>
        <w:ind w:firstLine="480"/>
        <w:rPr>
          <w:color w:val="000000"/>
        </w:rPr>
      </w:pPr>
      <w:r>
        <w:rPr>
          <w:color w:val="000000"/>
        </w:rPr>
        <w:t>（3）《产业结构调整指导目录（2019年本）》（国家发展和改革委员会令第29号）；</w:t>
      </w:r>
    </w:p>
    <w:p w14:paraId="1B056DF0">
      <w:pPr>
        <w:tabs>
          <w:tab w:val="left" w:pos="993"/>
        </w:tabs>
        <w:ind w:firstLine="480"/>
        <w:rPr>
          <w:color w:val="000000"/>
        </w:rPr>
      </w:pPr>
      <w:r>
        <w:rPr>
          <w:color w:val="000000"/>
        </w:rPr>
        <w:t>（4）《市场准入负面清单（2020年版）》；</w:t>
      </w:r>
    </w:p>
    <w:p w14:paraId="3EF3F7B7">
      <w:pPr>
        <w:tabs>
          <w:tab w:val="left" w:pos="993"/>
        </w:tabs>
        <w:ind w:firstLine="480"/>
        <w:rPr>
          <w:color w:val="000000"/>
        </w:rPr>
      </w:pPr>
      <w:r>
        <w:rPr>
          <w:color w:val="000000"/>
        </w:rPr>
        <w:t>（5）《国家危险废物名录（2021年版）》（环境保护</w:t>
      </w:r>
      <w:r>
        <w:rPr>
          <w:rFonts w:hint="eastAsia"/>
          <w:color w:val="000000"/>
          <w:lang w:eastAsia="zh-CN"/>
        </w:rPr>
        <w:t>部令</w:t>
      </w:r>
      <w:r>
        <w:rPr>
          <w:color w:val="000000"/>
        </w:rPr>
        <w:t>第15号，2020年11月25日）；</w:t>
      </w:r>
    </w:p>
    <w:p w14:paraId="2561F8F0">
      <w:pPr>
        <w:tabs>
          <w:tab w:val="left" w:pos="993"/>
        </w:tabs>
        <w:ind w:firstLine="480"/>
        <w:rPr>
          <w:color w:val="000000"/>
        </w:rPr>
      </w:pPr>
      <w:r>
        <w:rPr>
          <w:color w:val="000000"/>
        </w:rPr>
        <w:t>（6）《危险废物鉴别技术规范》（HJ 298-2019）；</w:t>
      </w:r>
    </w:p>
    <w:p w14:paraId="117E71DF">
      <w:pPr>
        <w:tabs>
          <w:tab w:val="left" w:pos="993"/>
        </w:tabs>
        <w:ind w:firstLine="480"/>
        <w:rPr>
          <w:color w:val="000000"/>
        </w:rPr>
      </w:pPr>
      <w:r>
        <w:rPr>
          <w:color w:val="000000"/>
        </w:rPr>
        <w:t>（7）《危险废物收集贮存运输技术规范》（HJ2025-2012）；</w:t>
      </w:r>
    </w:p>
    <w:p w14:paraId="663E310D">
      <w:pPr>
        <w:tabs>
          <w:tab w:val="left" w:pos="993"/>
        </w:tabs>
        <w:ind w:firstLine="480"/>
        <w:rPr>
          <w:color w:val="000000"/>
        </w:rPr>
      </w:pPr>
      <w:r>
        <w:rPr>
          <w:color w:val="000000"/>
        </w:rPr>
        <w:t>（8）《危险废物污染防治技术政策》（环发[2001]199号）；</w:t>
      </w:r>
    </w:p>
    <w:p w14:paraId="04B63E04">
      <w:pPr>
        <w:tabs>
          <w:tab w:val="left" w:pos="993"/>
        </w:tabs>
        <w:ind w:firstLine="480"/>
        <w:rPr>
          <w:color w:val="000000"/>
        </w:rPr>
      </w:pPr>
      <w:r>
        <w:rPr>
          <w:color w:val="000000"/>
        </w:rPr>
        <w:t>（9）《危险化学品安全管理条例》（中华人民共和国国务院令第645号，2013年12月7日）；</w:t>
      </w:r>
    </w:p>
    <w:p w14:paraId="29236798">
      <w:pPr>
        <w:tabs>
          <w:tab w:val="left" w:pos="993"/>
        </w:tabs>
        <w:ind w:firstLine="480"/>
        <w:rPr>
          <w:color w:val="000000"/>
        </w:rPr>
      </w:pPr>
      <w:r>
        <w:rPr>
          <w:color w:val="000000"/>
        </w:rPr>
        <w:t>（10）《常用化学危险品贮存通则》（GB15603-1995）；</w:t>
      </w:r>
    </w:p>
    <w:p w14:paraId="7B9EB3C8">
      <w:pPr>
        <w:tabs>
          <w:tab w:val="left" w:pos="993"/>
        </w:tabs>
        <w:ind w:firstLine="480"/>
        <w:rPr>
          <w:color w:val="000000"/>
        </w:rPr>
      </w:pPr>
      <w:r>
        <w:rPr>
          <w:color w:val="000000"/>
        </w:rPr>
        <w:t>（11）《危险化学品目录（2015版）》；</w:t>
      </w:r>
    </w:p>
    <w:p w14:paraId="4648A4FA">
      <w:pPr>
        <w:tabs>
          <w:tab w:val="left" w:pos="993"/>
        </w:tabs>
        <w:ind w:firstLine="480"/>
        <w:rPr>
          <w:color w:val="000000"/>
        </w:rPr>
      </w:pPr>
      <w:r>
        <w:rPr>
          <w:color w:val="000000"/>
        </w:rPr>
        <w:t>（12）《重点监管危险化学品目录（2013版）》；</w:t>
      </w:r>
    </w:p>
    <w:p w14:paraId="41EC9812">
      <w:pPr>
        <w:tabs>
          <w:tab w:val="left" w:pos="993"/>
        </w:tabs>
        <w:ind w:firstLine="480"/>
        <w:rPr>
          <w:color w:val="000000"/>
        </w:rPr>
      </w:pPr>
      <w:r>
        <w:rPr>
          <w:color w:val="000000"/>
        </w:rPr>
        <w:t>（13）《重点监管危险化工工艺目录（2013版）》；</w:t>
      </w:r>
    </w:p>
    <w:p w14:paraId="6787CCBC">
      <w:pPr>
        <w:tabs>
          <w:tab w:val="left" w:pos="993"/>
        </w:tabs>
        <w:ind w:firstLine="480"/>
        <w:rPr>
          <w:color w:val="000000"/>
        </w:rPr>
      </w:pPr>
      <w:r>
        <w:rPr>
          <w:color w:val="000000"/>
        </w:rPr>
        <w:t>（14）《关于进一步加强环境影响评价管理防范环境风险的通知》（环发[2012]77号）、《关于切实加强风险防范严格环境影响评价管理的通知》（环发[2012]98号）；</w:t>
      </w:r>
    </w:p>
    <w:p w14:paraId="60EBD341">
      <w:pPr>
        <w:tabs>
          <w:tab w:val="left" w:pos="993"/>
        </w:tabs>
        <w:ind w:firstLine="480"/>
        <w:rPr>
          <w:color w:val="000000"/>
        </w:rPr>
      </w:pPr>
      <w:r>
        <w:rPr>
          <w:color w:val="000000"/>
        </w:rPr>
        <w:t>（15）《环境影响评价公众参与办法》（2019年1月1日）；</w:t>
      </w:r>
    </w:p>
    <w:p w14:paraId="7657BE4F">
      <w:pPr>
        <w:tabs>
          <w:tab w:val="left" w:pos="993"/>
        </w:tabs>
        <w:ind w:firstLine="480"/>
        <w:rPr>
          <w:color w:val="000000"/>
        </w:rPr>
      </w:pPr>
      <w:r>
        <w:rPr>
          <w:color w:val="000000"/>
        </w:rPr>
        <w:t>（16）《化工建设项目环境保护工程设计标准》（GB/T50483-2019）；</w:t>
      </w:r>
    </w:p>
    <w:p w14:paraId="0DD109DA">
      <w:pPr>
        <w:tabs>
          <w:tab w:val="left" w:pos="993"/>
        </w:tabs>
        <w:ind w:firstLine="480"/>
        <w:rPr>
          <w:color w:val="000000"/>
        </w:rPr>
      </w:pPr>
      <w:r>
        <w:rPr>
          <w:color w:val="000000"/>
        </w:rPr>
        <w:t>（17）《关于加强规划环境影响评价与建设项目环境影响评价联动工作的意见》，（环发[2015]178号）；</w:t>
      </w:r>
    </w:p>
    <w:p w14:paraId="6A16A374">
      <w:pPr>
        <w:tabs>
          <w:tab w:val="left" w:pos="993"/>
        </w:tabs>
        <w:ind w:firstLine="480"/>
        <w:rPr>
          <w:color w:val="000000"/>
        </w:rPr>
      </w:pPr>
      <w:r>
        <w:rPr>
          <w:color w:val="000000"/>
        </w:rPr>
        <w:t>（18）《大气污染防治行动计划》（国发[2013]37号）；</w:t>
      </w:r>
    </w:p>
    <w:p w14:paraId="6D43A6AF">
      <w:pPr>
        <w:tabs>
          <w:tab w:val="left" w:pos="993"/>
        </w:tabs>
        <w:ind w:firstLine="480"/>
        <w:rPr>
          <w:color w:val="000000"/>
        </w:rPr>
      </w:pPr>
      <w:r>
        <w:rPr>
          <w:color w:val="000000"/>
        </w:rPr>
        <w:t>（19）《水污染防治行动计划》（国发[2015]17号）；</w:t>
      </w:r>
    </w:p>
    <w:p w14:paraId="272EEB79">
      <w:pPr>
        <w:tabs>
          <w:tab w:val="left" w:pos="993"/>
        </w:tabs>
        <w:ind w:firstLine="480"/>
        <w:rPr>
          <w:color w:val="000000"/>
        </w:rPr>
      </w:pPr>
      <w:r>
        <w:rPr>
          <w:color w:val="000000"/>
        </w:rPr>
        <w:t>（20）《土壤污染防治行动计划》（国发[2016]31号）；</w:t>
      </w:r>
    </w:p>
    <w:p w14:paraId="7885D5A5">
      <w:pPr>
        <w:tabs>
          <w:tab w:val="left" w:pos="993"/>
        </w:tabs>
        <w:ind w:firstLine="480"/>
        <w:rPr>
          <w:color w:val="000000"/>
        </w:rPr>
      </w:pPr>
      <w:r>
        <w:rPr>
          <w:color w:val="000000"/>
        </w:rPr>
        <w:t>（21）《“十三五”挥发性有机物污染防治工作方案》（环大气[2017]121号）；</w:t>
      </w:r>
    </w:p>
    <w:p w14:paraId="3C98CF68">
      <w:pPr>
        <w:tabs>
          <w:tab w:val="left" w:pos="993"/>
        </w:tabs>
        <w:ind w:firstLine="480"/>
        <w:rPr>
          <w:color w:val="000000"/>
        </w:rPr>
      </w:pPr>
      <w:r>
        <w:rPr>
          <w:color w:val="000000"/>
        </w:rPr>
        <w:t>（22）《重点流域水污染防治规划（2016-2020年）》（环水体[2017]142号）；</w:t>
      </w:r>
    </w:p>
    <w:p w14:paraId="2B351F14">
      <w:pPr>
        <w:tabs>
          <w:tab w:val="left" w:pos="993"/>
        </w:tabs>
        <w:ind w:firstLine="480"/>
        <w:rPr>
          <w:color w:val="000000"/>
        </w:rPr>
      </w:pPr>
      <w:r>
        <w:rPr>
          <w:color w:val="000000"/>
        </w:rPr>
        <w:t>（23）《打赢蓝天保卫战三年行动计划（2018-2020）》（国发[2018]22号）；</w:t>
      </w:r>
    </w:p>
    <w:p w14:paraId="1500D8CC">
      <w:pPr>
        <w:tabs>
          <w:tab w:val="left" w:pos="993"/>
        </w:tabs>
        <w:ind w:firstLine="480"/>
        <w:rPr>
          <w:color w:val="000000"/>
        </w:rPr>
      </w:pPr>
      <w:r>
        <w:rPr>
          <w:color w:val="000000"/>
        </w:rPr>
        <w:t>（24）《长江保护修复攻坚战行动计划》（环水体[2018]181号）；</w:t>
      </w:r>
    </w:p>
    <w:p w14:paraId="10F2A6A4">
      <w:pPr>
        <w:tabs>
          <w:tab w:val="left" w:pos="993"/>
        </w:tabs>
        <w:ind w:firstLine="480"/>
        <w:rPr>
          <w:color w:val="000000"/>
        </w:rPr>
      </w:pPr>
      <w:r>
        <w:rPr>
          <w:color w:val="000000"/>
        </w:rPr>
        <w:t>（25）《关于坚决遏制固体废物非法转移和倾倒进一步加强危险废物全过程监管的通知》（环办土壤函[2018]266号）；</w:t>
      </w:r>
    </w:p>
    <w:p w14:paraId="6A68A0A7">
      <w:pPr>
        <w:tabs>
          <w:tab w:val="left" w:pos="993"/>
        </w:tabs>
        <w:ind w:firstLine="480"/>
        <w:rPr>
          <w:color w:val="000000"/>
        </w:rPr>
      </w:pPr>
      <w:r>
        <w:rPr>
          <w:color w:val="000000"/>
        </w:rPr>
        <w:t>（26）《地下水污染防治实施方案》（环土壤[2019]25号）；</w:t>
      </w:r>
    </w:p>
    <w:p w14:paraId="3C1314AC">
      <w:pPr>
        <w:tabs>
          <w:tab w:val="left" w:pos="993"/>
        </w:tabs>
        <w:ind w:firstLine="480"/>
        <w:rPr>
          <w:color w:val="000000"/>
        </w:rPr>
      </w:pPr>
      <w:r>
        <w:rPr>
          <w:color w:val="000000"/>
        </w:rPr>
        <w:t>（27）《&lt;关于进一步加强工业节水工作的意见&gt;的通知》（工信部节［2010］218号）；</w:t>
      </w:r>
    </w:p>
    <w:p w14:paraId="4EF0F793">
      <w:pPr>
        <w:tabs>
          <w:tab w:val="left" w:pos="993"/>
        </w:tabs>
        <w:ind w:firstLine="480"/>
        <w:rPr>
          <w:color w:val="000000"/>
        </w:rPr>
      </w:pPr>
      <w:r>
        <w:rPr>
          <w:color w:val="000000"/>
        </w:rPr>
        <w:t>（28）《国务院关于加强环境保护重点工作的意见》（国发[2011]35号）；</w:t>
      </w:r>
    </w:p>
    <w:p w14:paraId="73442D2E">
      <w:pPr>
        <w:tabs>
          <w:tab w:val="left" w:pos="993"/>
        </w:tabs>
        <w:ind w:firstLine="480"/>
        <w:rPr>
          <w:color w:val="000000"/>
        </w:rPr>
      </w:pPr>
      <w:r>
        <w:rPr>
          <w:color w:val="000000"/>
        </w:rPr>
        <w:t>（29）《国家发展改革委环境保护部印发关于加强长江黄金水道环境污染防控治理的指导意见的通知》（发改环资[2016]370号）；</w:t>
      </w:r>
    </w:p>
    <w:p w14:paraId="5D2E8754">
      <w:pPr>
        <w:tabs>
          <w:tab w:val="left" w:pos="993"/>
        </w:tabs>
        <w:ind w:firstLine="480"/>
        <w:rPr>
          <w:color w:val="000000"/>
        </w:rPr>
      </w:pPr>
      <w:r>
        <w:rPr>
          <w:color w:val="000000"/>
        </w:rPr>
        <w:t>（31）《关于落实大气污染防治行动计划严格环境影响评价准入的通知》（环办[2014]30号）；</w:t>
      </w:r>
    </w:p>
    <w:p w14:paraId="5DBD2177">
      <w:pPr>
        <w:tabs>
          <w:tab w:val="left" w:pos="993"/>
        </w:tabs>
        <w:ind w:firstLine="480"/>
        <w:rPr>
          <w:color w:val="000000"/>
        </w:rPr>
      </w:pPr>
      <w:r>
        <w:rPr>
          <w:color w:val="000000"/>
        </w:rPr>
        <w:t>（32）《企业突发环境事件风险评估指南（试行）》（环办[2014]34号）；</w:t>
      </w:r>
    </w:p>
    <w:p w14:paraId="5CBB6C54">
      <w:pPr>
        <w:tabs>
          <w:tab w:val="left" w:pos="993"/>
        </w:tabs>
        <w:ind w:firstLine="480"/>
        <w:rPr>
          <w:color w:val="000000"/>
        </w:rPr>
      </w:pPr>
      <w:r>
        <w:rPr>
          <w:color w:val="000000"/>
        </w:rPr>
        <w:t>（33）《企业突发环境事件风险分级方法》(HJ 941-2018)；</w:t>
      </w:r>
    </w:p>
    <w:p w14:paraId="52C2A1FA">
      <w:pPr>
        <w:tabs>
          <w:tab w:val="left" w:pos="993"/>
        </w:tabs>
        <w:ind w:firstLine="480"/>
        <w:rPr>
          <w:color w:val="000000"/>
        </w:rPr>
      </w:pPr>
      <w:r>
        <w:rPr>
          <w:color w:val="000000"/>
        </w:rPr>
        <w:t>（34）《企业事业单位突发环境事件应急预案备案管理办法（试行）》（环办[2015]4号）；</w:t>
      </w:r>
    </w:p>
    <w:p w14:paraId="62643C86">
      <w:pPr>
        <w:tabs>
          <w:tab w:val="left" w:pos="993"/>
        </w:tabs>
        <w:ind w:firstLine="480"/>
        <w:rPr>
          <w:color w:val="000000"/>
        </w:rPr>
      </w:pPr>
      <w:r>
        <w:rPr>
          <w:color w:val="000000"/>
        </w:rPr>
        <w:t>（35）《长江经济带生态环境保护规划》（环规财[2017]88号）；</w:t>
      </w:r>
    </w:p>
    <w:p w14:paraId="6FB2272F">
      <w:pPr>
        <w:tabs>
          <w:tab w:val="left" w:pos="993"/>
        </w:tabs>
        <w:ind w:firstLine="480"/>
        <w:rPr>
          <w:color w:val="000000"/>
        </w:rPr>
      </w:pPr>
      <w:r>
        <w:rPr>
          <w:color w:val="000000"/>
        </w:rPr>
        <w:t>（36）《关于发布长江经济带发展负面清单指南（试行）的通知》（2019年1月12日）；</w:t>
      </w:r>
    </w:p>
    <w:p w14:paraId="3DE66DA3">
      <w:pPr>
        <w:tabs>
          <w:tab w:val="left" w:pos="993"/>
        </w:tabs>
        <w:ind w:firstLine="480"/>
        <w:rPr>
          <w:color w:val="000000"/>
        </w:rPr>
      </w:pPr>
      <w:r>
        <w:rPr>
          <w:color w:val="000000"/>
        </w:rPr>
        <w:t>（37）《排污许可管理办法（试行）》（环境保护部令第48号）；</w:t>
      </w:r>
    </w:p>
    <w:p w14:paraId="63F6C97F">
      <w:pPr>
        <w:tabs>
          <w:tab w:val="left" w:pos="993"/>
        </w:tabs>
        <w:ind w:firstLine="480"/>
        <w:rPr>
          <w:color w:val="000000"/>
        </w:rPr>
      </w:pPr>
      <w:r>
        <w:rPr>
          <w:color w:val="000000"/>
        </w:rPr>
        <w:t>（38）《关于印发&lt;重点行业挥发性有机物综合治理方案&gt;的通知》（环大气[2019]53号）；</w:t>
      </w:r>
    </w:p>
    <w:p w14:paraId="1AEEE862">
      <w:pPr>
        <w:tabs>
          <w:tab w:val="left" w:pos="993"/>
        </w:tabs>
        <w:ind w:firstLine="480"/>
        <w:rPr>
          <w:color w:val="000000"/>
        </w:rPr>
      </w:pPr>
      <w:r>
        <w:rPr>
          <w:color w:val="000000"/>
        </w:rPr>
        <w:t>（39）《国务院关于印发全国主体功能区规划的通知》（国发[2010]46号）；</w:t>
      </w:r>
    </w:p>
    <w:p w14:paraId="16F2F4E4">
      <w:pPr>
        <w:tabs>
          <w:tab w:val="left" w:pos="993"/>
        </w:tabs>
        <w:ind w:firstLine="480"/>
        <w:rPr>
          <w:color w:val="000000"/>
        </w:rPr>
      </w:pPr>
      <w:r>
        <w:rPr>
          <w:color w:val="000000"/>
        </w:rPr>
        <w:t>（40）《关于印发&lt;全国生态功能区划（修编版）&gt;的公告》（公告2015年第61号）。</w:t>
      </w:r>
    </w:p>
    <w:p w14:paraId="68E13B1D">
      <w:pPr>
        <w:pStyle w:val="771"/>
        <w:rPr>
          <w:color w:val="000000"/>
        </w:rPr>
      </w:pPr>
      <w:bookmarkStart w:id="95" w:name="_Toc440766258"/>
      <w:bookmarkStart w:id="96" w:name="_Toc500375971"/>
      <w:bookmarkStart w:id="97" w:name="_Toc424636394"/>
      <w:bookmarkStart w:id="98" w:name="_Toc440766062"/>
      <w:bookmarkStart w:id="99" w:name="_Toc489922430"/>
      <w:r>
        <w:rPr>
          <w:color w:val="000000"/>
        </w:rPr>
        <w:t>1.1.3 地方法规与规范性文件</w:t>
      </w:r>
      <w:bookmarkEnd w:id="95"/>
      <w:bookmarkEnd w:id="96"/>
      <w:bookmarkEnd w:id="97"/>
      <w:bookmarkEnd w:id="98"/>
      <w:bookmarkEnd w:id="99"/>
    </w:p>
    <w:p w14:paraId="4B590CA7">
      <w:pPr>
        <w:pStyle w:val="2176"/>
        <w:ind w:firstLine="480" w:firstLineChars="200"/>
        <w:rPr>
          <w:color w:val="000000"/>
        </w:rPr>
      </w:pPr>
      <w:r>
        <w:rPr>
          <w:color w:val="000000"/>
        </w:rPr>
        <w:t>（</w:t>
      </w:r>
      <w:r>
        <w:rPr>
          <w:color w:val="000000"/>
          <w:lang w:val="en-US"/>
        </w:rPr>
        <w:t>1</w:t>
      </w:r>
      <w:r>
        <w:rPr>
          <w:color w:val="000000"/>
        </w:rPr>
        <w:t>）《重庆市环境保护条例》(2018年7月26日第二次修正)；</w:t>
      </w:r>
    </w:p>
    <w:p w14:paraId="5691BC97">
      <w:pPr>
        <w:pStyle w:val="2176"/>
        <w:ind w:firstLine="480" w:firstLineChars="200"/>
        <w:rPr>
          <w:color w:val="000000"/>
        </w:rPr>
      </w:pPr>
      <w:r>
        <w:rPr>
          <w:color w:val="000000"/>
        </w:rPr>
        <w:t>（</w:t>
      </w:r>
      <w:r>
        <w:rPr>
          <w:color w:val="000000"/>
          <w:lang w:val="en-US"/>
        </w:rPr>
        <w:t>2</w:t>
      </w:r>
      <w:r>
        <w:rPr>
          <w:color w:val="000000"/>
        </w:rPr>
        <w:t>）《重庆市大气污染防治条例》(2018年7月26日第二次修正)；</w:t>
      </w:r>
    </w:p>
    <w:p w14:paraId="0A9AB6F1">
      <w:pPr>
        <w:pStyle w:val="2176"/>
        <w:ind w:firstLine="480" w:firstLineChars="200"/>
        <w:rPr>
          <w:color w:val="000000"/>
        </w:rPr>
      </w:pPr>
      <w:r>
        <w:rPr>
          <w:color w:val="000000"/>
        </w:rPr>
        <w:t>（</w:t>
      </w:r>
      <w:r>
        <w:rPr>
          <w:color w:val="000000"/>
          <w:lang w:val="en-US"/>
        </w:rPr>
        <w:t>3</w:t>
      </w:r>
      <w:r>
        <w:rPr>
          <w:color w:val="000000"/>
        </w:rPr>
        <w:t>）《重庆市</w:t>
      </w:r>
      <w:r>
        <w:rPr>
          <w:color w:val="000000"/>
          <w:lang w:val="en-US"/>
        </w:rPr>
        <w:t>生态环境保护“十四五”规划（2021-2025年）</w:t>
      </w:r>
      <w:r>
        <w:rPr>
          <w:color w:val="000000"/>
        </w:rPr>
        <w:t>》</w:t>
      </w:r>
      <w:r>
        <w:rPr>
          <w:color w:val="000000"/>
          <w:lang w:val="en-US"/>
        </w:rPr>
        <w:t>的通知</w:t>
      </w:r>
      <w:r>
        <w:rPr>
          <w:color w:val="000000"/>
        </w:rPr>
        <w:t>（渝府发〔20</w:t>
      </w:r>
      <w:r>
        <w:rPr>
          <w:color w:val="000000"/>
          <w:lang w:val="en-US"/>
        </w:rPr>
        <w:t>22</w:t>
      </w:r>
      <w:r>
        <w:rPr>
          <w:color w:val="000000"/>
        </w:rPr>
        <w:t>〕</w:t>
      </w:r>
      <w:r>
        <w:rPr>
          <w:color w:val="000000"/>
          <w:lang w:val="en-US"/>
        </w:rPr>
        <w:t>11</w:t>
      </w:r>
      <w:r>
        <w:rPr>
          <w:color w:val="000000"/>
        </w:rPr>
        <w:t xml:space="preserve"> 号）；</w:t>
      </w:r>
    </w:p>
    <w:p w14:paraId="189CC8B3">
      <w:pPr>
        <w:pStyle w:val="2176"/>
        <w:ind w:firstLine="480" w:firstLineChars="200"/>
        <w:rPr>
          <w:color w:val="000000"/>
        </w:rPr>
      </w:pPr>
      <w:r>
        <w:rPr>
          <w:color w:val="000000"/>
        </w:rPr>
        <w:t>（</w:t>
      </w:r>
      <w:r>
        <w:rPr>
          <w:color w:val="000000"/>
          <w:lang w:val="en-US"/>
        </w:rPr>
        <w:t>4</w:t>
      </w:r>
      <w:r>
        <w:rPr>
          <w:color w:val="000000"/>
        </w:rPr>
        <w:t>）《重庆市生态功能区划(修编)》(渝府发[2008]133号)；</w:t>
      </w:r>
    </w:p>
    <w:p w14:paraId="6EF839BD">
      <w:pPr>
        <w:pStyle w:val="2176"/>
        <w:ind w:firstLine="480" w:firstLineChars="200"/>
        <w:rPr>
          <w:color w:val="000000"/>
        </w:rPr>
      </w:pPr>
      <w:r>
        <w:rPr>
          <w:color w:val="000000"/>
        </w:rPr>
        <w:t>（</w:t>
      </w:r>
      <w:r>
        <w:rPr>
          <w:color w:val="000000"/>
          <w:lang w:val="en-US"/>
        </w:rPr>
        <w:t>5</w:t>
      </w:r>
      <w:r>
        <w:rPr>
          <w:color w:val="000000"/>
        </w:rPr>
        <w:t>）《重庆市人民政府办公厅关于印发重庆市生态保护红线划定方案的通知》（渝府办发[2018]25号）；</w:t>
      </w:r>
    </w:p>
    <w:p w14:paraId="3B838016">
      <w:pPr>
        <w:pStyle w:val="2176"/>
        <w:ind w:firstLine="480" w:firstLineChars="200"/>
        <w:rPr>
          <w:color w:val="000000"/>
        </w:rPr>
      </w:pPr>
      <w:r>
        <w:rPr>
          <w:color w:val="000000"/>
        </w:rPr>
        <w:t>（</w:t>
      </w:r>
      <w:r>
        <w:rPr>
          <w:color w:val="000000"/>
          <w:lang w:val="en-US"/>
        </w:rPr>
        <w:t>6</w:t>
      </w:r>
      <w:r>
        <w:rPr>
          <w:color w:val="000000"/>
        </w:rPr>
        <w:t>）《重庆市人民政府关于印发重庆市环境空气质量功能区划分规定的通知》(渝府发[2016]19号)；</w:t>
      </w:r>
    </w:p>
    <w:p w14:paraId="71F96F1C">
      <w:pPr>
        <w:pStyle w:val="2176"/>
        <w:ind w:firstLine="480" w:firstLineChars="200"/>
        <w:rPr>
          <w:color w:val="000000"/>
        </w:rPr>
      </w:pPr>
      <w:r>
        <w:rPr>
          <w:color w:val="000000"/>
          <w:lang w:val="en-US"/>
        </w:rPr>
        <w:t>（7</w:t>
      </w:r>
      <w:r>
        <w:rPr>
          <w:color w:val="000000"/>
        </w:rPr>
        <w:t>）《重庆市人民政府批转重庆市地表水环境功能类别调整方案的通知》(渝府发[2012]4号)；</w:t>
      </w:r>
    </w:p>
    <w:p w14:paraId="7BFA3AA1">
      <w:pPr>
        <w:pStyle w:val="2176"/>
        <w:ind w:firstLine="480" w:firstLineChars="200"/>
        <w:rPr>
          <w:color w:val="000000"/>
        </w:rPr>
      </w:pPr>
      <w:r>
        <w:rPr>
          <w:color w:val="000000"/>
        </w:rPr>
        <w:t>（</w:t>
      </w:r>
      <w:r>
        <w:rPr>
          <w:color w:val="000000"/>
          <w:lang w:val="en-US"/>
        </w:rPr>
        <w:t>8</w:t>
      </w:r>
      <w:r>
        <w:rPr>
          <w:color w:val="000000"/>
        </w:rPr>
        <w:t>）《重庆市环境噪声污染防治办法》(渝府令第270号)；</w:t>
      </w:r>
    </w:p>
    <w:p w14:paraId="7F70EF4D">
      <w:pPr>
        <w:pStyle w:val="2176"/>
        <w:ind w:firstLine="480" w:firstLineChars="200"/>
        <w:rPr>
          <w:color w:val="000000"/>
        </w:rPr>
      </w:pPr>
      <w:r>
        <w:rPr>
          <w:color w:val="000000"/>
        </w:rPr>
        <w:t>（</w:t>
      </w:r>
      <w:r>
        <w:rPr>
          <w:color w:val="000000"/>
          <w:lang w:val="en-US"/>
        </w:rPr>
        <w:t>9</w:t>
      </w:r>
      <w:r>
        <w:rPr>
          <w:color w:val="000000"/>
        </w:rPr>
        <w:t>）《重庆市人民政府关于发布重庆市生态保护红线的通知》(渝府发[2018]25号)；</w:t>
      </w:r>
    </w:p>
    <w:p w14:paraId="7036EF88">
      <w:pPr>
        <w:pStyle w:val="2176"/>
        <w:ind w:firstLine="480" w:firstLineChars="200"/>
        <w:rPr>
          <w:color w:val="000000"/>
        </w:rPr>
      </w:pPr>
      <w:r>
        <w:rPr>
          <w:color w:val="000000"/>
        </w:rPr>
        <w:t>（</w:t>
      </w:r>
      <w:r>
        <w:rPr>
          <w:color w:val="000000"/>
          <w:lang w:val="en-US"/>
        </w:rPr>
        <w:t>10</w:t>
      </w:r>
      <w:r>
        <w:rPr>
          <w:color w:val="000000"/>
        </w:rPr>
        <w:t>）《重庆市人民政府关于贯彻落实大气污染防治行动计划的实施意见》(渝府发[2013]86号)；</w:t>
      </w:r>
    </w:p>
    <w:p w14:paraId="32EF6D78">
      <w:pPr>
        <w:pStyle w:val="2176"/>
        <w:ind w:firstLine="480" w:firstLineChars="200"/>
        <w:rPr>
          <w:color w:val="000000"/>
        </w:rPr>
      </w:pPr>
      <w:r>
        <w:rPr>
          <w:color w:val="000000"/>
        </w:rPr>
        <w:t>（</w:t>
      </w:r>
      <w:r>
        <w:rPr>
          <w:color w:val="000000"/>
          <w:lang w:val="en-US"/>
        </w:rPr>
        <w:t>11</w:t>
      </w:r>
      <w:r>
        <w:rPr>
          <w:color w:val="000000"/>
        </w:rPr>
        <w:t>）《重庆市人民政府关于印发贯彻落实国务院水污染防治行动计划实施方案的通知》(渝府发[2015]69号)；</w:t>
      </w:r>
    </w:p>
    <w:p w14:paraId="0B296B92">
      <w:pPr>
        <w:pStyle w:val="2176"/>
        <w:ind w:firstLine="480" w:firstLineChars="200"/>
        <w:rPr>
          <w:color w:val="000000"/>
        </w:rPr>
      </w:pPr>
      <w:r>
        <w:rPr>
          <w:color w:val="000000"/>
        </w:rPr>
        <w:t>（</w:t>
      </w:r>
      <w:r>
        <w:rPr>
          <w:color w:val="000000"/>
          <w:lang w:val="en-US"/>
        </w:rPr>
        <w:t>12</w:t>
      </w:r>
      <w:r>
        <w:rPr>
          <w:color w:val="000000"/>
        </w:rPr>
        <w:t>）《重庆市人民政府印发重庆市贯彻落实土壤污染防治行动计划工作方案的通知》(渝府发[2016]50号)；</w:t>
      </w:r>
    </w:p>
    <w:p w14:paraId="4E766D8F">
      <w:pPr>
        <w:pStyle w:val="2176"/>
        <w:ind w:firstLine="480" w:firstLineChars="200"/>
        <w:rPr>
          <w:color w:val="000000"/>
        </w:rPr>
      </w:pPr>
      <w:r>
        <w:rPr>
          <w:color w:val="000000"/>
        </w:rPr>
        <w:t>（</w:t>
      </w:r>
      <w:r>
        <w:rPr>
          <w:color w:val="000000"/>
          <w:lang w:val="en-US"/>
        </w:rPr>
        <w:t>16</w:t>
      </w:r>
      <w:r>
        <w:rPr>
          <w:color w:val="000000"/>
        </w:rPr>
        <w:t>）《重庆市人民政府办公厅关于印发重庆市工业项目环境准入规定(修订)的通知》(渝办发[2012]142号)；</w:t>
      </w:r>
    </w:p>
    <w:p w14:paraId="1FA47BF5">
      <w:pPr>
        <w:pStyle w:val="2176"/>
        <w:ind w:firstLine="480" w:firstLineChars="200"/>
        <w:rPr>
          <w:color w:val="000000"/>
        </w:rPr>
      </w:pPr>
      <w:r>
        <w:rPr>
          <w:color w:val="000000"/>
        </w:rPr>
        <w:t>（</w:t>
      </w:r>
      <w:r>
        <w:rPr>
          <w:color w:val="000000"/>
          <w:lang w:val="en-US"/>
        </w:rPr>
        <w:t>14</w:t>
      </w:r>
      <w:r>
        <w:rPr>
          <w:color w:val="000000"/>
        </w:rPr>
        <w:t>）《重庆市发展和改革委员会关于印发重庆市产业投资准入工作手册的通知》(渝发改投[2018]541号)和《重庆市经济和信息化委员、会重庆市经济和信息化委员会关于严格工业布局和准入的通知》(渝发改工[2018]781号)；</w:t>
      </w:r>
    </w:p>
    <w:p w14:paraId="28D01E6F">
      <w:pPr>
        <w:pStyle w:val="2176"/>
        <w:ind w:firstLine="480" w:firstLineChars="200"/>
        <w:rPr>
          <w:color w:val="000000"/>
        </w:rPr>
      </w:pPr>
      <w:r>
        <w:rPr>
          <w:color w:val="000000"/>
        </w:rPr>
        <w:t>（</w:t>
      </w:r>
      <w:r>
        <w:rPr>
          <w:color w:val="000000"/>
          <w:lang w:val="en-US"/>
        </w:rPr>
        <w:t>15</w:t>
      </w:r>
      <w:r>
        <w:rPr>
          <w:color w:val="000000"/>
        </w:rPr>
        <w:t>）《重庆市人民政府关于加强突发事件风险管理工作的意见》(渝府发[2015]15号)；</w:t>
      </w:r>
    </w:p>
    <w:p w14:paraId="3F347F74">
      <w:pPr>
        <w:pStyle w:val="2176"/>
        <w:ind w:firstLine="480" w:firstLineChars="200"/>
        <w:rPr>
          <w:color w:val="000000"/>
        </w:rPr>
      </w:pPr>
      <w:r>
        <w:rPr>
          <w:color w:val="000000"/>
        </w:rPr>
        <w:t>（</w:t>
      </w:r>
      <w:r>
        <w:rPr>
          <w:color w:val="000000"/>
          <w:lang w:val="en-US"/>
        </w:rPr>
        <w:t>16</w:t>
      </w:r>
      <w:r>
        <w:rPr>
          <w:color w:val="000000"/>
        </w:rPr>
        <w:t>）《重庆市突发环境事件应急预案》(渝府办发[2016]22号)；</w:t>
      </w:r>
    </w:p>
    <w:p w14:paraId="7B4BA95D">
      <w:pPr>
        <w:pStyle w:val="2176"/>
        <w:ind w:firstLine="480" w:firstLineChars="200"/>
        <w:rPr>
          <w:color w:val="000000"/>
        </w:rPr>
      </w:pPr>
      <w:r>
        <w:rPr>
          <w:color w:val="000000"/>
        </w:rPr>
        <w:t>（</w:t>
      </w:r>
      <w:r>
        <w:rPr>
          <w:color w:val="000000"/>
          <w:lang w:val="en-US"/>
        </w:rPr>
        <w:t>17</w:t>
      </w:r>
      <w:r>
        <w:rPr>
          <w:color w:val="000000"/>
        </w:rPr>
        <w:t>）《重庆市排污口规范化清理整治实施方案》(渝环发[2012]26号)。</w:t>
      </w:r>
    </w:p>
    <w:p w14:paraId="46E2C5FC">
      <w:pPr>
        <w:pStyle w:val="771"/>
        <w:rPr>
          <w:color w:val="000000"/>
        </w:rPr>
      </w:pPr>
      <w:bookmarkStart w:id="100" w:name="_Toc489922431"/>
      <w:bookmarkStart w:id="101" w:name="_Toc440766259"/>
      <w:bookmarkStart w:id="102" w:name="_Toc424636395"/>
      <w:bookmarkStart w:id="103" w:name="_Toc500375972"/>
      <w:bookmarkStart w:id="104" w:name="_Toc440766063"/>
      <w:r>
        <w:rPr>
          <w:color w:val="000000"/>
        </w:rPr>
        <w:t>1.1.4 相关导则及技术规范</w:t>
      </w:r>
      <w:bookmarkEnd w:id="100"/>
      <w:bookmarkEnd w:id="101"/>
      <w:bookmarkEnd w:id="102"/>
      <w:bookmarkEnd w:id="103"/>
      <w:bookmarkEnd w:id="104"/>
    </w:p>
    <w:p w14:paraId="2160A09D">
      <w:pPr>
        <w:ind w:firstLine="480"/>
        <w:rPr>
          <w:color w:val="000000"/>
        </w:rPr>
      </w:pPr>
      <w:r>
        <w:rPr>
          <w:color w:val="000000"/>
        </w:rPr>
        <w:t>（1）《建设项目环境影响评价技术导则  总纲》（HJ 2.1-2016）；</w:t>
      </w:r>
    </w:p>
    <w:p w14:paraId="332C268B">
      <w:pPr>
        <w:ind w:firstLine="480"/>
        <w:rPr>
          <w:color w:val="000000"/>
        </w:rPr>
      </w:pPr>
      <w:r>
        <w:rPr>
          <w:color w:val="000000"/>
        </w:rPr>
        <w:t>（2）《环境影响评价技术导则  大气环境》（HJ 2.2-2018）；</w:t>
      </w:r>
    </w:p>
    <w:p w14:paraId="0016627A">
      <w:pPr>
        <w:ind w:firstLine="480"/>
        <w:rPr>
          <w:color w:val="000000"/>
        </w:rPr>
      </w:pPr>
      <w:r>
        <w:rPr>
          <w:color w:val="000000"/>
        </w:rPr>
        <w:t>（3）《环境影响评价技术导则  地表水环境》（HJ2.3-2018）；</w:t>
      </w:r>
    </w:p>
    <w:p w14:paraId="79B34FDB">
      <w:pPr>
        <w:ind w:firstLine="480"/>
        <w:rPr>
          <w:color w:val="000000"/>
        </w:rPr>
      </w:pPr>
      <w:r>
        <w:rPr>
          <w:color w:val="000000"/>
        </w:rPr>
        <w:t>（4）《环境影响评价技术导则  声环境》（HJ 2.4-2009）；</w:t>
      </w:r>
    </w:p>
    <w:p w14:paraId="01643DF0">
      <w:pPr>
        <w:ind w:firstLine="480"/>
        <w:rPr>
          <w:color w:val="000000"/>
        </w:rPr>
      </w:pPr>
      <w:r>
        <w:rPr>
          <w:color w:val="000000"/>
        </w:rPr>
        <w:t>（5）《环境影响评价技术导则  地下水环境》（HJ 610-2016）；</w:t>
      </w:r>
    </w:p>
    <w:p w14:paraId="656851FC">
      <w:pPr>
        <w:ind w:firstLine="480"/>
        <w:rPr>
          <w:color w:val="000000"/>
        </w:rPr>
      </w:pPr>
      <w:r>
        <w:rPr>
          <w:color w:val="000000"/>
        </w:rPr>
        <w:t>（6）《环境影响评价技术导则  生态影响》（HJ 19-2011）；</w:t>
      </w:r>
    </w:p>
    <w:p w14:paraId="4EC6F7FF">
      <w:pPr>
        <w:ind w:firstLine="480"/>
        <w:rPr>
          <w:color w:val="000000"/>
        </w:rPr>
      </w:pPr>
      <w:r>
        <w:rPr>
          <w:color w:val="000000"/>
        </w:rPr>
        <w:t>（7）《建设项目环境风险评价技术导则》（HJ 169-2018）；</w:t>
      </w:r>
    </w:p>
    <w:p w14:paraId="38B1BE07">
      <w:pPr>
        <w:ind w:firstLine="480"/>
        <w:rPr>
          <w:color w:val="000000"/>
        </w:rPr>
      </w:pPr>
      <w:r>
        <w:rPr>
          <w:color w:val="000000"/>
        </w:rPr>
        <w:t>（8）《环境影响评价技术导则 土壤环境（试行）》（HJ964-2018）；</w:t>
      </w:r>
    </w:p>
    <w:p w14:paraId="0EFA9C96">
      <w:pPr>
        <w:ind w:firstLine="480"/>
        <w:rPr>
          <w:color w:val="000000"/>
          <w:szCs w:val="24"/>
        </w:rPr>
      </w:pPr>
      <w:r>
        <w:rPr>
          <w:color w:val="000000"/>
        </w:rPr>
        <w:t>（9）《建设</w:t>
      </w:r>
      <w:r>
        <w:rPr>
          <w:color w:val="000000"/>
          <w:szCs w:val="24"/>
        </w:rPr>
        <w:t>项目危险废物环境影响评价指南》（2017.10.1实施）；</w:t>
      </w:r>
    </w:p>
    <w:p w14:paraId="757EDF48">
      <w:pPr>
        <w:ind w:firstLine="480"/>
        <w:rPr>
          <w:color w:val="000000"/>
        </w:rPr>
      </w:pPr>
      <w:r>
        <w:rPr>
          <w:color w:val="000000"/>
          <w:szCs w:val="24"/>
        </w:rPr>
        <w:t>（10）《固体废物鉴别标准  通则》（GB34330-2017）</w:t>
      </w:r>
      <w:r>
        <w:rPr>
          <w:color w:val="000000"/>
        </w:rPr>
        <w:t>。</w:t>
      </w:r>
    </w:p>
    <w:p w14:paraId="16BB7CF9">
      <w:pPr>
        <w:pStyle w:val="771"/>
        <w:rPr>
          <w:color w:val="000000"/>
        </w:rPr>
      </w:pPr>
      <w:bookmarkStart w:id="105" w:name="_Toc489922432"/>
      <w:bookmarkStart w:id="106" w:name="_Toc440766064"/>
      <w:bookmarkStart w:id="107" w:name="_Toc500375973"/>
      <w:bookmarkStart w:id="108" w:name="_Toc440766260"/>
      <w:bookmarkStart w:id="109" w:name="_Toc424636396"/>
      <w:r>
        <w:rPr>
          <w:color w:val="000000"/>
        </w:rPr>
        <w:t>1.1.5 相关资料及文件</w:t>
      </w:r>
      <w:bookmarkEnd w:id="105"/>
      <w:bookmarkEnd w:id="106"/>
      <w:bookmarkEnd w:id="107"/>
      <w:bookmarkEnd w:id="108"/>
      <w:bookmarkEnd w:id="109"/>
    </w:p>
    <w:p w14:paraId="39E43876">
      <w:pPr>
        <w:ind w:firstLine="480"/>
        <w:rPr>
          <w:color w:val="000000"/>
        </w:rPr>
      </w:pPr>
      <w:bookmarkStart w:id="110" w:name="_Toc500375974"/>
      <w:bookmarkStart w:id="111" w:name="_Toc489922433"/>
      <w:bookmarkStart w:id="112" w:name="_Toc7034_WPSOffice_Level3"/>
      <w:r>
        <w:rPr>
          <w:color w:val="000000"/>
        </w:rPr>
        <w:t>（1）《重庆白涛化工园区规划修编环境影响报告书》及《重庆市生态环境局关于重庆白涛化工园区规划修编环境影响报告书审查意见的函》（渝环函〔2021〕391号）；</w:t>
      </w:r>
    </w:p>
    <w:p w14:paraId="64322B86">
      <w:pPr>
        <w:ind w:firstLine="480"/>
        <w:rPr>
          <w:color w:val="000000"/>
        </w:rPr>
      </w:pPr>
      <w:r>
        <w:rPr>
          <w:color w:val="000000"/>
        </w:rPr>
        <w:t>（2）《重庆市企业资产投资项目备案表》（重庆市涪陵区发展和改革委员会，备案号：2107-500102-04-02-373372）；</w:t>
      </w:r>
    </w:p>
    <w:p w14:paraId="614C0721">
      <w:pPr>
        <w:ind w:firstLine="480"/>
        <w:rPr>
          <w:color w:val="000000"/>
        </w:rPr>
      </w:pPr>
      <w:r>
        <w:rPr>
          <w:color w:val="000000"/>
        </w:rPr>
        <w:t>（3）《重庆中石化通汇能源有限公司涪陵液化天然气（LNG）工厂项目环境影响报告书》及其批复（渝（涪）环准[2015]34号文）；</w:t>
      </w:r>
    </w:p>
    <w:p w14:paraId="5744E825">
      <w:pPr>
        <w:ind w:firstLine="480"/>
        <w:rPr>
          <w:color w:val="000000"/>
        </w:rPr>
      </w:pPr>
      <w:r>
        <w:rPr>
          <w:color w:val="000000"/>
        </w:rPr>
        <w:t>（4）《重庆中石化通汇能源有限公司涪陵液化天然气（LNG）工厂项目竣工环境保护验收报告》（2019年）；</w:t>
      </w:r>
    </w:p>
    <w:p w14:paraId="3CA9A466">
      <w:pPr>
        <w:ind w:firstLine="480"/>
        <w:rPr>
          <w:color w:val="000000"/>
        </w:rPr>
      </w:pPr>
      <w:r>
        <w:rPr>
          <w:color w:val="000000"/>
        </w:rPr>
        <w:t>（5）《重庆市建设项目固体废物污染防治设施竣工环境保护验收批复》（渝（涪）环验[2019]38号）；</w:t>
      </w:r>
    </w:p>
    <w:p w14:paraId="60A497A3">
      <w:pPr>
        <w:widowControl w:val="0"/>
        <w:ind w:firstLine="480" w:firstLineChars="200"/>
        <w:rPr>
          <w:color w:val="000000"/>
          <w:szCs w:val="24"/>
        </w:rPr>
      </w:pPr>
      <w:r>
        <w:rPr>
          <w:color w:val="000000"/>
        </w:rPr>
        <w:t>（6）《重庆中石化通汇能源有限公司突发环境事件应急预案》（2021年）及备案回执（</w:t>
      </w:r>
      <w:r>
        <w:rPr>
          <w:color w:val="000000"/>
          <w:szCs w:val="24"/>
        </w:rPr>
        <w:t>备案编号：500102-2021-020-M）；</w:t>
      </w:r>
    </w:p>
    <w:p w14:paraId="77231FAC">
      <w:pPr>
        <w:ind w:firstLine="480"/>
        <w:rPr>
          <w:color w:val="000000"/>
        </w:rPr>
      </w:pPr>
      <w:r>
        <w:rPr>
          <w:color w:val="000000"/>
        </w:rPr>
        <w:t>（7）《重庆中石化通汇能源有限公司突发环境事件风险评估报告》（2021年）及备案回执（</w:t>
      </w:r>
      <w:r>
        <w:rPr>
          <w:color w:val="000000"/>
          <w:szCs w:val="24"/>
        </w:rPr>
        <w:t>备案编号：5001022021050003</w:t>
      </w:r>
      <w:r>
        <w:rPr>
          <w:color w:val="000000"/>
        </w:rPr>
        <w:t>）；</w:t>
      </w:r>
    </w:p>
    <w:p w14:paraId="5115BDB6">
      <w:pPr>
        <w:ind w:firstLine="480"/>
        <w:rPr>
          <w:color w:val="000000"/>
        </w:rPr>
      </w:pPr>
      <w:r>
        <w:rPr>
          <w:color w:val="000000"/>
        </w:rPr>
        <w:t>（8）建设单位提供的项目有关技术资料及文件。</w:t>
      </w:r>
    </w:p>
    <w:p w14:paraId="187F93A6">
      <w:pPr>
        <w:pStyle w:val="770"/>
        <w:rPr>
          <w:bCs w:val="0"/>
          <w:color w:val="000000"/>
        </w:rPr>
      </w:pPr>
      <w:bookmarkStart w:id="113" w:name="_Toc31484"/>
      <w:r>
        <w:rPr>
          <w:bCs w:val="0"/>
          <w:color w:val="000000"/>
        </w:rPr>
        <w:t>1.2 评价总体构思</w:t>
      </w:r>
      <w:bookmarkEnd w:id="110"/>
      <w:bookmarkEnd w:id="111"/>
      <w:bookmarkEnd w:id="112"/>
      <w:bookmarkEnd w:id="113"/>
    </w:p>
    <w:p w14:paraId="59FE0964">
      <w:pPr>
        <w:ind w:firstLine="480" w:firstLineChars="200"/>
        <w:rPr>
          <w:color w:val="000000"/>
        </w:rPr>
      </w:pPr>
      <w:r>
        <w:rPr>
          <w:color w:val="000000"/>
        </w:rPr>
        <w:t>（1）评价以项目与国家和地方有关环境保护法律法规、标准、政策、规范、相关规划、规划环境影响评价结论及审查意见的符合性、并与“三线一单”进行对照，作为开展环境影响评价工作的前提和基础。</w:t>
      </w:r>
    </w:p>
    <w:p w14:paraId="4D83EA32">
      <w:pPr>
        <w:pStyle w:val="624"/>
        <w:spacing w:line="360" w:lineRule="auto"/>
        <w:ind w:firstLine="480"/>
        <w:rPr>
          <w:rFonts w:hAnsi="Times New Roman"/>
          <w:color w:val="000000"/>
        </w:rPr>
      </w:pPr>
      <w:r>
        <w:rPr>
          <w:rFonts w:hAnsi="Times New Roman"/>
          <w:color w:val="000000"/>
        </w:rPr>
        <w:t>（2）根据项目污染特点、评价等级和区域环境特征，通过现场调查和资料收集，利用环境空气质量公报数据，利用有效的园区规划环评地表水、地下水、土壤现状监测资料进行环境质量现状评价，并按照导则要求对声环境、土壤、包气带进行了补充监测。</w:t>
      </w:r>
    </w:p>
    <w:p w14:paraId="60BBE2B7">
      <w:pPr>
        <w:pStyle w:val="624"/>
        <w:spacing w:line="360" w:lineRule="auto"/>
        <w:ind w:firstLine="480"/>
        <w:rPr>
          <w:rFonts w:hAnsi="Times New Roman"/>
          <w:color w:val="000000"/>
        </w:rPr>
      </w:pPr>
      <w:r>
        <w:rPr>
          <w:rFonts w:hAnsi="Times New Roman"/>
          <w:color w:val="000000"/>
        </w:rPr>
        <w:t>（3）本项目为扩建性质，根据调查，现有工程从竣工环保验收后至今工程内容基本无变化，因此，本次环评现有工程将依据《重庆中石化通汇能源有限公司涪陵液化天然气（LNG）工厂项目环境影响报告书》及竣工环境保护验收报告进行产排污统计及达标情况分析，并以此核算“三本账”，明确现有工程存在的环保问题，并提出“以新带老”措施。</w:t>
      </w:r>
    </w:p>
    <w:p w14:paraId="6E928A24">
      <w:pPr>
        <w:pStyle w:val="624"/>
        <w:spacing w:line="360" w:lineRule="auto"/>
        <w:ind w:firstLine="480"/>
        <w:rPr>
          <w:rFonts w:hAnsi="Times New Roman"/>
          <w:color w:val="000000"/>
        </w:rPr>
      </w:pPr>
      <w:r>
        <w:rPr>
          <w:rFonts w:hAnsi="Times New Roman"/>
          <w:color w:val="000000"/>
        </w:rPr>
        <w:t>（4）本项目废气污染物有氮气、甲烷、及少量的氧气、二氧化碳和水，其中氮气、甲烷、氧气、二氧化碳、水未纳入废气污染物管理，故本评价只关注项目废气依托火炬燃烧后产生的颗粒物、NO</w:t>
      </w:r>
      <w:r>
        <w:rPr>
          <w:rFonts w:hint="eastAsia" w:hAnsi="Times New Roman"/>
          <w:color w:val="000000"/>
          <w:vertAlign w:val="subscript"/>
        </w:rPr>
        <w:t>x</w:t>
      </w:r>
      <w:r>
        <w:rPr>
          <w:rFonts w:hAnsi="Times New Roman"/>
          <w:color w:val="000000"/>
        </w:rPr>
        <w:t>、SO</w:t>
      </w:r>
      <w:r>
        <w:rPr>
          <w:rFonts w:hAnsi="Times New Roman"/>
          <w:color w:val="000000"/>
          <w:vertAlign w:val="subscript"/>
        </w:rPr>
        <w:t>2</w:t>
      </w:r>
      <w:r>
        <w:rPr>
          <w:rFonts w:hAnsi="Times New Roman"/>
          <w:color w:val="000000"/>
        </w:rPr>
        <w:t>。</w:t>
      </w:r>
    </w:p>
    <w:p w14:paraId="05EF1B7D">
      <w:pPr>
        <w:pStyle w:val="624"/>
        <w:spacing w:line="360" w:lineRule="auto"/>
        <w:ind w:firstLine="480"/>
        <w:rPr>
          <w:rFonts w:hAnsi="Times New Roman"/>
          <w:color w:val="000000"/>
        </w:rPr>
      </w:pPr>
      <w:r>
        <w:rPr>
          <w:rFonts w:hAnsi="Times New Roman"/>
          <w:color w:val="000000"/>
        </w:rPr>
        <w:t>（5）针对项目排污特点，评价工程分析的基础上分析预测项目建成后可能造成的环境影响，论证项目全过程的污染控制水平和环保措施的经济技术可行性，科学、客观地评述项目建设的环境可行，为项目设计、运行和环境管理提供科学依据。</w:t>
      </w:r>
    </w:p>
    <w:p w14:paraId="790617F3">
      <w:pPr>
        <w:pStyle w:val="624"/>
        <w:spacing w:line="360" w:lineRule="auto"/>
        <w:ind w:firstLine="480"/>
        <w:rPr>
          <w:rFonts w:hAnsi="Times New Roman"/>
          <w:color w:val="000000"/>
        </w:rPr>
      </w:pPr>
      <w:r>
        <w:rPr>
          <w:rFonts w:hAnsi="Times New Roman"/>
          <w:color w:val="000000"/>
        </w:rPr>
        <w:t>（6）本项目位于现有LNG工厂内，公用工程（供水、排水、供电、冷却循环水、仪表空气、消防等）及环保工程（废气治理、废水治理、固废处置、风险防范）存在依托关系，因此本项目将重点分析其依托可行性。</w:t>
      </w:r>
    </w:p>
    <w:p w14:paraId="3D417B1B">
      <w:pPr>
        <w:ind w:firstLine="480"/>
        <w:rPr>
          <w:color w:val="000000"/>
        </w:rPr>
      </w:pPr>
      <w:r>
        <w:rPr>
          <w:color w:val="000000"/>
        </w:rPr>
        <w:t>（7）根据《环境影响评价公众参与办法》(生态环境部令第4号，2019年)，公众参与相关内容由建设单位完成，本评价主要在结论中引用《环境影响评价公众参与说明》的主要结论。</w:t>
      </w:r>
    </w:p>
    <w:p w14:paraId="4A16F456">
      <w:pPr>
        <w:pStyle w:val="770"/>
        <w:rPr>
          <w:bCs w:val="0"/>
          <w:color w:val="000000"/>
        </w:rPr>
      </w:pPr>
      <w:bookmarkStart w:id="114" w:name="_Toc440766261"/>
      <w:bookmarkStart w:id="115" w:name="_Toc489922434"/>
      <w:bookmarkStart w:id="116" w:name="_Toc11357"/>
      <w:bookmarkStart w:id="117" w:name="_Toc29090_WPSOffice_Level3"/>
      <w:bookmarkStart w:id="118" w:name="_Toc477144588"/>
      <w:bookmarkStart w:id="119" w:name="_Toc440766065"/>
      <w:bookmarkStart w:id="120" w:name="_Toc500375975"/>
      <w:r>
        <w:rPr>
          <w:bCs w:val="0"/>
          <w:color w:val="000000"/>
        </w:rPr>
        <w:t>1.3 评价时段、环境影响识别、评价因子与评价标准</w:t>
      </w:r>
      <w:bookmarkEnd w:id="114"/>
      <w:bookmarkEnd w:id="115"/>
      <w:bookmarkEnd w:id="116"/>
      <w:bookmarkEnd w:id="117"/>
      <w:bookmarkEnd w:id="118"/>
      <w:bookmarkEnd w:id="119"/>
      <w:bookmarkEnd w:id="120"/>
    </w:p>
    <w:p w14:paraId="2913AB29">
      <w:pPr>
        <w:pStyle w:val="771"/>
        <w:rPr>
          <w:color w:val="000000"/>
        </w:rPr>
      </w:pPr>
      <w:bookmarkStart w:id="121" w:name="_Toc440766066"/>
      <w:bookmarkStart w:id="122" w:name="_Toc440766262"/>
      <w:bookmarkStart w:id="123" w:name="_Toc424636399"/>
      <w:bookmarkStart w:id="124" w:name="_Toc500375976"/>
      <w:bookmarkStart w:id="125" w:name="_Toc489922435"/>
      <w:r>
        <w:rPr>
          <w:color w:val="000000"/>
        </w:rPr>
        <w:t>1.3.1 评价时段</w:t>
      </w:r>
    </w:p>
    <w:p w14:paraId="33DD9434">
      <w:pPr>
        <w:ind w:firstLine="480"/>
        <w:rPr>
          <w:color w:val="000000"/>
        </w:rPr>
      </w:pPr>
      <w:r>
        <w:rPr>
          <w:color w:val="000000"/>
        </w:rPr>
        <w:t>施工期和营运期。</w:t>
      </w:r>
    </w:p>
    <w:p w14:paraId="68491611">
      <w:pPr>
        <w:pStyle w:val="771"/>
        <w:rPr>
          <w:color w:val="000000"/>
        </w:rPr>
      </w:pPr>
      <w:r>
        <w:rPr>
          <w:color w:val="000000"/>
        </w:rPr>
        <w:t>1.3.</w:t>
      </w:r>
      <w:bookmarkEnd w:id="121"/>
      <w:bookmarkEnd w:id="122"/>
      <w:bookmarkEnd w:id="123"/>
      <w:r>
        <w:rPr>
          <w:color w:val="000000"/>
        </w:rPr>
        <w:t>2 环境影响识别</w:t>
      </w:r>
      <w:bookmarkEnd w:id="124"/>
      <w:bookmarkEnd w:id="125"/>
    </w:p>
    <w:p w14:paraId="68869884">
      <w:pPr>
        <w:tabs>
          <w:tab w:val="left" w:pos="993"/>
        </w:tabs>
        <w:ind w:firstLine="480"/>
        <w:rPr>
          <w:color w:val="000000"/>
        </w:rPr>
      </w:pPr>
      <w:bookmarkStart w:id="126" w:name="_Toc408334035"/>
      <w:bookmarkStart w:id="127" w:name="_Toc407830681"/>
      <w:bookmarkStart w:id="128" w:name="_Toc408345144"/>
      <w:bookmarkStart w:id="129" w:name="_Toc407830722"/>
      <w:bookmarkStart w:id="130" w:name="_Toc407830806"/>
      <w:r>
        <w:rPr>
          <w:color w:val="000000"/>
        </w:rPr>
        <w:t>（1）环境对建设项目的影响</w:t>
      </w:r>
    </w:p>
    <w:p w14:paraId="1EECD444">
      <w:pPr>
        <w:tabs>
          <w:tab w:val="left" w:pos="993"/>
        </w:tabs>
        <w:ind w:firstLine="480"/>
        <w:rPr>
          <w:color w:val="000000"/>
        </w:rPr>
      </w:pPr>
      <w:r>
        <w:rPr>
          <w:color w:val="000000"/>
        </w:rPr>
        <w:t>客观环境对建设项目的影响，有正面的也有负面的影响。根据现场调查和环境现状监测，得出如下意见：</w:t>
      </w:r>
    </w:p>
    <w:p w14:paraId="7972DEE5">
      <w:pPr>
        <w:tabs>
          <w:tab w:val="left" w:pos="993"/>
        </w:tabs>
        <w:ind w:firstLine="480"/>
        <w:rPr>
          <w:color w:val="000000"/>
        </w:rPr>
      </w:pPr>
      <w:r>
        <w:rPr>
          <w:color w:val="000000"/>
        </w:rPr>
        <w:t>①项目位于重庆白涛化工园区（现涪陵LNG工厂厂区内），用地性质为工业</w:t>
      </w:r>
      <w:r>
        <w:rPr>
          <w:rFonts w:hint="eastAsia"/>
          <w:color w:val="000000"/>
          <w:lang w:eastAsia="zh-CN"/>
        </w:rPr>
        <w:t>用</w:t>
      </w:r>
      <w:r>
        <w:rPr>
          <w:color w:val="000000"/>
        </w:rPr>
        <w:t>地，符合园区规划要求，交通便利，区位优势明显，有利于项目建设；</w:t>
      </w:r>
    </w:p>
    <w:p w14:paraId="1D66B27C">
      <w:pPr>
        <w:tabs>
          <w:tab w:val="left" w:pos="993"/>
        </w:tabs>
        <w:ind w:firstLine="480"/>
        <w:rPr>
          <w:color w:val="000000"/>
        </w:rPr>
      </w:pPr>
      <w:r>
        <w:rPr>
          <w:color w:val="000000"/>
        </w:rPr>
        <w:t>②项目水、电、天然气均依托LNG现有厂区供给，来源稳定可靠，有利于项目建设；</w:t>
      </w:r>
    </w:p>
    <w:p w14:paraId="371D251E">
      <w:pPr>
        <w:tabs>
          <w:tab w:val="left" w:pos="993"/>
        </w:tabs>
        <w:ind w:firstLine="480"/>
        <w:rPr>
          <w:color w:val="000000"/>
        </w:rPr>
      </w:pPr>
      <w:r>
        <w:rPr>
          <w:color w:val="000000"/>
        </w:rPr>
        <w:t>③项目处于天然气化工及石油下游产品加工区，企业间相互制约因素少；</w:t>
      </w:r>
    </w:p>
    <w:p w14:paraId="27BE0D64">
      <w:pPr>
        <w:tabs>
          <w:tab w:val="left" w:pos="993"/>
        </w:tabs>
        <w:ind w:firstLine="480"/>
        <w:rPr>
          <w:color w:val="000000"/>
        </w:rPr>
      </w:pPr>
      <w:r>
        <w:rPr>
          <w:color w:val="000000"/>
        </w:rPr>
        <w:t>④根据环境质量现状监测，项目所在地环境空气、地表水、地下水、声环境、土壤质量总体较好，有利于项目建设。</w:t>
      </w:r>
    </w:p>
    <w:p w14:paraId="03012AF6">
      <w:pPr>
        <w:numPr>
          <w:ilvl w:val="0"/>
          <w:numId w:val="1"/>
        </w:numPr>
        <w:tabs>
          <w:tab w:val="left" w:pos="993"/>
        </w:tabs>
        <w:ind w:firstLine="480"/>
        <w:rPr>
          <w:color w:val="000000"/>
        </w:rPr>
      </w:pPr>
      <w:r>
        <w:rPr>
          <w:color w:val="000000"/>
        </w:rPr>
        <w:t>建设项目对环境的影响</w:t>
      </w:r>
    </w:p>
    <w:p w14:paraId="08FD6E29">
      <w:pPr>
        <w:ind w:firstLine="520"/>
        <w:rPr>
          <w:color w:val="000000"/>
        </w:rPr>
      </w:pPr>
      <w:r>
        <w:rPr>
          <w:color w:val="000000"/>
        </w:rPr>
        <w:t>本项目对环境的影响采用矩阵法进行识别，见表1.3.2-1，涉及的环境问题有废气、废水、噪声及固废。</w:t>
      </w:r>
    </w:p>
    <w:p w14:paraId="31C68767">
      <w:pPr>
        <w:pStyle w:val="133"/>
        <w:outlineLvl w:val="9"/>
        <w:rPr>
          <w:rFonts w:ascii="Times New Roman" w:hAnsi="Times New Roman"/>
          <w:color w:val="000000"/>
        </w:rPr>
      </w:pPr>
      <w:r>
        <w:rPr>
          <w:rFonts w:ascii="Times New Roman" w:hAnsi="Times New Roman"/>
          <w:color w:val="000000"/>
        </w:rPr>
        <w:t>表1.3.2-1　　环境影响矩阵识别表</w:t>
      </w:r>
    </w:p>
    <w:tbl>
      <w:tblPr>
        <w:tblStyle w:val="7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1225"/>
        <w:gridCol w:w="1060"/>
        <w:gridCol w:w="1281"/>
        <w:gridCol w:w="973"/>
        <w:gridCol w:w="1089"/>
        <w:gridCol w:w="913"/>
        <w:gridCol w:w="983"/>
        <w:gridCol w:w="1029"/>
      </w:tblGrid>
      <w:tr w14:paraId="7D26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4" w:type="pct"/>
            <w:gridSpan w:val="2"/>
            <w:vMerge w:val="restart"/>
            <w:tcBorders>
              <w:tl2br w:val="single" w:color="auto" w:sz="4" w:space="0"/>
            </w:tcBorders>
            <w:vAlign w:val="center"/>
          </w:tcPr>
          <w:p w14:paraId="20F38990">
            <w:pPr>
              <w:pStyle w:val="409"/>
              <w:jc w:val="center"/>
              <w:rPr>
                <w:rFonts w:ascii="Times New Roman" w:hAnsi="Times New Roman" w:eastAsia="宋体"/>
                <w:color w:val="000000"/>
              </w:rPr>
            </w:pPr>
            <w:r>
              <w:rPr>
                <w:rFonts w:ascii="Times New Roman" w:hAnsi="Times New Roman" w:eastAsia="宋体"/>
                <w:color w:val="000000"/>
              </w:rPr>
              <w:t xml:space="preserve">   影响受体</w:t>
            </w:r>
          </w:p>
          <w:p w14:paraId="08A5303A">
            <w:pPr>
              <w:pStyle w:val="409"/>
              <w:jc w:val="center"/>
              <w:rPr>
                <w:rFonts w:ascii="Times New Roman" w:hAnsi="Times New Roman" w:eastAsia="宋体"/>
                <w:color w:val="000000"/>
              </w:rPr>
            </w:pPr>
          </w:p>
          <w:p w14:paraId="7894E259">
            <w:pPr>
              <w:pStyle w:val="409"/>
              <w:rPr>
                <w:rFonts w:ascii="Times New Roman" w:hAnsi="Times New Roman" w:eastAsia="宋体"/>
                <w:color w:val="000000"/>
              </w:rPr>
            </w:pPr>
            <w:r>
              <w:rPr>
                <w:rFonts w:ascii="Times New Roman" w:hAnsi="Times New Roman" w:eastAsia="宋体"/>
                <w:color w:val="000000"/>
              </w:rPr>
              <w:t>影响因素</w:t>
            </w:r>
          </w:p>
        </w:tc>
        <w:tc>
          <w:tcPr>
            <w:tcW w:w="1829" w:type="pct"/>
            <w:gridSpan w:val="3"/>
            <w:vAlign w:val="center"/>
          </w:tcPr>
          <w:p w14:paraId="4E6E6ABE">
            <w:pPr>
              <w:pStyle w:val="409"/>
              <w:jc w:val="center"/>
              <w:rPr>
                <w:rFonts w:ascii="Times New Roman" w:hAnsi="Times New Roman" w:eastAsia="宋体"/>
                <w:color w:val="000000"/>
              </w:rPr>
            </w:pPr>
            <w:r>
              <w:rPr>
                <w:rFonts w:ascii="Times New Roman" w:hAnsi="Times New Roman" w:eastAsia="宋体"/>
                <w:color w:val="000000"/>
              </w:rPr>
              <w:t>自然环境</w:t>
            </w:r>
          </w:p>
        </w:tc>
        <w:tc>
          <w:tcPr>
            <w:tcW w:w="1105" w:type="pct"/>
            <w:gridSpan w:val="2"/>
            <w:vAlign w:val="center"/>
          </w:tcPr>
          <w:p w14:paraId="662FDEED">
            <w:pPr>
              <w:pStyle w:val="409"/>
              <w:jc w:val="center"/>
              <w:rPr>
                <w:rFonts w:ascii="Times New Roman" w:hAnsi="Times New Roman" w:eastAsia="宋体"/>
                <w:color w:val="000000"/>
              </w:rPr>
            </w:pPr>
            <w:r>
              <w:rPr>
                <w:rFonts w:ascii="Times New Roman" w:hAnsi="Times New Roman" w:eastAsia="宋体"/>
                <w:color w:val="000000"/>
              </w:rPr>
              <w:t>生态环境</w:t>
            </w:r>
          </w:p>
        </w:tc>
        <w:tc>
          <w:tcPr>
            <w:tcW w:w="1111" w:type="pct"/>
            <w:gridSpan w:val="2"/>
            <w:vAlign w:val="center"/>
          </w:tcPr>
          <w:p w14:paraId="2B00A0F6">
            <w:pPr>
              <w:pStyle w:val="409"/>
              <w:jc w:val="center"/>
              <w:rPr>
                <w:rFonts w:ascii="Times New Roman" w:hAnsi="Times New Roman" w:eastAsia="宋体"/>
                <w:color w:val="000000"/>
              </w:rPr>
            </w:pPr>
            <w:r>
              <w:rPr>
                <w:rFonts w:ascii="Times New Roman" w:hAnsi="Times New Roman" w:eastAsia="宋体"/>
                <w:color w:val="000000"/>
              </w:rPr>
              <w:t>社会环境</w:t>
            </w:r>
          </w:p>
        </w:tc>
      </w:tr>
      <w:tr w14:paraId="7108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4" w:type="pct"/>
            <w:gridSpan w:val="2"/>
            <w:vMerge w:val="continue"/>
            <w:vAlign w:val="center"/>
          </w:tcPr>
          <w:p w14:paraId="069B09B8">
            <w:pPr>
              <w:pStyle w:val="409"/>
              <w:jc w:val="center"/>
              <w:rPr>
                <w:rFonts w:ascii="Times New Roman" w:hAnsi="Times New Roman" w:eastAsia="宋体"/>
                <w:color w:val="000000"/>
              </w:rPr>
            </w:pPr>
          </w:p>
        </w:tc>
        <w:tc>
          <w:tcPr>
            <w:tcW w:w="585" w:type="pct"/>
            <w:vAlign w:val="center"/>
          </w:tcPr>
          <w:p w14:paraId="3CCED1F2">
            <w:pPr>
              <w:pStyle w:val="409"/>
              <w:jc w:val="center"/>
              <w:rPr>
                <w:rFonts w:ascii="Times New Roman" w:hAnsi="Times New Roman" w:eastAsia="宋体"/>
                <w:color w:val="000000"/>
              </w:rPr>
            </w:pPr>
            <w:r>
              <w:rPr>
                <w:rFonts w:ascii="Times New Roman" w:hAnsi="Times New Roman" w:eastAsia="宋体"/>
                <w:color w:val="000000"/>
              </w:rPr>
              <w:t>环境空气</w:t>
            </w:r>
          </w:p>
        </w:tc>
        <w:tc>
          <w:tcPr>
            <w:tcW w:w="707" w:type="pct"/>
            <w:vAlign w:val="center"/>
          </w:tcPr>
          <w:p w14:paraId="38941078">
            <w:pPr>
              <w:pStyle w:val="409"/>
              <w:jc w:val="center"/>
              <w:rPr>
                <w:rFonts w:ascii="Times New Roman" w:hAnsi="Times New Roman" w:eastAsia="宋体"/>
                <w:color w:val="000000"/>
              </w:rPr>
            </w:pPr>
            <w:r>
              <w:rPr>
                <w:rFonts w:ascii="Times New Roman" w:hAnsi="Times New Roman" w:eastAsia="宋体"/>
                <w:color w:val="000000"/>
              </w:rPr>
              <w:t>地表水环境</w:t>
            </w:r>
          </w:p>
        </w:tc>
        <w:tc>
          <w:tcPr>
            <w:tcW w:w="536" w:type="pct"/>
            <w:vAlign w:val="center"/>
          </w:tcPr>
          <w:p w14:paraId="78AC32FF">
            <w:pPr>
              <w:pStyle w:val="409"/>
              <w:jc w:val="center"/>
              <w:rPr>
                <w:rFonts w:ascii="Times New Roman" w:hAnsi="Times New Roman" w:eastAsia="宋体"/>
                <w:color w:val="000000"/>
              </w:rPr>
            </w:pPr>
            <w:r>
              <w:rPr>
                <w:rFonts w:ascii="Times New Roman" w:hAnsi="Times New Roman" w:eastAsia="宋体"/>
                <w:color w:val="000000"/>
              </w:rPr>
              <w:t>声环境</w:t>
            </w:r>
          </w:p>
        </w:tc>
        <w:tc>
          <w:tcPr>
            <w:tcW w:w="601" w:type="pct"/>
            <w:vAlign w:val="center"/>
          </w:tcPr>
          <w:p w14:paraId="512E8551">
            <w:pPr>
              <w:pStyle w:val="409"/>
              <w:jc w:val="center"/>
              <w:rPr>
                <w:rFonts w:ascii="Times New Roman" w:hAnsi="Times New Roman" w:eastAsia="宋体"/>
                <w:color w:val="000000"/>
              </w:rPr>
            </w:pPr>
            <w:r>
              <w:rPr>
                <w:rFonts w:ascii="Times New Roman" w:hAnsi="Times New Roman" w:eastAsia="宋体"/>
                <w:color w:val="000000"/>
              </w:rPr>
              <w:t>陆域生物</w:t>
            </w:r>
          </w:p>
        </w:tc>
        <w:tc>
          <w:tcPr>
            <w:tcW w:w="503" w:type="pct"/>
            <w:vAlign w:val="center"/>
          </w:tcPr>
          <w:p w14:paraId="674B5AA5">
            <w:pPr>
              <w:pStyle w:val="409"/>
              <w:jc w:val="center"/>
              <w:rPr>
                <w:rFonts w:ascii="Times New Roman" w:hAnsi="Times New Roman" w:eastAsia="宋体"/>
                <w:color w:val="000000"/>
              </w:rPr>
            </w:pPr>
            <w:r>
              <w:rPr>
                <w:rFonts w:ascii="Times New Roman" w:hAnsi="Times New Roman" w:eastAsia="宋体"/>
                <w:color w:val="000000"/>
              </w:rPr>
              <w:t>水生生物</w:t>
            </w:r>
          </w:p>
        </w:tc>
        <w:tc>
          <w:tcPr>
            <w:tcW w:w="543" w:type="pct"/>
            <w:vAlign w:val="center"/>
          </w:tcPr>
          <w:p w14:paraId="351E9DAF">
            <w:pPr>
              <w:pStyle w:val="409"/>
              <w:jc w:val="center"/>
              <w:rPr>
                <w:rFonts w:ascii="Times New Roman" w:hAnsi="Times New Roman" w:eastAsia="宋体"/>
                <w:color w:val="000000"/>
              </w:rPr>
            </w:pPr>
            <w:r>
              <w:rPr>
                <w:rFonts w:ascii="Times New Roman" w:hAnsi="Times New Roman" w:eastAsia="宋体"/>
                <w:color w:val="000000"/>
              </w:rPr>
              <w:t>土地利用</w:t>
            </w:r>
          </w:p>
        </w:tc>
        <w:tc>
          <w:tcPr>
            <w:tcW w:w="567" w:type="pct"/>
            <w:vAlign w:val="center"/>
          </w:tcPr>
          <w:p w14:paraId="05AD02A1">
            <w:pPr>
              <w:pStyle w:val="409"/>
              <w:jc w:val="center"/>
              <w:rPr>
                <w:rFonts w:ascii="Times New Roman" w:hAnsi="Times New Roman" w:eastAsia="宋体"/>
                <w:color w:val="000000"/>
              </w:rPr>
            </w:pPr>
            <w:r>
              <w:rPr>
                <w:rFonts w:ascii="Times New Roman" w:hAnsi="Times New Roman" w:eastAsia="宋体"/>
                <w:color w:val="000000"/>
              </w:rPr>
              <w:t>人群健康</w:t>
            </w:r>
          </w:p>
        </w:tc>
      </w:tr>
      <w:tr w14:paraId="52FD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Merge w:val="restart"/>
            <w:vAlign w:val="center"/>
          </w:tcPr>
          <w:p w14:paraId="57D674B9">
            <w:pPr>
              <w:pStyle w:val="409"/>
              <w:jc w:val="center"/>
              <w:rPr>
                <w:rFonts w:ascii="Times New Roman" w:hAnsi="Times New Roman" w:eastAsia="宋体"/>
                <w:color w:val="000000"/>
              </w:rPr>
            </w:pPr>
            <w:r>
              <w:rPr>
                <w:rFonts w:ascii="Times New Roman" w:hAnsi="Times New Roman" w:eastAsia="宋体"/>
                <w:color w:val="000000"/>
              </w:rPr>
              <w:t>施工期</w:t>
            </w:r>
          </w:p>
        </w:tc>
        <w:tc>
          <w:tcPr>
            <w:tcW w:w="677" w:type="pct"/>
            <w:vAlign w:val="center"/>
          </w:tcPr>
          <w:p w14:paraId="59A1096A">
            <w:pPr>
              <w:pStyle w:val="409"/>
              <w:jc w:val="center"/>
              <w:rPr>
                <w:rFonts w:ascii="Times New Roman" w:hAnsi="Times New Roman" w:eastAsia="宋体"/>
                <w:color w:val="000000"/>
              </w:rPr>
            </w:pPr>
            <w:r>
              <w:rPr>
                <w:rFonts w:ascii="Times New Roman" w:hAnsi="Times New Roman" w:eastAsia="宋体"/>
                <w:color w:val="000000"/>
              </w:rPr>
              <w:t>施工废水</w:t>
            </w:r>
          </w:p>
        </w:tc>
        <w:tc>
          <w:tcPr>
            <w:tcW w:w="585" w:type="pct"/>
            <w:vAlign w:val="center"/>
          </w:tcPr>
          <w:p w14:paraId="2EE1C505">
            <w:pPr>
              <w:pStyle w:val="409"/>
              <w:jc w:val="center"/>
              <w:rPr>
                <w:rFonts w:ascii="Times New Roman" w:hAnsi="Times New Roman" w:eastAsia="宋体"/>
                <w:color w:val="000000"/>
              </w:rPr>
            </w:pPr>
            <w:r>
              <w:rPr>
                <w:rFonts w:ascii="Times New Roman" w:hAnsi="Times New Roman" w:eastAsia="宋体"/>
                <w:color w:val="000000"/>
              </w:rPr>
              <w:t>0</w:t>
            </w:r>
          </w:p>
        </w:tc>
        <w:tc>
          <w:tcPr>
            <w:tcW w:w="707" w:type="pct"/>
            <w:vAlign w:val="center"/>
          </w:tcPr>
          <w:p w14:paraId="1A1518F7">
            <w:pPr>
              <w:pStyle w:val="409"/>
              <w:jc w:val="center"/>
              <w:rPr>
                <w:rFonts w:ascii="Times New Roman" w:hAnsi="Times New Roman" w:eastAsia="宋体"/>
                <w:color w:val="000000"/>
              </w:rPr>
            </w:pPr>
            <w:r>
              <w:rPr>
                <w:rFonts w:ascii="Times New Roman" w:hAnsi="Times New Roman" w:eastAsia="宋体"/>
                <w:color w:val="000000"/>
              </w:rPr>
              <w:t>-1SD</w:t>
            </w:r>
          </w:p>
        </w:tc>
        <w:tc>
          <w:tcPr>
            <w:tcW w:w="536" w:type="pct"/>
            <w:vAlign w:val="center"/>
          </w:tcPr>
          <w:p w14:paraId="5D57F20B">
            <w:pPr>
              <w:pStyle w:val="409"/>
              <w:jc w:val="center"/>
              <w:rPr>
                <w:rFonts w:ascii="Times New Roman" w:hAnsi="Times New Roman" w:eastAsia="宋体"/>
                <w:color w:val="000000"/>
              </w:rPr>
            </w:pPr>
            <w:r>
              <w:rPr>
                <w:rFonts w:ascii="Times New Roman" w:hAnsi="Times New Roman" w:eastAsia="宋体"/>
                <w:color w:val="000000"/>
              </w:rPr>
              <w:t>0</w:t>
            </w:r>
          </w:p>
        </w:tc>
        <w:tc>
          <w:tcPr>
            <w:tcW w:w="601" w:type="pct"/>
            <w:vAlign w:val="center"/>
          </w:tcPr>
          <w:p w14:paraId="439BDAD9">
            <w:pPr>
              <w:pStyle w:val="409"/>
              <w:jc w:val="center"/>
              <w:rPr>
                <w:rFonts w:ascii="Times New Roman" w:hAnsi="Times New Roman" w:eastAsia="宋体"/>
                <w:color w:val="000000"/>
              </w:rPr>
            </w:pPr>
            <w:r>
              <w:rPr>
                <w:rFonts w:ascii="Times New Roman" w:hAnsi="Times New Roman" w:eastAsia="宋体"/>
                <w:color w:val="000000"/>
              </w:rPr>
              <w:t>0</w:t>
            </w:r>
          </w:p>
        </w:tc>
        <w:tc>
          <w:tcPr>
            <w:tcW w:w="503" w:type="pct"/>
            <w:vAlign w:val="center"/>
          </w:tcPr>
          <w:p w14:paraId="3FE5E6F1">
            <w:pPr>
              <w:pStyle w:val="409"/>
              <w:jc w:val="center"/>
              <w:rPr>
                <w:rFonts w:ascii="Times New Roman" w:hAnsi="Times New Roman" w:eastAsia="宋体"/>
                <w:color w:val="000000"/>
              </w:rPr>
            </w:pPr>
            <w:r>
              <w:rPr>
                <w:rFonts w:ascii="Times New Roman" w:hAnsi="Times New Roman" w:eastAsia="宋体"/>
                <w:color w:val="000000"/>
              </w:rPr>
              <w:t>-1SD</w:t>
            </w:r>
          </w:p>
        </w:tc>
        <w:tc>
          <w:tcPr>
            <w:tcW w:w="543" w:type="pct"/>
            <w:vAlign w:val="center"/>
          </w:tcPr>
          <w:p w14:paraId="20CCDE7E">
            <w:pPr>
              <w:pStyle w:val="409"/>
              <w:jc w:val="center"/>
              <w:rPr>
                <w:rFonts w:ascii="Times New Roman" w:hAnsi="Times New Roman" w:eastAsia="宋体"/>
                <w:color w:val="000000"/>
              </w:rPr>
            </w:pPr>
            <w:r>
              <w:rPr>
                <w:rFonts w:ascii="Times New Roman" w:hAnsi="Times New Roman" w:eastAsia="宋体"/>
                <w:color w:val="000000"/>
              </w:rPr>
              <w:t>0</w:t>
            </w:r>
          </w:p>
        </w:tc>
        <w:tc>
          <w:tcPr>
            <w:tcW w:w="567" w:type="pct"/>
            <w:vAlign w:val="center"/>
          </w:tcPr>
          <w:p w14:paraId="157B800A">
            <w:pPr>
              <w:pStyle w:val="409"/>
              <w:jc w:val="center"/>
              <w:rPr>
                <w:rFonts w:ascii="Times New Roman" w:hAnsi="Times New Roman" w:eastAsia="宋体"/>
                <w:color w:val="000000"/>
              </w:rPr>
            </w:pPr>
            <w:r>
              <w:rPr>
                <w:rFonts w:ascii="Times New Roman" w:hAnsi="Times New Roman" w:eastAsia="宋体"/>
                <w:color w:val="000000"/>
              </w:rPr>
              <w:t>0</w:t>
            </w:r>
          </w:p>
        </w:tc>
      </w:tr>
      <w:tr w14:paraId="6000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Merge w:val="continue"/>
            <w:vAlign w:val="center"/>
          </w:tcPr>
          <w:p w14:paraId="02EED5E6">
            <w:pPr>
              <w:pStyle w:val="409"/>
              <w:jc w:val="center"/>
              <w:rPr>
                <w:rFonts w:ascii="Times New Roman" w:hAnsi="Times New Roman" w:eastAsia="宋体"/>
                <w:color w:val="000000"/>
              </w:rPr>
            </w:pPr>
          </w:p>
        </w:tc>
        <w:tc>
          <w:tcPr>
            <w:tcW w:w="677" w:type="pct"/>
            <w:vAlign w:val="center"/>
          </w:tcPr>
          <w:p w14:paraId="6BA9AB63">
            <w:pPr>
              <w:pStyle w:val="409"/>
              <w:jc w:val="center"/>
              <w:rPr>
                <w:rFonts w:ascii="Times New Roman" w:hAnsi="Times New Roman" w:eastAsia="宋体"/>
                <w:color w:val="000000"/>
              </w:rPr>
            </w:pPr>
            <w:r>
              <w:rPr>
                <w:rFonts w:ascii="Times New Roman" w:hAnsi="Times New Roman" w:eastAsia="宋体"/>
                <w:color w:val="000000"/>
              </w:rPr>
              <w:t>施工扬尘</w:t>
            </w:r>
          </w:p>
        </w:tc>
        <w:tc>
          <w:tcPr>
            <w:tcW w:w="585" w:type="pct"/>
            <w:vAlign w:val="center"/>
          </w:tcPr>
          <w:p w14:paraId="3744A8C6">
            <w:pPr>
              <w:pStyle w:val="409"/>
              <w:jc w:val="center"/>
              <w:rPr>
                <w:rFonts w:ascii="Times New Roman" w:hAnsi="Times New Roman" w:eastAsia="宋体"/>
                <w:color w:val="000000"/>
              </w:rPr>
            </w:pPr>
            <w:r>
              <w:rPr>
                <w:rFonts w:ascii="Times New Roman" w:hAnsi="Times New Roman" w:eastAsia="宋体"/>
                <w:color w:val="000000"/>
              </w:rPr>
              <w:t>-1SD</w:t>
            </w:r>
          </w:p>
        </w:tc>
        <w:tc>
          <w:tcPr>
            <w:tcW w:w="707" w:type="pct"/>
            <w:vAlign w:val="center"/>
          </w:tcPr>
          <w:p w14:paraId="468BA577">
            <w:pPr>
              <w:pStyle w:val="409"/>
              <w:jc w:val="center"/>
              <w:rPr>
                <w:rFonts w:ascii="Times New Roman" w:hAnsi="Times New Roman" w:eastAsia="宋体"/>
                <w:color w:val="000000"/>
              </w:rPr>
            </w:pPr>
            <w:r>
              <w:rPr>
                <w:rFonts w:ascii="Times New Roman" w:hAnsi="Times New Roman" w:eastAsia="宋体"/>
                <w:color w:val="000000"/>
              </w:rPr>
              <w:t>0</w:t>
            </w:r>
          </w:p>
        </w:tc>
        <w:tc>
          <w:tcPr>
            <w:tcW w:w="536" w:type="pct"/>
            <w:vAlign w:val="center"/>
          </w:tcPr>
          <w:p w14:paraId="7A1530A2">
            <w:pPr>
              <w:pStyle w:val="409"/>
              <w:jc w:val="center"/>
              <w:rPr>
                <w:rFonts w:ascii="Times New Roman" w:hAnsi="Times New Roman" w:eastAsia="宋体"/>
                <w:color w:val="000000"/>
              </w:rPr>
            </w:pPr>
            <w:r>
              <w:rPr>
                <w:rFonts w:ascii="Times New Roman" w:hAnsi="Times New Roman" w:eastAsia="宋体"/>
                <w:color w:val="000000"/>
              </w:rPr>
              <w:t>0</w:t>
            </w:r>
          </w:p>
        </w:tc>
        <w:tc>
          <w:tcPr>
            <w:tcW w:w="601" w:type="pct"/>
            <w:vAlign w:val="center"/>
          </w:tcPr>
          <w:p w14:paraId="0AA53934">
            <w:pPr>
              <w:pStyle w:val="409"/>
              <w:jc w:val="center"/>
              <w:rPr>
                <w:rFonts w:ascii="Times New Roman" w:hAnsi="Times New Roman" w:eastAsia="宋体"/>
                <w:color w:val="000000"/>
              </w:rPr>
            </w:pPr>
            <w:r>
              <w:rPr>
                <w:rFonts w:ascii="Times New Roman" w:hAnsi="Times New Roman" w:eastAsia="宋体"/>
                <w:color w:val="000000"/>
              </w:rPr>
              <w:t>0</w:t>
            </w:r>
          </w:p>
        </w:tc>
        <w:tc>
          <w:tcPr>
            <w:tcW w:w="503" w:type="pct"/>
            <w:vAlign w:val="center"/>
          </w:tcPr>
          <w:p w14:paraId="6AEF93BB">
            <w:pPr>
              <w:pStyle w:val="409"/>
              <w:jc w:val="center"/>
              <w:rPr>
                <w:rFonts w:ascii="Times New Roman" w:hAnsi="Times New Roman" w:eastAsia="宋体"/>
                <w:color w:val="000000"/>
              </w:rPr>
            </w:pPr>
            <w:r>
              <w:rPr>
                <w:rFonts w:ascii="Times New Roman" w:hAnsi="Times New Roman" w:eastAsia="宋体"/>
                <w:color w:val="000000"/>
              </w:rPr>
              <w:t>0</w:t>
            </w:r>
          </w:p>
        </w:tc>
        <w:tc>
          <w:tcPr>
            <w:tcW w:w="543" w:type="pct"/>
            <w:vAlign w:val="center"/>
          </w:tcPr>
          <w:p w14:paraId="6243D78B">
            <w:pPr>
              <w:pStyle w:val="409"/>
              <w:jc w:val="center"/>
              <w:rPr>
                <w:rFonts w:ascii="Times New Roman" w:hAnsi="Times New Roman" w:eastAsia="宋体"/>
                <w:color w:val="000000"/>
              </w:rPr>
            </w:pPr>
            <w:r>
              <w:rPr>
                <w:rFonts w:ascii="Times New Roman" w:hAnsi="Times New Roman" w:eastAsia="宋体"/>
                <w:color w:val="000000"/>
              </w:rPr>
              <w:t>0</w:t>
            </w:r>
          </w:p>
        </w:tc>
        <w:tc>
          <w:tcPr>
            <w:tcW w:w="567" w:type="pct"/>
            <w:vAlign w:val="center"/>
          </w:tcPr>
          <w:p w14:paraId="342E52FE">
            <w:pPr>
              <w:pStyle w:val="409"/>
              <w:jc w:val="center"/>
              <w:rPr>
                <w:rFonts w:ascii="Times New Roman" w:hAnsi="Times New Roman" w:eastAsia="宋体"/>
                <w:color w:val="000000"/>
              </w:rPr>
            </w:pPr>
            <w:r>
              <w:rPr>
                <w:rFonts w:ascii="Times New Roman" w:hAnsi="Times New Roman" w:eastAsia="宋体"/>
                <w:color w:val="000000"/>
              </w:rPr>
              <w:t>0</w:t>
            </w:r>
          </w:p>
        </w:tc>
      </w:tr>
      <w:tr w14:paraId="32CF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Merge w:val="continue"/>
            <w:vAlign w:val="center"/>
          </w:tcPr>
          <w:p w14:paraId="62A9D03B">
            <w:pPr>
              <w:pStyle w:val="409"/>
              <w:jc w:val="center"/>
              <w:rPr>
                <w:rFonts w:ascii="Times New Roman" w:hAnsi="Times New Roman" w:eastAsia="宋体"/>
                <w:color w:val="000000"/>
              </w:rPr>
            </w:pPr>
          </w:p>
        </w:tc>
        <w:tc>
          <w:tcPr>
            <w:tcW w:w="677" w:type="pct"/>
            <w:vAlign w:val="center"/>
          </w:tcPr>
          <w:p w14:paraId="1BFA1B34">
            <w:pPr>
              <w:pStyle w:val="409"/>
              <w:jc w:val="center"/>
              <w:rPr>
                <w:rFonts w:ascii="Times New Roman" w:hAnsi="Times New Roman" w:eastAsia="宋体"/>
                <w:color w:val="000000"/>
              </w:rPr>
            </w:pPr>
            <w:r>
              <w:rPr>
                <w:rFonts w:ascii="Times New Roman" w:hAnsi="Times New Roman" w:eastAsia="宋体"/>
                <w:color w:val="000000"/>
              </w:rPr>
              <w:t>施工噪声</w:t>
            </w:r>
          </w:p>
        </w:tc>
        <w:tc>
          <w:tcPr>
            <w:tcW w:w="585" w:type="pct"/>
            <w:vAlign w:val="center"/>
          </w:tcPr>
          <w:p w14:paraId="532C296B">
            <w:pPr>
              <w:pStyle w:val="409"/>
              <w:jc w:val="center"/>
              <w:rPr>
                <w:rFonts w:ascii="Times New Roman" w:hAnsi="Times New Roman" w:eastAsia="宋体"/>
                <w:color w:val="000000"/>
              </w:rPr>
            </w:pPr>
            <w:r>
              <w:rPr>
                <w:rFonts w:ascii="Times New Roman" w:hAnsi="Times New Roman" w:eastAsia="宋体"/>
                <w:color w:val="000000"/>
              </w:rPr>
              <w:t>0</w:t>
            </w:r>
          </w:p>
        </w:tc>
        <w:tc>
          <w:tcPr>
            <w:tcW w:w="707" w:type="pct"/>
            <w:vAlign w:val="center"/>
          </w:tcPr>
          <w:p w14:paraId="651DB71C">
            <w:pPr>
              <w:pStyle w:val="409"/>
              <w:jc w:val="center"/>
              <w:rPr>
                <w:rFonts w:ascii="Times New Roman" w:hAnsi="Times New Roman" w:eastAsia="宋体"/>
                <w:color w:val="000000"/>
              </w:rPr>
            </w:pPr>
            <w:r>
              <w:rPr>
                <w:rFonts w:ascii="Times New Roman" w:hAnsi="Times New Roman" w:eastAsia="宋体"/>
                <w:color w:val="000000"/>
              </w:rPr>
              <w:t>0</w:t>
            </w:r>
          </w:p>
        </w:tc>
        <w:tc>
          <w:tcPr>
            <w:tcW w:w="536" w:type="pct"/>
            <w:vAlign w:val="center"/>
          </w:tcPr>
          <w:p w14:paraId="430A1AD1">
            <w:pPr>
              <w:pStyle w:val="409"/>
              <w:jc w:val="center"/>
              <w:rPr>
                <w:rFonts w:ascii="Times New Roman" w:hAnsi="Times New Roman" w:eastAsia="宋体"/>
                <w:color w:val="000000"/>
              </w:rPr>
            </w:pPr>
            <w:r>
              <w:rPr>
                <w:rFonts w:ascii="Times New Roman" w:hAnsi="Times New Roman" w:eastAsia="宋体"/>
                <w:color w:val="000000"/>
              </w:rPr>
              <w:t>-1SD</w:t>
            </w:r>
          </w:p>
        </w:tc>
        <w:tc>
          <w:tcPr>
            <w:tcW w:w="601" w:type="pct"/>
            <w:vAlign w:val="center"/>
          </w:tcPr>
          <w:p w14:paraId="215E5053">
            <w:pPr>
              <w:pStyle w:val="409"/>
              <w:jc w:val="center"/>
              <w:rPr>
                <w:rFonts w:ascii="Times New Roman" w:hAnsi="Times New Roman" w:eastAsia="宋体"/>
                <w:color w:val="000000"/>
              </w:rPr>
            </w:pPr>
            <w:r>
              <w:rPr>
                <w:rFonts w:ascii="Times New Roman" w:hAnsi="Times New Roman" w:eastAsia="宋体"/>
                <w:color w:val="000000"/>
              </w:rPr>
              <w:t>0</w:t>
            </w:r>
          </w:p>
        </w:tc>
        <w:tc>
          <w:tcPr>
            <w:tcW w:w="503" w:type="pct"/>
            <w:vAlign w:val="center"/>
          </w:tcPr>
          <w:p w14:paraId="6540CE0A">
            <w:pPr>
              <w:pStyle w:val="409"/>
              <w:jc w:val="center"/>
              <w:rPr>
                <w:rFonts w:ascii="Times New Roman" w:hAnsi="Times New Roman" w:eastAsia="宋体"/>
                <w:color w:val="000000"/>
              </w:rPr>
            </w:pPr>
            <w:r>
              <w:rPr>
                <w:rFonts w:ascii="Times New Roman" w:hAnsi="Times New Roman" w:eastAsia="宋体"/>
                <w:color w:val="000000"/>
              </w:rPr>
              <w:t>0</w:t>
            </w:r>
          </w:p>
        </w:tc>
        <w:tc>
          <w:tcPr>
            <w:tcW w:w="543" w:type="pct"/>
            <w:vAlign w:val="center"/>
          </w:tcPr>
          <w:p w14:paraId="4F08BE29">
            <w:pPr>
              <w:pStyle w:val="409"/>
              <w:jc w:val="center"/>
              <w:rPr>
                <w:rFonts w:ascii="Times New Roman" w:hAnsi="Times New Roman" w:eastAsia="宋体"/>
                <w:color w:val="000000"/>
              </w:rPr>
            </w:pPr>
            <w:r>
              <w:rPr>
                <w:rFonts w:ascii="Times New Roman" w:hAnsi="Times New Roman" w:eastAsia="宋体"/>
                <w:color w:val="000000"/>
              </w:rPr>
              <w:t>0</w:t>
            </w:r>
          </w:p>
        </w:tc>
        <w:tc>
          <w:tcPr>
            <w:tcW w:w="567" w:type="pct"/>
            <w:vAlign w:val="center"/>
          </w:tcPr>
          <w:p w14:paraId="258038A8">
            <w:pPr>
              <w:pStyle w:val="409"/>
              <w:jc w:val="center"/>
              <w:rPr>
                <w:rFonts w:ascii="Times New Roman" w:hAnsi="Times New Roman" w:eastAsia="宋体"/>
                <w:color w:val="000000"/>
              </w:rPr>
            </w:pPr>
            <w:r>
              <w:rPr>
                <w:rFonts w:ascii="Times New Roman" w:hAnsi="Times New Roman" w:eastAsia="宋体"/>
                <w:color w:val="000000"/>
              </w:rPr>
              <w:t>0</w:t>
            </w:r>
          </w:p>
        </w:tc>
      </w:tr>
      <w:tr w14:paraId="6E2B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Merge w:val="continue"/>
            <w:vAlign w:val="center"/>
          </w:tcPr>
          <w:p w14:paraId="4729851E">
            <w:pPr>
              <w:pStyle w:val="409"/>
              <w:jc w:val="center"/>
              <w:rPr>
                <w:rFonts w:ascii="Times New Roman" w:hAnsi="Times New Roman" w:eastAsia="宋体"/>
                <w:color w:val="000000"/>
              </w:rPr>
            </w:pPr>
          </w:p>
        </w:tc>
        <w:tc>
          <w:tcPr>
            <w:tcW w:w="677" w:type="pct"/>
            <w:vAlign w:val="center"/>
          </w:tcPr>
          <w:p w14:paraId="7DF7226B">
            <w:pPr>
              <w:pStyle w:val="409"/>
              <w:jc w:val="center"/>
              <w:rPr>
                <w:rFonts w:ascii="Times New Roman" w:hAnsi="Times New Roman" w:eastAsia="宋体"/>
                <w:color w:val="000000"/>
              </w:rPr>
            </w:pPr>
            <w:r>
              <w:rPr>
                <w:rFonts w:ascii="Times New Roman" w:hAnsi="Times New Roman" w:eastAsia="宋体"/>
                <w:color w:val="000000"/>
              </w:rPr>
              <w:t>渣土垃圾</w:t>
            </w:r>
          </w:p>
        </w:tc>
        <w:tc>
          <w:tcPr>
            <w:tcW w:w="585" w:type="pct"/>
            <w:vAlign w:val="center"/>
          </w:tcPr>
          <w:p w14:paraId="2093F04E">
            <w:pPr>
              <w:pStyle w:val="409"/>
              <w:jc w:val="center"/>
              <w:rPr>
                <w:rFonts w:ascii="Times New Roman" w:hAnsi="Times New Roman" w:eastAsia="宋体"/>
                <w:color w:val="000000"/>
              </w:rPr>
            </w:pPr>
            <w:r>
              <w:rPr>
                <w:rFonts w:ascii="Times New Roman" w:hAnsi="Times New Roman" w:eastAsia="宋体"/>
                <w:color w:val="000000"/>
              </w:rPr>
              <w:t>0</w:t>
            </w:r>
          </w:p>
        </w:tc>
        <w:tc>
          <w:tcPr>
            <w:tcW w:w="707" w:type="pct"/>
            <w:vAlign w:val="center"/>
          </w:tcPr>
          <w:p w14:paraId="071D08B3">
            <w:pPr>
              <w:pStyle w:val="409"/>
              <w:jc w:val="center"/>
              <w:rPr>
                <w:rFonts w:ascii="Times New Roman" w:hAnsi="Times New Roman" w:eastAsia="宋体"/>
                <w:color w:val="000000"/>
              </w:rPr>
            </w:pPr>
            <w:r>
              <w:rPr>
                <w:rFonts w:ascii="Times New Roman" w:hAnsi="Times New Roman" w:eastAsia="宋体"/>
                <w:color w:val="000000"/>
              </w:rPr>
              <w:t>0</w:t>
            </w:r>
          </w:p>
        </w:tc>
        <w:tc>
          <w:tcPr>
            <w:tcW w:w="536" w:type="pct"/>
            <w:vAlign w:val="center"/>
          </w:tcPr>
          <w:p w14:paraId="14949224">
            <w:pPr>
              <w:pStyle w:val="409"/>
              <w:jc w:val="center"/>
              <w:rPr>
                <w:rFonts w:ascii="Times New Roman" w:hAnsi="Times New Roman" w:eastAsia="宋体"/>
                <w:color w:val="000000"/>
              </w:rPr>
            </w:pPr>
            <w:r>
              <w:rPr>
                <w:rFonts w:ascii="Times New Roman" w:hAnsi="Times New Roman" w:eastAsia="宋体"/>
                <w:color w:val="000000"/>
              </w:rPr>
              <w:t>0</w:t>
            </w:r>
          </w:p>
        </w:tc>
        <w:tc>
          <w:tcPr>
            <w:tcW w:w="601" w:type="pct"/>
            <w:vAlign w:val="center"/>
          </w:tcPr>
          <w:p w14:paraId="38B1952A">
            <w:pPr>
              <w:pStyle w:val="409"/>
              <w:jc w:val="center"/>
              <w:rPr>
                <w:rFonts w:ascii="Times New Roman" w:hAnsi="Times New Roman" w:eastAsia="宋体"/>
                <w:color w:val="000000"/>
              </w:rPr>
            </w:pPr>
            <w:r>
              <w:rPr>
                <w:rFonts w:ascii="Times New Roman" w:hAnsi="Times New Roman" w:eastAsia="宋体"/>
                <w:color w:val="000000"/>
              </w:rPr>
              <w:t>0</w:t>
            </w:r>
          </w:p>
        </w:tc>
        <w:tc>
          <w:tcPr>
            <w:tcW w:w="503" w:type="pct"/>
            <w:vAlign w:val="center"/>
          </w:tcPr>
          <w:p w14:paraId="3B209DD9">
            <w:pPr>
              <w:pStyle w:val="409"/>
              <w:jc w:val="center"/>
              <w:rPr>
                <w:rFonts w:ascii="Times New Roman" w:hAnsi="Times New Roman" w:eastAsia="宋体"/>
                <w:color w:val="000000"/>
              </w:rPr>
            </w:pPr>
            <w:r>
              <w:rPr>
                <w:rFonts w:ascii="Times New Roman" w:hAnsi="Times New Roman" w:eastAsia="宋体"/>
                <w:color w:val="000000"/>
              </w:rPr>
              <w:t>0</w:t>
            </w:r>
          </w:p>
        </w:tc>
        <w:tc>
          <w:tcPr>
            <w:tcW w:w="543" w:type="pct"/>
            <w:vAlign w:val="center"/>
          </w:tcPr>
          <w:p w14:paraId="0231E030">
            <w:pPr>
              <w:pStyle w:val="409"/>
              <w:jc w:val="center"/>
              <w:rPr>
                <w:rFonts w:ascii="Times New Roman" w:hAnsi="Times New Roman" w:eastAsia="宋体"/>
                <w:color w:val="000000"/>
              </w:rPr>
            </w:pPr>
            <w:r>
              <w:rPr>
                <w:rFonts w:ascii="Times New Roman" w:hAnsi="Times New Roman" w:eastAsia="宋体"/>
                <w:color w:val="000000"/>
              </w:rPr>
              <w:t>-1SI</w:t>
            </w:r>
          </w:p>
        </w:tc>
        <w:tc>
          <w:tcPr>
            <w:tcW w:w="567" w:type="pct"/>
            <w:vAlign w:val="center"/>
          </w:tcPr>
          <w:p w14:paraId="7743DAC9">
            <w:pPr>
              <w:pStyle w:val="409"/>
              <w:jc w:val="center"/>
              <w:rPr>
                <w:rFonts w:ascii="Times New Roman" w:hAnsi="Times New Roman" w:eastAsia="宋体"/>
                <w:color w:val="000000"/>
              </w:rPr>
            </w:pPr>
            <w:r>
              <w:rPr>
                <w:rFonts w:ascii="Times New Roman" w:hAnsi="Times New Roman" w:eastAsia="宋体"/>
                <w:color w:val="000000"/>
              </w:rPr>
              <w:t>0</w:t>
            </w:r>
          </w:p>
        </w:tc>
      </w:tr>
      <w:tr w14:paraId="1737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Merge w:val="restart"/>
            <w:vAlign w:val="center"/>
          </w:tcPr>
          <w:p w14:paraId="2DEC3F8D">
            <w:pPr>
              <w:pStyle w:val="409"/>
              <w:jc w:val="center"/>
              <w:rPr>
                <w:rFonts w:ascii="Times New Roman" w:hAnsi="Times New Roman" w:eastAsia="宋体"/>
                <w:color w:val="000000"/>
              </w:rPr>
            </w:pPr>
            <w:r>
              <w:rPr>
                <w:rFonts w:ascii="Times New Roman" w:hAnsi="Times New Roman" w:eastAsia="宋体"/>
                <w:color w:val="000000"/>
              </w:rPr>
              <w:t>营运期</w:t>
            </w:r>
          </w:p>
        </w:tc>
        <w:tc>
          <w:tcPr>
            <w:tcW w:w="677" w:type="pct"/>
            <w:vAlign w:val="center"/>
          </w:tcPr>
          <w:p w14:paraId="2BBF4664">
            <w:pPr>
              <w:pStyle w:val="409"/>
              <w:jc w:val="center"/>
              <w:rPr>
                <w:rFonts w:ascii="Times New Roman" w:hAnsi="Times New Roman" w:eastAsia="宋体"/>
                <w:color w:val="000000"/>
              </w:rPr>
            </w:pPr>
            <w:r>
              <w:rPr>
                <w:rFonts w:ascii="Times New Roman" w:hAnsi="Times New Roman" w:eastAsia="宋体"/>
                <w:color w:val="000000"/>
              </w:rPr>
              <w:t>废水排放</w:t>
            </w:r>
          </w:p>
        </w:tc>
        <w:tc>
          <w:tcPr>
            <w:tcW w:w="585" w:type="pct"/>
            <w:vAlign w:val="center"/>
          </w:tcPr>
          <w:p w14:paraId="629948BD">
            <w:pPr>
              <w:pStyle w:val="409"/>
              <w:jc w:val="center"/>
              <w:rPr>
                <w:rFonts w:ascii="Times New Roman" w:hAnsi="Times New Roman" w:eastAsia="宋体"/>
                <w:color w:val="000000"/>
              </w:rPr>
            </w:pPr>
            <w:r>
              <w:rPr>
                <w:rFonts w:ascii="Times New Roman" w:hAnsi="Times New Roman" w:eastAsia="宋体"/>
                <w:color w:val="000000"/>
              </w:rPr>
              <w:t>0</w:t>
            </w:r>
          </w:p>
        </w:tc>
        <w:tc>
          <w:tcPr>
            <w:tcW w:w="707" w:type="pct"/>
            <w:vAlign w:val="center"/>
          </w:tcPr>
          <w:p w14:paraId="2D2DBFB1">
            <w:pPr>
              <w:pStyle w:val="409"/>
              <w:jc w:val="center"/>
              <w:rPr>
                <w:rFonts w:ascii="Times New Roman" w:hAnsi="Times New Roman" w:eastAsia="宋体"/>
                <w:color w:val="000000"/>
              </w:rPr>
            </w:pPr>
            <w:r>
              <w:rPr>
                <w:rFonts w:ascii="Times New Roman" w:hAnsi="Times New Roman" w:eastAsia="宋体"/>
                <w:color w:val="000000"/>
              </w:rPr>
              <w:t>-1LD</w:t>
            </w:r>
          </w:p>
        </w:tc>
        <w:tc>
          <w:tcPr>
            <w:tcW w:w="536" w:type="pct"/>
            <w:vAlign w:val="center"/>
          </w:tcPr>
          <w:p w14:paraId="493820BB">
            <w:pPr>
              <w:pStyle w:val="409"/>
              <w:jc w:val="center"/>
              <w:rPr>
                <w:rFonts w:ascii="Times New Roman" w:hAnsi="Times New Roman" w:eastAsia="宋体"/>
                <w:color w:val="000000"/>
              </w:rPr>
            </w:pPr>
            <w:r>
              <w:rPr>
                <w:rFonts w:ascii="Times New Roman" w:hAnsi="Times New Roman" w:eastAsia="宋体"/>
                <w:color w:val="000000"/>
              </w:rPr>
              <w:t>0</w:t>
            </w:r>
          </w:p>
        </w:tc>
        <w:tc>
          <w:tcPr>
            <w:tcW w:w="601" w:type="pct"/>
            <w:vAlign w:val="center"/>
          </w:tcPr>
          <w:p w14:paraId="30F625C0">
            <w:pPr>
              <w:pStyle w:val="409"/>
              <w:jc w:val="center"/>
              <w:rPr>
                <w:rFonts w:ascii="Times New Roman" w:hAnsi="Times New Roman" w:eastAsia="宋体"/>
                <w:color w:val="000000"/>
              </w:rPr>
            </w:pPr>
            <w:r>
              <w:rPr>
                <w:rFonts w:ascii="Times New Roman" w:hAnsi="Times New Roman" w:eastAsia="宋体"/>
                <w:color w:val="000000"/>
              </w:rPr>
              <w:t>0</w:t>
            </w:r>
          </w:p>
        </w:tc>
        <w:tc>
          <w:tcPr>
            <w:tcW w:w="503" w:type="pct"/>
            <w:vAlign w:val="center"/>
          </w:tcPr>
          <w:p w14:paraId="3BA97397">
            <w:pPr>
              <w:pStyle w:val="409"/>
              <w:jc w:val="center"/>
              <w:rPr>
                <w:rFonts w:ascii="Times New Roman" w:hAnsi="Times New Roman" w:eastAsia="宋体"/>
                <w:color w:val="000000"/>
              </w:rPr>
            </w:pPr>
            <w:r>
              <w:rPr>
                <w:rFonts w:ascii="Times New Roman" w:hAnsi="Times New Roman" w:eastAsia="宋体"/>
                <w:color w:val="000000"/>
              </w:rPr>
              <w:t>-1SD</w:t>
            </w:r>
          </w:p>
        </w:tc>
        <w:tc>
          <w:tcPr>
            <w:tcW w:w="543" w:type="pct"/>
            <w:vAlign w:val="center"/>
          </w:tcPr>
          <w:p w14:paraId="523A1B32">
            <w:pPr>
              <w:pStyle w:val="409"/>
              <w:jc w:val="center"/>
              <w:rPr>
                <w:rFonts w:ascii="Times New Roman" w:hAnsi="Times New Roman" w:eastAsia="宋体"/>
                <w:color w:val="000000"/>
              </w:rPr>
            </w:pPr>
            <w:r>
              <w:rPr>
                <w:rFonts w:ascii="Times New Roman" w:hAnsi="Times New Roman" w:eastAsia="宋体"/>
                <w:color w:val="000000"/>
              </w:rPr>
              <w:t>0</w:t>
            </w:r>
          </w:p>
        </w:tc>
        <w:tc>
          <w:tcPr>
            <w:tcW w:w="567" w:type="pct"/>
            <w:vAlign w:val="center"/>
          </w:tcPr>
          <w:p w14:paraId="35057AA3">
            <w:pPr>
              <w:pStyle w:val="409"/>
              <w:jc w:val="center"/>
              <w:rPr>
                <w:rFonts w:ascii="Times New Roman" w:hAnsi="Times New Roman" w:eastAsia="宋体"/>
                <w:color w:val="000000"/>
              </w:rPr>
            </w:pPr>
            <w:r>
              <w:rPr>
                <w:rFonts w:ascii="Times New Roman" w:hAnsi="Times New Roman" w:eastAsia="宋体"/>
                <w:color w:val="000000"/>
              </w:rPr>
              <w:t>0</w:t>
            </w:r>
          </w:p>
        </w:tc>
      </w:tr>
      <w:tr w14:paraId="08E8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Merge w:val="continue"/>
            <w:vAlign w:val="center"/>
          </w:tcPr>
          <w:p w14:paraId="61C45ABF">
            <w:pPr>
              <w:pStyle w:val="409"/>
              <w:jc w:val="center"/>
              <w:rPr>
                <w:rFonts w:ascii="Times New Roman" w:hAnsi="Times New Roman" w:eastAsia="宋体"/>
                <w:color w:val="000000"/>
              </w:rPr>
            </w:pPr>
          </w:p>
        </w:tc>
        <w:tc>
          <w:tcPr>
            <w:tcW w:w="677" w:type="pct"/>
            <w:vAlign w:val="center"/>
          </w:tcPr>
          <w:p w14:paraId="619225AC">
            <w:pPr>
              <w:pStyle w:val="409"/>
              <w:jc w:val="center"/>
              <w:rPr>
                <w:rFonts w:ascii="Times New Roman" w:hAnsi="Times New Roman" w:eastAsia="宋体"/>
                <w:color w:val="000000"/>
              </w:rPr>
            </w:pPr>
            <w:r>
              <w:rPr>
                <w:rFonts w:ascii="Times New Roman" w:hAnsi="Times New Roman" w:eastAsia="宋体"/>
                <w:color w:val="000000"/>
              </w:rPr>
              <w:t>废气排放</w:t>
            </w:r>
          </w:p>
        </w:tc>
        <w:tc>
          <w:tcPr>
            <w:tcW w:w="585" w:type="pct"/>
            <w:vAlign w:val="center"/>
          </w:tcPr>
          <w:p w14:paraId="6A88DEF0">
            <w:pPr>
              <w:pStyle w:val="409"/>
              <w:jc w:val="center"/>
              <w:rPr>
                <w:rFonts w:ascii="Times New Roman" w:hAnsi="Times New Roman" w:eastAsia="宋体"/>
                <w:color w:val="000000"/>
              </w:rPr>
            </w:pPr>
            <w:r>
              <w:rPr>
                <w:rFonts w:ascii="Times New Roman" w:hAnsi="Times New Roman" w:eastAsia="宋体"/>
                <w:color w:val="000000"/>
              </w:rPr>
              <w:t>-1LD</w:t>
            </w:r>
          </w:p>
        </w:tc>
        <w:tc>
          <w:tcPr>
            <w:tcW w:w="707" w:type="pct"/>
            <w:vAlign w:val="center"/>
          </w:tcPr>
          <w:p w14:paraId="4CC858D2">
            <w:pPr>
              <w:pStyle w:val="409"/>
              <w:jc w:val="center"/>
              <w:rPr>
                <w:rFonts w:ascii="Times New Roman" w:hAnsi="Times New Roman" w:eastAsia="宋体"/>
                <w:color w:val="000000"/>
              </w:rPr>
            </w:pPr>
            <w:r>
              <w:rPr>
                <w:rFonts w:ascii="Times New Roman" w:hAnsi="Times New Roman" w:eastAsia="宋体"/>
                <w:color w:val="000000"/>
              </w:rPr>
              <w:t>0</w:t>
            </w:r>
          </w:p>
        </w:tc>
        <w:tc>
          <w:tcPr>
            <w:tcW w:w="536" w:type="pct"/>
            <w:vAlign w:val="center"/>
          </w:tcPr>
          <w:p w14:paraId="38C23C92">
            <w:pPr>
              <w:pStyle w:val="409"/>
              <w:jc w:val="center"/>
              <w:rPr>
                <w:rFonts w:ascii="Times New Roman" w:hAnsi="Times New Roman" w:eastAsia="宋体"/>
                <w:color w:val="000000"/>
              </w:rPr>
            </w:pPr>
            <w:r>
              <w:rPr>
                <w:rFonts w:ascii="Times New Roman" w:hAnsi="Times New Roman" w:eastAsia="宋体"/>
                <w:color w:val="000000"/>
              </w:rPr>
              <w:t>0</w:t>
            </w:r>
          </w:p>
        </w:tc>
        <w:tc>
          <w:tcPr>
            <w:tcW w:w="601" w:type="pct"/>
            <w:vAlign w:val="center"/>
          </w:tcPr>
          <w:p w14:paraId="1A29E9DC">
            <w:pPr>
              <w:pStyle w:val="409"/>
              <w:jc w:val="center"/>
              <w:rPr>
                <w:rFonts w:ascii="Times New Roman" w:hAnsi="Times New Roman" w:eastAsia="宋体"/>
                <w:color w:val="000000"/>
              </w:rPr>
            </w:pPr>
            <w:r>
              <w:rPr>
                <w:rFonts w:ascii="Times New Roman" w:hAnsi="Times New Roman" w:eastAsia="宋体"/>
                <w:color w:val="000000"/>
              </w:rPr>
              <w:t>-1SD</w:t>
            </w:r>
          </w:p>
        </w:tc>
        <w:tc>
          <w:tcPr>
            <w:tcW w:w="503" w:type="pct"/>
            <w:vAlign w:val="center"/>
          </w:tcPr>
          <w:p w14:paraId="0E5660E2">
            <w:pPr>
              <w:pStyle w:val="409"/>
              <w:jc w:val="center"/>
              <w:rPr>
                <w:rFonts w:ascii="Times New Roman" w:hAnsi="Times New Roman" w:eastAsia="宋体"/>
                <w:color w:val="000000"/>
              </w:rPr>
            </w:pPr>
            <w:r>
              <w:rPr>
                <w:rFonts w:ascii="Times New Roman" w:hAnsi="Times New Roman" w:eastAsia="宋体"/>
                <w:color w:val="000000"/>
              </w:rPr>
              <w:t>0</w:t>
            </w:r>
          </w:p>
        </w:tc>
        <w:tc>
          <w:tcPr>
            <w:tcW w:w="543" w:type="pct"/>
            <w:vAlign w:val="center"/>
          </w:tcPr>
          <w:p w14:paraId="226075A0">
            <w:pPr>
              <w:pStyle w:val="409"/>
              <w:jc w:val="center"/>
              <w:rPr>
                <w:rFonts w:ascii="Times New Roman" w:hAnsi="Times New Roman" w:eastAsia="宋体"/>
                <w:color w:val="000000"/>
              </w:rPr>
            </w:pPr>
            <w:r>
              <w:rPr>
                <w:rFonts w:ascii="Times New Roman" w:hAnsi="Times New Roman" w:eastAsia="宋体"/>
                <w:color w:val="000000"/>
              </w:rPr>
              <w:t>0</w:t>
            </w:r>
          </w:p>
        </w:tc>
        <w:tc>
          <w:tcPr>
            <w:tcW w:w="567" w:type="pct"/>
            <w:vAlign w:val="center"/>
          </w:tcPr>
          <w:p w14:paraId="782B9C64">
            <w:pPr>
              <w:pStyle w:val="409"/>
              <w:jc w:val="center"/>
              <w:rPr>
                <w:rFonts w:ascii="Times New Roman" w:hAnsi="Times New Roman" w:eastAsia="宋体"/>
                <w:color w:val="000000"/>
              </w:rPr>
            </w:pPr>
            <w:r>
              <w:rPr>
                <w:rFonts w:ascii="Times New Roman" w:hAnsi="Times New Roman" w:eastAsia="宋体"/>
                <w:color w:val="000000"/>
              </w:rPr>
              <w:t>-1SI</w:t>
            </w:r>
          </w:p>
        </w:tc>
      </w:tr>
      <w:tr w14:paraId="5CDD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Merge w:val="continue"/>
            <w:vAlign w:val="center"/>
          </w:tcPr>
          <w:p w14:paraId="7DFCF35F">
            <w:pPr>
              <w:pStyle w:val="409"/>
              <w:jc w:val="center"/>
              <w:rPr>
                <w:rFonts w:ascii="Times New Roman" w:hAnsi="Times New Roman" w:eastAsia="宋体"/>
                <w:color w:val="000000"/>
              </w:rPr>
            </w:pPr>
          </w:p>
        </w:tc>
        <w:tc>
          <w:tcPr>
            <w:tcW w:w="677" w:type="pct"/>
            <w:vAlign w:val="center"/>
          </w:tcPr>
          <w:p w14:paraId="599E274D">
            <w:pPr>
              <w:pStyle w:val="409"/>
              <w:jc w:val="center"/>
              <w:rPr>
                <w:rFonts w:ascii="Times New Roman" w:hAnsi="Times New Roman" w:eastAsia="宋体"/>
                <w:color w:val="000000"/>
              </w:rPr>
            </w:pPr>
            <w:r>
              <w:rPr>
                <w:rFonts w:ascii="Times New Roman" w:hAnsi="Times New Roman" w:eastAsia="宋体"/>
                <w:color w:val="000000"/>
              </w:rPr>
              <w:t>固体废物</w:t>
            </w:r>
          </w:p>
        </w:tc>
        <w:tc>
          <w:tcPr>
            <w:tcW w:w="585" w:type="pct"/>
            <w:vAlign w:val="center"/>
          </w:tcPr>
          <w:p w14:paraId="413ACD25">
            <w:pPr>
              <w:pStyle w:val="409"/>
              <w:jc w:val="center"/>
              <w:rPr>
                <w:rFonts w:ascii="Times New Roman" w:hAnsi="Times New Roman" w:eastAsia="宋体"/>
                <w:color w:val="000000"/>
              </w:rPr>
            </w:pPr>
            <w:r>
              <w:rPr>
                <w:rFonts w:ascii="Times New Roman" w:hAnsi="Times New Roman" w:eastAsia="宋体"/>
                <w:color w:val="000000"/>
              </w:rPr>
              <w:t>0</w:t>
            </w:r>
          </w:p>
        </w:tc>
        <w:tc>
          <w:tcPr>
            <w:tcW w:w="707" w:type="pct"/>
            <w:vAlign w:val="center"/>
          </w:tcPr>
          <w:p w14:paraId="02685071">
            <w:pPr>
              <w:pStyle w:val="409"/>
              <w:jc w:val="center"/>
              <w:rPr>
                <w:rFonts w:ascii="Times New Roman" w:hAnsi="Times New Roman" w:eastAsia="宋体"/>
                <w:color w:val="000000"/>
              </w:rPr>
            </w:pPr>
            <w:r>
              <w:rPr>
                <w:rFonts w:ascii="Times New Roman" w:hAnsi="Times New Roman" w:eastAsia="宋体"/>
                <w:color w:val="000000"/>
              </w:rPr>
              <w:t>0</w:t>
            </w:r>
          </w:p>
        </w:tc>
        <w:tc>
          <w:tcPr>
            <w:tcW w:w="536" w:type="pct"/>
            <w:vAlign w:val="center"/>
          </w:tcPr>
          <w:p w14:paraId="3C124348">
            <w:pPr>
              <w:pStyle w:val="409"/>
              <w:jc w:val="center"/>
              <w:rPr>
                <w:rFonts w:ascii="Times New Roman" w:hAnsi="Times New Roman" w:eastAsia="宋体"/>
                <w:color w:val="000000"/>
              </w:rPr>
            </w:pPr>
            <w:r>
              <w:rPr>
                <w:rFonts w:ascii="Times New Roman" w:hAnsi="Times New Roman" w:eastAsia="宋体"/>
                <w:color w:val="000000"/>
              </w:rPr>
              <w:t>0</w:t>
            </w:r>
          </w:p>
        </w:tc>
        <w:tc>
          <w:tcPr>
            <w:tcW w:w="601" w:type="pct"/>
            <w:vAlign w:val="center"/>
          </w:tcPr>
          <w:p w14:paraId="401D917F">
            <w:pPr>
              <w:pStyle w:val="409"/>
              <w:jc w:val="center"/>
              <w:rPr>
                <w:rFonts w:ascii="Times New Roman" w:hAnsi="Times New Roman" w:eastAsia="宋体"/>
                <w:color w:val="000000"/>
              </w:rPr>
            </w:pPr>
            <w:r>
              <w:rPr>
                <w:rFonts w:ascii="Times New Roman" w:hAnsi="Times New Roman" w:eastAsia="宋体"/>
                <w:color w:val="000000"/>
              </w:rPr>
              <w:t>0</w:t>
            </w:r>
          </w:p>
        </w:tc>
        <w:tc>
          <w:tcPr>
            <w:tcW w:w="503" w:type="pct"/>
            <w:vAlign w:val="center"/>
          </w:tcPr>
          <w:p w14:paraId="494969E1">
            <w:pPr>
              <w:pStyle w:val="409"/>
              <w:jc w:val="center"/>
              <w:rPr>
                <w:rFonts w:ascii="Times New Roman" w:hAnsi="Times New Roman" w:eastAsia="宋体"/>
                <w:color w:val="000000"/>
              </w:rPr>
            </w:pPr>
            <w:r>
              <w:rPr>
                <w:rFonts w:ascii="Times New Roman" w:hAnsi="Times New Roman" w:eastAsia="宋体"/>
                <w:color w:val="000000"/>
              </w:rPr>
              <w:t>0</w:t>
            </w:r>
          </w:p>
        </w:tc>
        <w:tc>
          <w:tcPr>
            <w:tcW w:w="543" w:type="pct"/>
            <w:vAlign w:val="center"/>
          </w:tcPr>
          <w:p w14:paraId="59A1EC07">
            <w:pPr>
              <w:pStyle w:val="409"/>
              <w:jc w:val="center"/>
              <w:rPr>
                <w:rFonts w:ascii="Times New Roman" w:hAnsi="Times New Roman" w:eastAsia="宋体"/>
                <w:color w:val="000000"/>
              </w:rPr>
            </w:pPr>
            <w:r>
              <w:rPr>
                <w:rFonts w:ascii="Times New Roman" w:hAnsi="Times New Roman" w:eastAsia="宋体"/>
                <w:color w:val="000000"/>
              </w:rPr>
              <w:t>-1SI</w:t>
            </w:r>
          </w:p>
        </w:tc>
        <w:tc>
          <w:tcPr>
            <w:tcW w:w="567" w:type="pct"/>
            <w:vAlign w:val="center"/>
          </w:tcPr>
          <w:p w14:paraId="5A42A7FF">
            <w:pPr>
              <w:pStyle w:val="409"/>
              <w:jc w:val="center"/>
              <w:rPr>
                <w:rFonts w:ascii="Times New Roman" w:hAnsi="Times New Roman" w:eastAsia="宋体"/>
                <w:color w:val="000000"/>
              </w:rPr>
            </w:pPr>
            <w:r>
              <w:rPr>
                <w:rFonts w:ascii="Times New Roman" w:hAnsi="Times New Roman" w:eastAsia="宋体"/>
                <w:color w:val="000000"/>
              </w:rPr>
              <w:t>0</w:t>
            </w:r>
          </w:p>
        </w:tc>
      </w:tr>
      <w:tr w14:paraId="1570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7" w:type="pct"/>
            <w:vMerge w:val="continue"/>
            <w:vAlign w:val="center"/>
          </w:tcPr>
          <w:p w14:paraId="59B7359A">
            <w:pPr>
              <w:pStyle w:val="409"/>
              <w:jc w:val="center"/>
              <w:rPr>
                <w:rFonts w:ascii="Times New Roman" w:hAnsi="Times New Roman" w:eastAsia="宋体"/>
                <w:color w:val="000000"/>
              </w:rPr>
            </w:pPr>
          </w:p>
        </w:tc>
        <w:tc>
          <w:tcPr>
            <w:tcW w:w="677" w:type="pct"/>
            <w:vAlign w:val="center"/>
          </w:tcPr>
          <w:p w14:paraId="17AF054C">
            <w:pPr>
              <w:pStyle w:val="409"/>
              <w:jc w:val="center"/>
              <w:rPr>
                <w:rFonts w:ascii="Times New Roman" w:hAnsi="Times New Roman" w:eastAsia="宋体"/>
                <w:color w:val="000000"/>
              </w:rPr>
            </w:pPr>
            <w:r>
              <w:rPr>
                <w:rFonts w:ascii="Times New Roman" w:hAnsi="Times New Roman" w:eastAsia="宋体"/>
                <w:color w:val="000000"/>
              </w:rPr>
              <w:t>事故风险</w:t>
            </w:r>
          </w:p>
        </w:tc>
        <w:tc>
          <w:tcPr>
            <w:tcW w:w="585" w:type="pct"/>
            <w:vAlign w:val="center"/>
          </w:tcPr>
          <w:p w14:paraId="6EC9397E">
            <w:pPr>
              <w:pStyle w:val="409"/>
              <w:jc w:val="center"/>
              <w:rPr>
                <w:rFonts w:ascii="Times New Roman" w:hAnsi="Times New Roman" w:eastAsia="宋体"/>
                <w:color w:val="000000"/>
              </w:rPr>
            </w:pPr>
            <w:r>
              <w:rPr>
                <w:rFonts w:ascii="Times New Roman" w:hAnsi="Times New Roman" w:eastAsia="宋体"/>
                <w:color w:val="000000"/>
              </w:rPr>
              <w:t>-1SD</w:t>
            </w:r>
          </w:p>
        </w:tc>
        <w:tc>
          <w:tcPr>
            <w:tcW w:w="707" w:type="pct"/>
            <w:vAlign w:val="center"/>
          </w:tcPr>
          <w:p w14:paraId="381825FC">
            <w:pPr>
              <w:pStyle w:val="409"/>
              <w:jc w:val="center"/>
              <w:rPr>
                <w:rFonts w:ascii="Times New Roman" w:hAnsi="Times New Roman" w:eastAsia="宋体"/>
                <w:color w:val="000000"/>
              </w:rPr>
            </w:pPr>
            <w:r>
              <w:rPr>
                <w:rFonts w:ascii="Times New Roman" w:hAnsi="Times New Roman" w:eastAsia="宋体"/>
                <w:color w:val="000000"/>
              </w:rPr>
              <w:t>-1SD</w:t>
            </w:r>
          </w:p>
        </w:tc>
        <w:tc>
          <w:tcPr>
            <w:tcW w:w="536" w:type="pct"/>
            <w:vAlign w:val="center"/>
          </w:tcPr>
          <w:p w14:paraId="419EF9E5">
            <w:pPr>
              <w:pStyle w:val="409"/>
              <w:jc w:val="center"/>
              <w:rPr>
                <w:rFonts w:ascii="Times New Roman" w:hAnsi="Times New Roman" w:eastAsia="宋体"/>
                <w:color w:val="000000"/>
              </w:rPr>
            </w:pPr>
            <w:r>
              <w:rPr>
                <w:rFonts w:ascii="Times New Roman" w:hAnsi="Times New Roman" w:eastAsia="宋体"/>
                <w:color w:val="000000"/>
              </w:rPr>
              <w:t>0</w:t>
            </w:r>
          </w:p>
        </w:tc>
        <w:tc>
          <w:tcPr>
            <w:tcW w:w="601" w:type="pct"/>
            <w:vAlign w:val="center"/>
          </w:tcPr>
          <w:p w14:paraId="1B29C649">
            <w:pPr>
              <w:pStyle w:val="409"/>
              <w:jc w:val="center"/>
              <w:rPr>
                <w:rFonts w:ascii="Times New Roman" w:hAnsi="Times New Roman" w:eastAsia="宋体"/>
                <w:color w:val="000000"/>
              </w:rPr>
            </w:pPr>
            <w:r>
              <w:rPr>
                <w:rFonts w:ascii="Times New Roman" w:hAnsi="Times New Roman" w:eastAsia="宋体"/>
                <w:color w:val="000000"/>
              </w:rPr>
              <w:t>0</w:t>
            </w:r>
          </w:p>
        </w:tc>
        <w:tc>
          <w:tcPr>
            <w:tcW w:w="503" w:type="pct"/>
            <w:vAlign w:val="center"/>
          </w:tcPr>
          <w:p w14:paraId="50993452">
            <w:pPr>
              <w:pStyle w:val="409"/>
              <w:jc w:val="center"/>
              <w:rPr>
                <w:rFonts w:ascii="Times New Roman" w:hAnsi="Times New Roman" w:eastAsia="宋体"/>
                <w:color w:val="000000"/>
              </w:rPr>
            </w:pPr>
            <w:r>
              <w:rPr>
                <w:rFonts w:ascii="Times New Roman" w:hAnsi="Times New Roman" w:eastAsia="宋体"/>
                <w:color w:val="000000"/>
              </w:rPr>
              <w:t>0</w:t>
            </w:r>
          </w:p>
        </w:tc>
        <w:tc>
          <w:tcPr>
            <w:tcW w:w="543" w:type="pct"/>
            <w:vAlign w:val="center"/>
          </w:tcPr>
          <w:p w14:paraId="109CD44B">
            <w:pPr>
              <w:pStyle w:val="409"/>
              <w:jc w:val="center"/>
              <w:rPr>
                <w:rFonts w:ascii="Times New Roman" w:hAnsi="Times New Roman" w:eastAsia="宋体"/>
                <w:color w:val="000000"/>
              </w:rPr>
            </w:pPr>
            <w:r>
              <w:rPr>
                <w:rFonts w:ascii="Times New Roman" w:hAnsi="Times New Roman" w:eastAsia="宋体"/>
                <w:color w:val="000000"/>
              </w:rPr>
              <w:t>0</w:t>
            </w:r>
          </w:p>
        </w:tc>
        <w:tc>
          <w:tcPr>
            <w:tcW w:w="567" w:type="pct"/>
            <w:vAlign w:val="center"/>
          </w:tcPr>
          <w:p w14:paraId="61D1D720">
            <w:pPr>
              <w:pStyle w:val="409"/>
              <w:jc w:val="center"/>
              <w:rPr>
                <w:rFonts w:ascii="Times New Roman" w:hAnsi="Times New Roman" w:eastAsia="宋体"/>
                <w:color w:val="000000"/>
              </w:rPr>
            </w:pPr>
            <w:r>
              <w:rPr>
                <w:rFonts w:ascii="Times New Roman" w:hAnsi="Times New Roman" w:eastAsia="宋体"/>
                <w:color w:val="000000"/>
              </w:rPr>
              <w:t>0</w:t>
            </w:r>
          </w:p>
        </w:tc>
      </w:tr>
    </w:tbl>
    <w:p w14:paraId="70630CBC">
      <w:pPr>
        <w:tabs>
          <w:tab w:val="left" w:pos="993"/>
        </w:tabs>
        <w:spacing w:line="240" w:lineRule="auto"/>
        <w:rPr>
          <w:color w:val="000000"/>
        </w:rPr>
      </w:pPr>
      <w:r>
        <w:rPr>
          <w:color w:val="000000"/>
          <w:sz w:val="21"/>
          <w:szCs w:val="20"/>
        </w:rPr>
        <w:t>注：“+”、“-”分别表示有利、不利影响；“0”至“3”数值分别表示无影响、轻微影响、中等影响、重大影响；“L”、“S”分别表示长期、短期影响；“D”、“I”分别表示直接、间接影响等。</w:t>
      </w:r>
      <w:bookmarkStart w:id="131" w:name="_Toc15499476"/>
      <w:bookmarkStart w:id="132" w:name="_Toc415045809"/>
      <w:bookmarkStart w:id="133" w:name="_Toc458021239"/>
      <w:bookmarkStart w:id="134" w:name="_Toc18841369"/>
      <w:bookmarkStart w:id="135" w:name="_Toc461100368"/>
      <w:bookmarkStart w:id="136" w:name="_Toc15499236"/>
      <w:bookmarkStart w:id="137" w:name="_Toc449353821"/>
      <w:bookmarkStart w:id="138" w:name="_Toc458070808"/>
      <w:bookmarkStart w:id="139" w:name="_Toc21939102"/>
      <w:bookmarkStart w:id="140" w:name="_Toc450674505"/>
    </w:p>
    <w:bookmarkEnd w:id="131"/>
    <w:bookmarkEnd w:id="132"/>
    <w:bookmarkEnd w:id="133"/>
    <w:bookmarkEnd w:id="134"/>
    <w:bookmarkEnd w:id="135"/>
    <w:bookmarkEnd w:id="136"/>
    <w:bookmarkEnd w:id="137"/>
    <w:bookmarkEnd w:id="138"/>
    <w:bookmarkEnd w:id="139"/>
    <w:bookmarkEnd w:id="140"/>
    <w:p w14:paraId="6C951C9B">
      <w:pPr>
        <w:pStyle w:val="771"/>
        <w:rPr>
          <w:color w:val="000000"/>
        </w:rPr>
      </w:pPr>
      <w:r>
        <w:rPr>
          <w:color w:val="000000"/>
        </w:rPr>
        <w:t>1.3.3 评价因子识别</w:t>
      </w:r>
    </w:p>
    <w:p w14:paraId="361A892B">
      <w:pPr>
        <w:pStyle w:val="133"/>
        <w:ind w:firstLine="480" w:firstLineChars="200"/>
        <w:jc w:val="both"/>
        <w:outlineLvl w:val="9"/>
        <w:rPr>
          <w:rFonts w:ascii="Times New Roman" w:hAnsi="Times New Roman"/>
          <w:color w:val="000000"/>
          <w:sz w:val="24"/>
          <w:lang w:val="en-US"/>
        </w:rPr>
      </w:pPr>
      <w:r>
        <w:rPr>
          <w:rFonts w:ascii="Times New Roman" w:hAnsi="Times New Roman"/>
          <w:color w:val="000000"/>
          <w:sz w:val="24"/>
          <w:lang w:val="en-US"/>
        </w:rPr>
        <w:t>根据工程分析，本项目环境影响评价因子识别分析见表1.3.3-1。</w:t>
      </w:r>
    </w:p>
    <w:p w14:paraId="043A79F4">
      <w:pPr>
        <w:pStyle w:val="133"/>
        <w:outlineLvl w:val="9"/>
        <w:rPr>
          <w:rFonts w:ascii="Times New Roman" w:hAnsi="Times New Roman"/>
          <w:color w:val="000000"/>
        </w:rPr>
      </w:pPr>
      <w:r>
        <w:rPr>
          <w:rFonts w:ascii="Times New Roman" w:hAnsi="Times New Roman"/>
          <w:color w:val="000000"/>
        </w:rPr>
        <w:t>表1.3.</w:t>
      </w:r>
      <w:r>
        <w:rPr>
          <w:rFonts w:ascii="Times New Roman" w:hAnsi="Times New Roman"/>
          <w:color w:val="000000"/>
          <w:lang w:val="en-US"/>
        </w:rPr>
        <w:t>3</w:t>
      </w:r>
      <w:r>
        <w:rPr>
          <w:rFonts w:ascii="Times New Roman" w:hAnsi="Times New Roman"/>
          <w:color w:val="000000"/>
        </w:rPr>
        <w:t>-</w:t>
      </w:r>
      <w:r>
        <w:rPr>
          <w:rFonts w:ascii="Times New Roman" w:hAnsi="Times New Roman"/>
          <w:color w:val="000000"/>
          <w:lang w:val="en-US"/>
        </w:rPr>
        <w:t>1</w:t>
      </w:r>
      <w:r>
        <w:rPr>
          <w:rFonts w:ascii="Times New Roman" w:hAnsi="Times New Roman"/>
          <w:color w:val="000000"/>
        </w:rPr>
        <w:t xml:space="preserve">  环境影响</w:t>
      </w:r>
      <w:r>
        <w:rPr>
          <w:rFonts w:ascii="Times New Roman" w:hAnsi="Times New Roman"/>
          <w:color w:val="000000"/>
          <w:lang w:val="en-US"/>
        </w:rPr>
        <w:t>评价因子识别</w:t>
      </w:r>
      <w:r>
        <w:rPr>
          <w:rFonts w:ascii="Times New Roman" w:hAnsi="Times New Roman"/>
          <w:color w:val="000000"/>
        </w:rPr>
        <w:t>分析表</w:t>
      </w:r>
    </w:p>
    <w:tbl>
      <w:tblPr>
        <w:tblStyle w:val="7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47"/>
        <w:gridCol w:w="1430"/>
        <w:gridCol w:w="1403"/>
        <w:gridCol w:w="837"/>
        <w:gridCol w:w="922"/>
        <w:gridCol w:w="1410"/>
        <w:gridCol w:w="701"/>
        <w:gridCol w:w="1178"/>
      </w:tblGrid>
      <w:tr w14:paraId="7B24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647" w:type="pct"/>
            <w:gridSpan w:val="2"/>
            <w:tcBorders>
              <w:tl2br w:val="single" w:color="auto" w:sz="4" w:space="0"/>
            </w:tcBorders>
          </w:tcPr>
          <w:p w14:paraId="5C13C88D">
            <w:pPr>
              <w:pStyle w:val="409"/>
              <w:spacing w:line="240" w:lineRule="auto"/>
              <w:jc w:val="center"/>
              <w:rPr>
                <w:rFonts w:ascii="Times New Roman" w:hAnsi="Times New Roman" w:eastAsia="宋体"/>
                <w:color w:val="000000"/>
              </w:rPr>
            </w:pPr>
            <w:r>
              <w:rPr>
                <w:rFonts w:ascii="Times New Roman" w:hAnsi="Times New Roman" w:eastAsia="宋体"/>
                <w:color w:val="000000"/>
              </w:rPr>
              <w:t xml:space="preserve"> 环境要素</w:t>
            </w:r>
          </w:p>
          <w:p w14:paraId="2C65B52C">
            <w:pPr>
              <w:pStyle w:val="409"/>
              <w:spacing w:line="240" w:lineRule="auto"/>
              <w:rPr>
                <w:rFonts w:ascii="Times New Roman" w:hAnsi="Times New Roman" w:eastAsia="宋体"/>
                <w:color w:val="000000"/>
              </w:rPr>
            </w:pPr>
            <w:r>
              <w:rPr>
                <w:rFonts w:ascii="Times New Roman" w:hAnsi="Times New Roman" w:eastAsia="宋体"/>
                <w:color w:val="000000"/>
              </w:rPr>
              <w:t>产污环节</w:t>
            </w:r>
          </w:p>
        </w:tc>
        <w:tc>
          <w:tcPr>
            <w:tcW w:w="789" w:type="pct"/>
            <w:vAlign w:val="center"/>
          </w:tcPr>
          <w:p w14:paraId="6FDCFDDC">
            <w:pPr>
              <w:pStyle w:val="409"/>
              <w:spacing w:line="240" w:lineRule="auto"/>
              <w:jc w:val="center"/>
              <w:rPr>
                <w:rFonts w:ascii="Times New Roman" w:hAnsi="Times New Roman" w:eastAsia="宋体"/>
                <w:color w:val="000000"/>
              </w:rPr>
            </w:pPr>
            <w:r>
              <w:rPr>
                <w:rFonts w:ascii="Times New Roman" w:hAnsi="Times New Roman" w:eastAsia="宋体"/>
                <w:color w:val="000000"/>
              </w:rPr>
              <w:t>大气</w:t>
            </w:r>
          </w:p>
        </w:tc>
        <w:tc>
          <w:tcPr>
            <w:tcW w:w="774" w:type="pct"/>
            <w:vAlign w:val="center"/>
          </w:tcPr>
          <w:p w14:paraId="6967783C">
            <w:pPr>
              <w:pStyle w:val="409"/>
              <w:spacing w:line="240" w:lineRule="auto"/>
              <w:jc w:val="center"/>
              <w:rPr>
                <w:rFonts w:ascii="Times New Roman" w:hAnsi="Times New Roman" w:eastAsia="宋体"/>
                <w:color w:val="000000"/>
              </w:rPr>
            </w:pPr>
            <w:r>
              <w:rPr>
                <w:rFonts w:ascii="Times New Roman" w:hAnsi="Times New Roman" w:eastAsia="宋体"/>
                <w:color w:val="000000"/>
              </w:rPr>
              <w:t>地表水</w:t>
            </w:r>
          </w:p>
        </w:tc>
        <w:tc>
          <w:tcPr>
            <w:tcW w:w="462" w:type="pct"/>
            <w:vAlign w:val="center"/>
          </w:tcPr>
          <w:p w14:paraId="2B49489D">
            <w:pPr>
              <w:pStyle w:val="409"/>
              <w:spacing w:line="240" w:lineRule="auto"/>
              <w:jc w:val="center"/>
              <w:rPr>
                <w:rFonts w:ascii="Times New Roman" w:hAnsi="Times New Roman" w:eastAsia="宋体"/>
                <w:color w:val="000000"/>
              </w:rPr>
            </w:pPr>
            <w:r>
              <w:rPr>
                <w:rFonts w:ascii="Times New Roman" w:hAnsi="Times New Roman" w:eastAsia="宋体"/>
                <w:color w:val="000000"/>
              </w:rPr>
              <w:t>地下水</w:t>
            </w:r>
          </w:p>
        </w:tc>
        <w:tc>
          <w:tcPr>
            <w:tcW w:w="509" w:type="pct"/>
            <w:vAlign w:val="center"/>
          </w:tcPr>
          <w:p w14:paraId="0BA3DB15">
            <w:pPr>
              <w:pStyle w:val="409"/>
              <w:spacing w:line="240" w:lineRule="auto"/>
              <w:jc w:val="center"/>
              <w:rPr>
                <w:rFonts w:ascii="Times New Roman" w:hAnsi="Times New Roman" w:eastAsia="宋体"/>
                <w:color w:val="000000"/>
              </w:rPr>
            </w:pPr>
            <w:r>
              <w:rPr>
                <w:rFonts w:ascii="Times New Roman" w:hAnsi="Times New Roman" w:eastAsia="宋体"/>
                <w:color w:val="000000"/>
              </w:rPr>
              <w:t>声环境</w:t>
            </w:r>
          </w:p>
        </w:tc>
        <w:tc>
          <w:tcPr>
            <w:tcW w:w="778" w:type="pct"/>
            <w:vAlign w:val="center"/>
          </w:tcPr>
          <w:p w14:paraId="3F2EF0BF">
            <w:pPr>
              <w:pStyle w:val="409"/>
              <w:spacing w:line="240" w:lineRule="auto"/>
              <w:jc w:val="center"/>
              <w:rPr>
                <w:rFonts w:ascii="Times New Roman" w:hAnsi="Times New Roman" w:eastAsia="宋体"/>
                <w:color w:val="000000"/>
              </w:rPr>
            </w:pPr>
            <w:r>
              <w:rPr>
                <w:rFonts w:ascii="Times New Roman" w:hAnsi="Times New Roman" w:eastAsia="宋体"/>
                <w:color w:val="000000"/>
              </w:rPr>
              <w:t>固体废物</w:t>
            </w:r>
          </w:p>
        </w:tc>
        <w:tc>
          <w:tcPr>
            <w:tcW w:w="387" w:type="pct"/>
            <w:vAlign w:val="center"/>
          </w:tcPr>
          <w:p w14:paraId="43F98578">
            <w:pPr>
              <w:pStyle w:val="409"/>
              <w:spacing w:line="240" w:lineRule="auto"/>
              <w:jc w:val="center"/>
              <w:rPr>
                <w:rFonts w:ascii="Times New Roman" w:hAnsi="Times New Roman" w:eastAsia="宋体"/>
                <w:color w:val="000000"/>
              </w:rPr>
            </w:pPr>
            <w:r>
              <w:rPr>
                <w:rFonts w:ascii="Times New Roman" w:hAnsi="Times New Roman" w:eastAsia="宋体"/>
                <w:color w:val="000000"/>
              </w:rPr>
              <w:t>土壤</w:t>
            </w:r>
          </w:p>
        </w:tc>
        <w:tc>
          <w:tcPr>
            <w:tcW w:w="650" w:type="pct"/>
            <w:vAlign w:val="center"/>
          </w:tcPr>
          <w:p w14:paraId="0B3A04E1">
            <w:pPr>
              <w:pStyle w:val="409"/>
              <w:spacing w:line="240" w:lineRule="auto"/>
              <w:jc w:val="center"/>
              <w:rPr>
                <w:rFonts w:ascii="Times New Roman" w:hAnsi="Times New Roman" w:eastAsia="宋体"/>
                <w:color w:val="000000"/>
              </w:rPr>
            </w:pPr>
            <w:r>
              <w:rPr>
                <w:rFonts w:ascii="Times New Roman" w:hAnsi="Times New Roman" w:eastAsia="宋体"/>
                <w:color w:val="000000"/>
              </w:rPr>
              <w:t>环境风险</w:t>
            </w:r>
          </w:p>
        </w:tc>
      </w:tr>
      <w:tr w14:paraId="6304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235" w:type="pct"/>
            <w:vMerge w:val="restart"/>
            <w:vAlign w:val="center"/>
          </w:tcPr>
          <w:p w14:paraId="56A80649">
            <w:pPr>
              <w:pStyle w:val="409"/>
              <w:spacing w:line="240" w:lineRule="auto"/>
              <w:jc w:val="center"/>
              <w:rPr>
                <w:rFonts w:ascii="Times New Roman" w:hAnsi="Times New Roman" w:eastAsia="宋体"/>
                <w:color w:val="000000"/>
              </w:rPr>
            </w:pPr>
            <w:r>
              <w:rPr>
                <w:rFonts w:ascii="Times New Roman" w:hAnsi="Times New Roman" w:eastAsia="宋体"/>
                <w:color w:val="000000"/>
              </w:rPr>
              <w:t>施工期</w:t>
            </w:r>
          </w:p>
        </w:tc>
        <w:tc>
          <w:tcPr>
            <w:tcW w:w="412" w:type="pct"/>
            <w:vAlign w:val="center"/>
          </w:tcPr>
          <w:p w14:paraId="531FE671">
            <w:pPr>
              <w:pStyle w:val="409"/>
              <w:spacing w:line="240" w:lineRule="auto"/>
              <w:jc w:val="center"/>
              <w:rPr>
                <w:rFonts w:ascii="Times New Roman" w:hAnsi="Times New Roman" w:eastAsia="宋体"/>
                <w:color w:val="000000"/>
              </w:rPr>
            </w:pPr>
            <w:r>
              <w:rPr>
                <w:rFonts w:ascii="Times New Roman" w:hAnsi="Times New Roman" w:eastAsia="宋体"/>
                <w:color w:val="000000"/>
              </w:rPr>
              <w:t>施工活动</w:t>
            </w:r>
          </w:p>
        </w:tc>
        <w:tc>
          <w:tcPr>
            <w:tcW w:w="789" w:type="pct"/>
            <w:vAlign w:val="center"/>
          </w:tcPr>
          <w:p w14:paraId="2D8A3212">
            <w:pPr>
              <w:pStyle w:val="409"/>
              <w:spacing w:line="240" w:lineRule="auto"/>
              <w:jc w:val="center"/>
              <w:rPr>
                <w:rFonts w:ascii="Times New Roman" w:hAnsi="Times New Roman" w:eastAsia="宋体"/>
                <w:color w:val="000000"/>
              </w:rPr>
            </w:pPr>
            <w:r>
              <w:rPr>
                <w:rFonts w:ascii="Times New Roman" w:hAnsi="Times New Roman" w:eastAsia="宋体"/>
                <w:color w:val="000000"/>
              </w:rPr>
              <w:t>TSP、CO、NO</w:t>
            </w:r>
            <w:r>
              <w:rPr>
                <w:rFonts w:ascii="Times New Roman" w:hAnsi="Times New Roman" w:eastAsia="宋体"/>
                <w:color w:val="000000"/>
                <w:vertAlign w:val="subscript"/>
              </w:rPr>
              <w:t>X</w:t>
            </w:r>
          </w:p>
        </w:tc>
        <w:tc>
          <w:tcPr>
            <w:tcW w:w="774" w:type="pct"/>
            <w:vAlign w:val="center"/>
          </w:tcPr>
          <w:p w14:paraId="5D0E5787">
            <w:pPr>
              <w:pStyle w:val="409"/>
              <w:spacing w:line="240" w:lineRule="auto"/>
              <w:jc w:val="center"/>
              <w:rPr>
                <w:rFonts w:ascii="Times New Roman" w:hAnsi="Times New Roman" w:eastAsia="宋体"/>
                <w:color w:val="000000"/>
              </w:rPr>
            </w:pPr>
            <w:r>
              <w:rPr>
                <w:rFonts w:ascii="Times New Roman" w:hAnsi="Times New Roman" w:eastAsia="宋体"/>
                <w:color w:val="000000"/>
              </w:rPr>
              <w:t>COD、SS、石油类</w:t>
            </w:r>
          </w:p>
        </w:tc>
        <w:tc>
          <w:tcPr>
            <w:tcW w:w="462" w:type="pct"/>
            <w:vAlign w:val="center"/>
          </w:tcPr>
          <w:p w14:paraId="649EF788">
            <w:pPr>
              <w:pStyle w:val="409"/>
              <w:spacing w:line="240" w:lineRule="auto"/>
              <w:jc w:val="center"/>
              <w:rPr>
                <w:rFonts w:ascii="Times New Roman" w:hAnsi="Times New Roman" w:eastAsia="宋体"/>
                <w:color w:val="000000"/>
              </w:rPr>
            </w:pPr>
            <w:r>
              <w:rPr>
                <w:rFonts w:ascii="Times New Roman" w:hAnsi="Times New Roman" w:eastAsia="宋体"/>
                <w:color w:val="000000"/>
              </w:rPr>
              <w:t>/</w:t>
            </w:r>
          </w:p>
        </w:tc>
        <w:tc>
          <w:tcPr>
            <w:tcW w:w="509" w:type="pct"/>
            <w:vAlign w:val="center"/>
          </w:tcPr>
          <w:p w14:paraId="6FBBF44D">
            <w:pPr>
              <w:pStyle w:val="409"/>
              <w:spacing w:line="240" w:lineRule="auto"/>
              <w:jc w:val="center"/>
              <w:rPr>
                <w:rFonts w:ascii="Times New Roman" w:hAnsi="Times New Roman" w:eastAsia="宋体"/>
                <w:color w:val="000000"/>
              </w:rPr>
            </w:pPr>
            <w:r>
              <w:rPr>
                <w:rFonts w:ascii="Times New Roman" w:hAnsi="Times New Roman" w:eastAsia="宋体"/>
                <w:color w:val="000000"/>
              </w:rPr>
              <w:t>机械噪声（等效连续A声级）</w:t>
            </w:r>
          </w:p>
        </w:tc>
        <w:tc>
          <w:tcPr>
            <w:tcW w:w="778" w:type="pct"/>
            <w:vAlign w:val="center"/>
          </w:tcPr>
          <w:p w14:paraId="7C49739E">
            <w:pPr>
              <w:pStyle w:val="409"/>
              <w:spacing w:line="240" w:lineRule="auto"/>
              <w:jc w:val="center"/>
              <w:rPr>
                <w:rFonts w:ascii="Times New Roman" w:hAnsi="Times New Roman" w:eastAsia="宋体"/>
                <w:color w:val="000000"/>
              </w:rPr>
            </w:pPr>
            <w:r>
              <w:rPr>
                <w:rFonts w:ascii="Times New Roman" w:hAnsi="Times New Roman" w:eastAsia="宋体"/>
                <w:color w:val="000000"/>
              </w:rPr>
              <w:t>建筑垃圾</w:t>
            </w:r>
          </w:p>
        </w:tc>
        <w:tc>
          <w:tcPr>
            <w:tcW w:w="387" w:type="pct"/>
            <w:vAlign w:val="center"/>
          </w:tcPr>
          <w:p w14:paraId="2D815388">
            <w:pPr>
              <w:spacing w:line="240" w:lineRule="auto"/>
              <w:jc w:val="center"/>
              <w:rPr>
                <w:color w:val="000000"/>
              </w:rPr>
            </w:pPr>
            <w:r>
              <w:rPr>
                <w:color w:val="000000"/>
              </w:rPr>
              <w:t>/</w:t>
            </w:r>
          </w:p>
        </w:tc>
        <w:tc>
          <w:tcPr>
            <w:tcW w:w="650" w:type="pct"/>
            <w:vAlign w:val="center"/>
          </w:tcPr>
          <w:p w14:paraId="5470A2CC">
            <w:pPr>
              <w:spacing w:line="240" w:lineRule="auto"/>
              <w:jc w:val="center"/>
              <w:rPr>
                <w:color w:val="000000"/>
              </w:rPr>
            </w:pPr>
            <w:r>
              <w:rPr>
                <w:color w:val="000000"/>
              </w:rPr>
              <w:t>/</w:t>
            </w:r>
          </w:p>
        </w:tc>
      </w:tr>
      <w:tr w14:paraId="25CC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235" w:type="pct"/>
            <w:vMerge w:val="continue"/>
            <w:vAlign w:val="center"/>
          </w:tcPr>
          <w:p w14:paraId="149C8E1E">
            <w:pPr>
              <w:pStyle w:val="409"/>
              <w:spacing w:line="240" w:lineRule="auto"/>
              <w:jc w:val="center"/>
              <w:rPr>
                <w:rFonts w:ascii="Times New Roman" w:hAnsi="Times New Roman" w:eastAsia="宋体"/>
                <w:color w:val="000000"/>
              </w:rPr>
            </w:pPr>
          </w:p>
        </w:tc>
        <w:tc>
          <w:tcPr>
            <w:tcW w:w="412" w:type="pct"/>
            <w:vAlign w:val="center"/>
          </w:tcPr>
          <w:p w14:paraId="6A5CA7EC">
            <w:pPr>
              <w:pStyle w:val="409"/>
              <w:spacing w:line="240" w:lineRule="auto"/>
              <w:jc w:val="center"/>
              <w:rPr>
                <w:rFonts w:ascii="Times New Roman" w:hAnsi="Times New Roman" w:eastAsia="宋体"/>
                <w:color w:val="000000"/>
              </w:rPr>
            </w:pPr>
            <w:r>
              <w:rPr>
                <w:rFonts w:ascii="Times New Roman" w:hAnsi="Times New Roman" w:eastAsia="宋体"/>
                <w:color w:val="000000"/>
              </w:rPr>
              <w:t>生活排污</w:t>
            </w:r>
          </w:p>
        </w:tc>
        <w:tc>
          <w:tcPr>
            <w:tcW w:w="789" w:type="pct"/>
            <w:vAlign w:val="center"/>
          </w:tcPr>
          <w:p w14:paraId="56ECE941">
            <w:pPr>
              <w:pStyle w:val="409"/>
              <w:spacing w:line="240" w:lineRule="auto"/>
              <w:jc w:val="center"/>
              <w:rPr>
                <w:rFonts w:ascii="Times New Roman" w:hAnsi="Times New Roman" w:eastAsia="宋体"/>
                <w:color w:val="000000"/>
              </w:rPr>
            </w:pPr>
            <w:r>
              <w:rPr>
                <w:rFonts w:ascii="Times New Roman" w:hAnsi="Times New Roman" w:eastAsia="宋体"/>
                <w:color w:val="000000"/>
              </w:rPr>
              <w:t>/</w:t>
            </w:r>
          </w:p>
        </w:tc>
        <w:tc>
          <w:tcPr>
            <w:tcW w:w="774" w:type="pct"/>
            <w:vAlign w:val="center"/>
          </w:tcPr>
          <w:p w14:paraId="0B9E2AA0">
            <w:pPr>
              <w:pStyle w:val="409"/>
              <w:spacing w:line="240" w:lineRule="auto"/>
              <w:jc w:val="center"/>
              <w:rPr>
                <w:rFonts w:ascii="Times New Roman" w:hAnsi="Times New Roman" w:eastAsia="宋体"/>
                <w:color w:val="000000"/>
              </w:rPr>
            </w:pPr>
            <w:r>
              <w:rPr>
                <w:rFonts w:ascii="Times New Roman" w:hAnsi="Times New Roman" w:eastAsia="宋体"/>
                <w:color w:val="000000"/>
              </w:rPr>
              <w:t>COD、BOD</w:t>
            </w:r>
            <w:r>
              <w:rPr>
                <w:rFonts w:ascii="Times New Roman" w:hAnsi="Times New Roman" w:eastAsia="宋体"/>
                <w:color w:val="000000"/>
                <w:vertAlign w:val="subscript"/>
              </w:rPr>
              <w:t>5</w:t>
            </w:r>
            <w:r>
              <w:rPr>
                <w:rFonts w:ascii="Times New Roman" w:hAnsi="Times New Roman" w:eastAsia="宋体"/>
                <w:color w:val="000000"/>
              </w:rPr>
              <w:t>、NH</w:t>
            </w:r>
            <w:r>
              <w:rPr>
                <w:rFonts w:ascii="Times New Roman" w:hAnsi="Times New Roman" w:eastAsia="宋体"/>
                <w:color w:val="000000"/>
                <w:vertAlign w:val="subscript"/>
              </w:rPr>
              <w:t>3</w:t>
            </w:r>
            <w:r>
              <w:rPr>
                <w:rFonts w:ascii="Times New Roman" w:hAnsi="Times New Roman" w:eastAsia="宋体"/>
                <w:color w:val="000000"/>
              </w:rPr>
              <w:t>-N、SS、TP</w:t>
            </w:r>
          </w:p>
        </w:tc>
        <w:tc>
          <w:tcPr>
            <w:tcW w:w="462" w:type="pct"/>
            <w:vAlign w:val="center"/>
          </w:tcPr>
          <w:p w14:paraId="343F5C54">
            <w:pPr>
              <w:pStyle w:val="409"/>
              <w:spacing w:line="240" w:lineRule="auto"/>
              <w:jc w:val="center"/>
              <w:rPr>
                <w:rFonts w:ascii="Times New Roman" w:hAnsi="Times New Roman" w:eastAsia="宋体"/>
                <w:color w:val="000000"/>
              </w:rPr>
            </w:pPr>
            <w:r>
              <w:rPr>
                <w:rFonts w:ascii="Times New Roman" w:hAnsi="Times New Roman" w:eastAsia="宋体"/>
                <w:color w:val="000000"/>
              </w:rPr>
              <w:t>/</w:t>
            </w:r>
          </w:p>
        </w:tc>
        <w:tc>
          <w:tcPr>
            <w:tcW w:w="509" w:type="pct"/>
            <w:vAlign w:val="center"/>
          </w:tcPr>
          <w:p w14:paraId="35ACD83B">
            <w:pPr>
              <w:pStyle w:val="409"/>
              <w:spacing w:line="240" w:lineRule="auto"/>
              <w:jc w:val="center"/>
              <w:rPr>
                <w:rFonts w:ascii="Times New Roman" w:hAnsi="Times New Roman" w:eastAsia="宋体"/>
                <w:color w:val="000000"/>
              </w:rPr>
            </w:pPr>
            <w:r>
              <w:rPr>
                <w:rFonts w:ascii="Times New Roman" w:hAnsi="Times New Roman" w:eastAsia="宋体"/>
                <w:color w:val="000000"/>
              </w:rPr>
              <w:t>/</w:t>
            </w:r>
          </w:p>
        </w:tc>
        <w:tc>
          <w:tcPr>
            <w:tcW w:w="778" w:type="pct"/>
            <w:vAlign w:val="center"/>
          </w:tcPr>
          <w:p w14:paraId="4CABC556">
            <w:pPr>
              <w:pStyle w:val="409"/>
              <w:spacing w:line="240" w:lineRule="auto"/>
              <w:jc w:val="center"/>
              <w:rPr>
                <w:rFonts w:ascii="Times New Roman" w:hAnsi="Times New Roman" w:eastAsia="宋体"/>
                <w:color w:val="000000"/>
              </w:rPr>
            </w:pPr>
            <w:r>
              <w:rPr>
                <w:rFonts w:ascii="Times New Roman" w:hAnsi="Times New Roman" w:eastAsia="宋体"/>
                <w:color w:val="000000"/>
              </w:rPr>
              <w:t>生活垃圾</w:t>
            </w:r>
          </w:p>
        </w:tc>
        <w:tc>
          <w:tcPr>
            <w:tcW w:w="387" w:type="pct"/>
            <w:vAlign w:val="center"/>
          </w:tcPr>
          <w:p w14:paraId="3911E98A">
            <w:pPr>
              <w:spacing w:line="240" w:lineRule="auto"/>
              <w:jc w:val="center"/>
              <w:rPr>
                <w:color w:val="000000"/>
              </w:rPr>
            </w:pPr>
            <w:r>
              <w:rPr>
                <w:color w:val="000000"/>
              </w:rPr>
              <w:t>/</w:t>
            </w:r>
          </w:p>
        </w:tc>
        <w:tc>
          <w:tcPr>
            <w:tcW w:w="650" w:type="pct"/>
            <w:vAlign w:val="center"/>
          </w:tcPr>
          <w:p w14:paraId="41CA4A60">
            <w:pPr>
              <w:spacing w:line="240" w:lineRule="auto"/>
              <w:jc w:val="center"/>
              <w:rPr>
                <w:color w:val="000000"/>
              </w:rPr>
            </w:pPr>
            <w:r>
              <w:rPr>
                <w:color w:val="000000"/>
              </w:rPr>
              <w:t>/</w:t>
            </w:r>
          </w:p>
        </w:tc>
      </w:tr>
      <w:tr w14:paraId="3524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235" w:type="pct"/>
            <w:vMerge w:val="restart"/>
            <w:vAlign w:val="center"/>
          </w:tcPr>
          <w:p w14:paraId="7DAE1671">
            <w:pPr>
              <w:pStyle w:val="409"/>
              <w:spacing w:line="240" w:lineRule="auto"/>
              <w:jc w:val="center"/>
              <w:rPr>
                <w:rFonts w:ascii="Times New Roman" w:hAnsi="Times New Roman" w:eastAsia="宋体"/>
                <w:color w:val="000000"/>
              </w:rPr>
            </w:pPr>
            <w:r>
              <w:rPr>
                <w:rFonts w:ascii="Times New Roman" w:hAnsi="Times New Roman" w:eastAsia="宋体"/>
                <w:color w:val="000000"/>
              </w:rPr>
              <w:t>营运期</w:t>
            </w:r>
          </w:p>
        </w:tc>
        <w:tc>
          <w:tcPr>
            <w:tcW w:w="412" w:type="pct"/>
            <w:vAlign w:val="center"/>
          </w:tcPr>
          <w:p w14:paraId="4429060A">
            <w:pPr>
              <w:pStyle w:val="409"/>
              <w:spacing w:line="240" w:lineRule="auto"/>
              <w:jc w:val="center"/>
              <w:rPr>
                <w:rFonts w:ascii="Times New Roman" w:hAnsi="Times New Roman" w:eastAsia="宋体"/>
                <w:color w:val="000000"/>
              </w:rPr>
            </w:pPr>
            <w:r>
              <w:rPr>
                <w:rFonts w:ascii="Times New Roman" w:hAnsi="Times New Roman" w:eastAsia="宋体"/>
                <w:color w:val="000000"/>
              </w:rPr>
              <w:t>生产排污</w:t>
            </w:r>
          </w:p>
        </w:tc>
        <w:tc>
          <w:tcPr>
            <w:tcW w:w="789" w:type="pct"/>
            <w:vAlign w:val="center"/>
          </w:tcPr>
          <w:p w14:paraId="0F8D9EA2">
            <w:pPr>
              <w:widowControl w:val="0"/>
              <w:spacing w:line="280" w:lineRule="atLeast"/>
              <w:jc w:val="center"/>
              <w:rPr>
                <w:color w:val="000000"/>
                <w:sz w:val="21"/>
              </w:rPr>
            </w:pPr>
            <w:r>
              <w:rPr>
                <w:color w:val="000000"/>
                <w:sz w:val="21"/>
              </w:rPr>
              <w:t>火炬燃烧颗粒物、NO</w:t>
            </w:r>
            <w:r>
              <w:rPr>
                <w:rFonts w:hint="eastAsia"/>
                <w:color w:val="000000"/>
                <w:sz w:val="21"/>
              </w:rPr>
              <w:t>x</w:t>
            </w:r>
            <w:r>
              <w:rPr>
                <w:color w:val="000000"/>
                <w:sz w:val="21"/>
              </w:rPr>
              <w:t>、SO</w:t>
            </w:r>
            <w:r>
              <w:rPr>
                <w:color w:val="000000"/>
                <w:sz w:val="21"/>
                <w:vertAlign w:val="subscript"/>
              </w:rPr>
              <w:t>2</w:t>
            </w:r>
          </w:p>
        </w:tc>
        <w:tc>
          <w:tcPr>
            <w:tcW w:w="774" w:type="pct"/>
            <w:vAlign w:val="center"/>
          </w:tcPr>
          <w:p w14:paraId="2611559D">
            <w:pPr>
              <w:pStyle w:val="409"/>
              <w:spacing w:line="240" w:lineRule="auto"/>
              <w:jc w:val="center"/>
              <w:rPr>
                <w:rFonts w:ascii="Times New Roman" w:hAnsi="Times New Roman" w:eastAsia="宋体"/>
                <w:color w:val="000000"/>
              </w:rPr>
            </w:pPr>
            <w:r>
              <w:rPr>
                <w:rFonts w:ascii="Times New Roman" w:hAnsi="Times New Roman" w:eastAsia="宋体"/>
                <w:color w:val="000000"/>
              </w:rPr>
              <w:t>冷凝水SS、COD</w:t>
            </w:r>
          </w:p>
        </w:tc>
        <w:tc>
          <w:tcPr>
            <w:tcW w:w="462" w:type="pct"/>
            <w:vAlign w:val="center"/>
          </w:tcPr>
          <w:p w14:paraId="25CA3CA8">
            <w:pPr>
              <w:pStyle w:val="409"/>
              <w:spacing w:line="240" w:lineRule="auto"/>
              <w:jc w:val="center"/>
              <w:rPr>
                <w:rFonts w:ascii="Times New Roman" w:hAnsi="Times New Roman" w:eastAsia="宋体"/>
                <w:color w:val="000000"/>
              </w:rPr>
            </w:pPr>
            <w:r>
              <w:rPr>
                <w:rFonts w:ascii="Times New Roman" w:hAnsi="Times New Roman" w:eastAsia="宋体"/>
                <w:color w:val="000000"/>
              </w:rPr>
              <w:t>生产废水管道泄漏COD</w:t>
            </w:r>
          </w:p>
        </w:tc>
        <w:tc>
          <w:tcPr>
            <w:tcW w:w="509" w:type="pct"/>
            <w:vAlign w:val="center"/>
          </w:tcPr>
          <w:p w14:paraId="611C1CCF">
            <w:pPr>
              <w:pStyle w:val="409"/>
              <w:spacing w:line="240" w:lineRule="auto"/>
              <w:jc w:val="center"/>
              <w:rPr>
                <w:rFonts w:ascii="Times New Roman" w:hAnsi="Times New Roman" w:eastAsia="宋体"/>
                <w:color w:val="000000"/>
              </w:rPr>
            </w:pPr>
            <w:r>
              <w:rPr>
                <w:rFonts w:ascii="Times New Roman" w:hAnsi="Times New Roman" w:eastAsia="宋体"/>
                <w:color w:val="000000"/>
              </w:rPr>
              <w:t>设备噪声（等效连续A声级）</w:t>
            </w:r>
          </w:p>
        </w:tc>
        <w:tc>
          <w:tcPr>
            <w:tcW w:w="778" w:type="pct"/>
            <w:vAlign w:val="center"/>
          </w:tcPr>
          <w:p w14:paraId="1873F5C5">
            <w:pPr>
              <w:pStyle w:val="409"/>
              <w:spacing w:line="240" w:lineRule="auto"/>
              <w:jc w:val="center"/>
              <w:rPr>
                <w:rFonts w:ascii="Times New Roman" w:hAnsi="Times New Roman" w:eastAsia="宋体"/>
                <w:color w:val="000000"/>
              </w:rPr>
            </w:pPr>
            <w:r>
              <w:rPr>
                <w:rFonts w:ascii="Times New Roman" w:hAnsi="Times New Roman" w:eastAsia="宋体"/>
                <w:color w:val="000000"/>
              </w:rPr>
              <w:t>危险废物（催化燃烧脱氢废催化剂）、一般工业固体废物（吸附脱氢废催化剂、废干燥剂、低温精制废吸附剂、废滤膜、废瓷球）</w:t>
            </w:r>
          </w:p>
        </w:tc>
        <w:tc>
          <w:tcPr>
            <w:tcW w:w="387" w:type="pct"/>
            <w:vAlign w:val="center"/>
          </w:tcPr>
          <w:p w14:paraId="58E9A5BE">
            <w:pPr>
              <w:pStyle w:val="409"/>
              <w:spacing w:line="240" w:lineRule="auto"/>
              <w:jc w:val="center"/>
              <w:rPr>
                <w:rFonts w:ascii="Times New Roman" w:hAnsi="Times New Roman" w:eastAsia="宋体"/>
                <w:color w:val="000000"/>
              </w:rPr>
            </w:pPr>
            <w:r>
              <w:rPr>
                <w:rFonts w:ascii="Times New Roman" w:hAnsi="Times New Roman" w:eastAsia="宋体"/>
                <w:color w:val="000000"/>
              </w:rPr>
              <w:t>石油烃</w:t>
            </w:r>
          </w:p>
        </w:tc>
        <w:tc>
          <w:tcPr>
            <w:tcW w:w="650" w:type="pct"/>
            <w:vAlign w:val="center"/>
          </w:tcPr>
          <w:p w14:paraId="2CEF185E">
            <w:pPr>
              <w:pStyle w:val="409"/>
              <w:spacing w:line="240" w:lineRule="auto"/>
              <w:jc w:val="center"/>
              <w:rPr>
                <w:rFonts w:ascii="Times New Roman" w:hAnsi="Times New Roman" w:eastAsia="宋体"/>
                <w:color w:val="000000"/>
              </w:rPr>
            </w:pPr>
            <w:r>
              <w:rPr>
                <w:rFonts w:ascii="Times New Roman" w:hAnsi="Times New Roman" w:eastAsia="宋体"/>
                <w:color w:val="000000"/>
              </w:rPr>
              <w:t>含氢、甲烷等尾气</w:t>
            </w:r>
          </w:p>
        </w:tc>
      </w:tr>
      <w:tr w14:paraId="68C4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35" w:type="pct"/>
            <w:vMerge w:val="continue"/>
            <w:vAlign w:val="center"/>
          </w:tcPr>
          <w:p w14:paraId="1D43574E">
            <w:pPr>
              <w:pStyle w:val="409"/>
              <w:spacing w:line="240" w:lineRule="auto"/>
              <w:jc w:val="center"/>
              <w:rPr>
                <w:rFonts w:ascii="Times New Roman" w:hAnsi="Times New Roman" w:eastAsia="宋体"/>
                <w:color w:val="000000"/>
              </w:rPr>
            </w:pPr>
          </w:p>
        </w:tc>
        <w:tc>
          <w:tcPr>
            <w:tcW w:w="412" w:type="pct"/>
            <w:vAlign w:val="center"/>
          </w:tcPr>
          <w:p w14:paraId="301F8DDF">
            <w:pPr>
              <w:pStyle w:val="409"/>
              <w:spacing w:line="240" w:lineRule="auto"/>
              <w:jc w:val="center"/>
              <w:rPr>
                <w:rFonts w:ascii="Times New Roman" w:hAnsi="Times New Roman" w:eastAsia="宋体"/>
                <w:color w:val="000000"/>
              </w:rPr>
            </w:pPr>
            <w:r>
              <w:rPr>
                <w:rFonts w:ascii="Times New Roman" w:hAnsi="Times New Roman" w:eastAsia="宋体"/>
                <w:color w:val="000000"/>
              </w:rPr>
              <w:t>生活排污</w:t>
            </w:r>
          </w:p>
        </w:tc>
        <w:tc>
          <w:tcPr>
            <w:tcW w:w="789" w:type="pct"/>
            <w:vAlign w:val="center"/>
          </w:tcPr>
          <w:p w14:paraId="5B345F50">
            <w:pPr>
              <w:pStyle w:val="409"/>
              <w:spacing w:line="240" w:lineRule="auto"/>
              <w:jc w:val="center"/>
              <w:rPr>
                <w:rFonts w:ascii="Times New Roman" w:hAnsi="Times New Roman" w:eastAsia="宋体"/>
                <w:color w:val="000000"/>
              </w:rPr>
            </w:pPr>
            <w:r>
              <w:rPr>
                <w:rFonts w:ascii="Times New Roman" w:hAnsi="Times New Roman" w:eastAsia="宋体"/>
                <w:color w:val="000000"/>
              </w:rPr>
              <w:t>/</w:t>
            </w:r>
          </w:p>
        </w:tc>
        <w:tc>
          <w:tcPr>
            <w:tcW w:w="774" w:type="pct"/>
            <w:vAlign w:val="center"/>
          </w:tcPr>
          <w:p w14:paraId="4ADC0BE0">
            <w:pPr>
              <w:pStyle w:val="409"/>
              <w:spacing w:line="240" w:lineRule="auto"/>
              <w:jc w:val="center"/>
              <w:rPr>
                <w:rFonts w:ascii="Times New Roman" w:hAnsi="Times New Roman" w:eastAsia="宋体"/>
                <w:color w:val="000000"/>
              </w:rPr>
            </w:pPr>
            <w:r>
              <w:rPr>
                <w:rFonts w:ascii="Times New Roman" w:hAnsi="Times New Roman" w:eastAsia="宋体"/>
                <w:color w:val="000000"/>
              </w:rPr>
              <w:t>COD、BOD</w:t>
            </w:r>
            <w:r>
              <w:rPr>
                <w:rFonts w:ascii="Times New Roman" w:hAnsi="Times New Roman" w:eastAsia="宋体"/>
                <w:color w:val="000000"/>
                <w:vertAlign w:val="subscript"/>
              </w:rPr>
              <w:t>5</w:t>
            </w:r>
            <w:r>
              <w:rPr>
                <w:rFonts w:ascii="Times New Roman" w:hAnsi="Times New Roman" w:eastAsia="宋体"/>
                <w:color w:val="000000"/>
              </w:rPr>
              <w:t>、NH</w:t>
            </w:r>
            <w:r>
              <w:rPr>
                <w:rFonts w:ascii="Times New Roman" w:hAnsi="Times New Roman" w:eastAsia="宋体"/>
                <w:color w:val="000000"/>
                <w:vertAlign w:val="subscript"/>
              </w:rPr>
              <w:t>3</w:t>
            </w:r>
            <w:r>
              <w:rPr>
                <w:rFonts w:ascii="Times New Roman" w:hAnsi="Times New Roman" w:eastAsia="宋体"/>
                <w:color w:val="000000"/>
              </w:rPr>
              <w:t>-N、SS、TP</w:t>
            </w:r>
          </w:p>
        </w:tc>
        <w:tc>
          <w:tcPr>
            <w:tcW w:w="462" w:type="pct"/>
            <w:vAlign w:val="center"/>
          </w:tcPr>
          <w:p w14:paraId="15F11729">
            <w:pPr>
              <w:pStyle w:val="409"/>
              <w:spacing w:line="240" w:lineRule="auto"/>
              <w:jc w:val="center"/>
              <w:rPr>
                <w:rFonts w:ascii="Times New Roman" w:hAnsi="Times New Roman" w:eastAsia="宋体"/>
                <w:color w:val="000000"/>
              </w:rPr>
            </w:pPr>
            <w:r>
              <w:rPr>
                <w:rFonts w:ascii="Times New Roman" w:hAnsi="Times New Roman" w:eastAsia="宋体"/>
                <w:color w:val="000000"/>
              </w:rPr>
              <w:t>/</w:t>
            </w:r>
          </w:p>
        </w:tc>
        <w:tc>
          <w:tcPr>
            <w:tcW w:w="509" w:type="pct"/>
            <w:vAlign w:val="center"/>
          </w:tcPr>
          <w:p w14:paraId="39B40524">
            <w:pPr>
              <w:pStyle w:val="409"/>
              <w:spacing w:line="240" w:lineRule="auto"/>
              <w:jc w:val="center"/>
              <w:rPr>
                <w:rFonts w:ascii="Times New Roman" w:hAnsi="Times New Roman" w:eastAsia="宋体"/>
                <w:color w:val="000000"/>
              </w:rPr>
            </w:pPr>
            <w:r>
              <w:rPr>
                <w:rFonts w:ascii="Times New Roman" w:hAnsi="Times New Roman" w:eastAsia="宋体"/>
                <w:color w:val="000000"/>
              </w:rPr>
              <w:t>/</w:t>
            </w:r>
          </w:p>
        </w:tc>
        <w:tc>
          <w:tcPr>
            <w:tcW w:w="778" w:type="pct"/>
            <w:vAlign w:val="center"/>
          </w:tcPr>
          <w:p w14:paraId="5750FC79">
            <w:pPr>
              <w:pStyle w:val="409"/>
              <w:spacing w:line="240" w:lineRule="auto"/>
              <w:jc w:val="center"/>
              <w:rPr>
                <w:rFonts w:ascii="Times New Roman" w:hAnsi="Times New Roman" w:eastAsia="宋体"/>
                <w:color w:val="000000"/>
              </w:rPr>
            </w:pPr>
            <w:r>
              <w:rPr>
                <w:rFonts w:ascii="Times New Roman" w:hAnsi="Times New Roman" w:eastAsia="宋体"/>
                <w:color w:val="000000"/>
              </w:rPr>
              <w:t>生活垃圾、餐厨垃圾</w:t>
            </w:r>
          </w:p>
        </w:tc>
        <w:tc>
          <w:tcPr>
            <w:tcW w:w="387" w:type="pct"/>
            <w:vAlign w:val="center"/>
          </w:tcPr>
          <w:p w14:paraId="01C0F42B">
            <w:pPr>
              <w:pStyle w:val="409"/>
              <w:spacing w:line="240" w:lineRule="auto"/>
              <w:jc w:val="center"/>
              <w:rPr>
                <w:rFonts w:ascii="Times New Roman" w:hAnsi="Times New Roman" w:eastAsia="宋体"/>
                <w:color w:val="000000"/>
              </w:rPr>
            </w:pPr>
            <w:r>
              <w:rPr>
                <w:rFonts w:ascii="Times New Roman" w:hAnsi="Times New Roman" w:eastAsia="宋体"/>
                <w:color w:val="000000"/>
              </w:rPr>
              <w:t>/</w:t>
            </w:r>
          </w:p>
        </w:tc>
        <w:tc>
          <w:tcPr>
            <w:tcW w:w="650" w:type="pct"/>
            <w:vAlign w:val="center"/>
          </w:tcPr>
          <w:p w14:paraId="685915BB">
            <w:pPr>
              <w:pStyle w:val="409"/>
              <w:spacing w:line="240" w:lineRule="auto"/>
              <w:jc w:val="center"/>
              <w:rPr>
                <w:rFonts w:ascii="Times New Roman" w:hAnsi="Times New Roman" w:eastAsia="宋体"/>
                <w:color w:val="000000"/>
              </w:rPr>
            </w:pPr>
            <w:r>
              <w:rPr>
                <w:rFonts w:ascii="Times New Roman" w:hAnsi="Times New Roman" w:eastAsia="宋体"/>
                <w:color w:val="000000"/>
              </w:rPr>
              <w:t>/</w:t>
            </w:r>
          </w:p>
        </w:tc>
      </w:tr>
      <w:bookmarkEnd w:id="126"/>
      <w:bookmarkEnd w:id="127"/>
      <w:bookmarkEnd w:id="128"/>
      <w:bookmarkEnd w:id="129"/>
      <w:bookmarkEnd w:id="130"/>
    </w:tbl>
    <w:p w14:paraId="7938699F">
      <w:pPr>
        <w:pStyle w:val="771"/>
        <w:rPr>
          <w:color w:val="000000"/>
        </w:rPr>
      </w:pPr>
      <w:bookmarkStart w:id="141" w:name="_Toc489922436"/>
      <w:bookmarkStart w:id="142" w:name="_Toc424636401"/>
      <w:bookmarkStart w:id="143" w:name="_Toc500375977"/>
      <w:r>
        <w:rPr>
          <w:color w:val="000000"/>
        </w:rPr>
        <w:t>1.3.4 评价因子确定</w:t>
      </w:r>
      <w:bookmarkEnd w:id="141"/>
      <w:bookmarkEnd w:id="142"/>
      <w:bookmarkEnd w:id="143"/>
    </w:p>
    <w:p w14:paraId="584AF72D">
      <w:pPr>
        <w:ind w:firstLine="480"/>
        <w:rPr>
          <w:color w:val="000000"/>
        </w:rPr>
      </w:pPr>
      <w:r>
        <w:rPr>
          <w:color w:val="000000"/>
        </w:rPr>
        <w:t>（1）环境质量现状评价因子</w:t>
      </w:r>
    </w:p>
    <w:p w14:paraId="0BE0619C">
      <w:pPr>
        <w:ind w:firstLine="480"/>
        <w:rPr>
          <w:color w:val="000000"/>
        </w:rPr>
      </w:pPr>
      <w:r>
        <w:rPr>
          <w:color w:val="000000"/>
        </w:rPr>
        <w:t>通过对影响因子的识别，筛选出环境质量现状评价因子，同时考虑对区域环境质量现状调查的完整性，将常规因子一并列入本项目现状评价因子范围内。</w:t>
      </w:r>
    </w:p>
    <w:p w14:paraId="239FF36A">
      <w:pPr>
        <w:tabs>
          <w:tab w:val="left" w:pos="993"/>
        </w:tabs>
        <w:ind w:firstLine="480"/>
        <w:rPr>
          <w:color w:val="000000"/>
        </w:rPr>
      </w:pPr>
      <w:r>
        <w:rPr>
          <w:color w:val="000000"/>
        </w:rPr>
        <w:t>环境空气：SO</w:t>
      </w:r>
      <w:r>
        <w:rPr>
          <w:color w:val="000000"/>
          <w:vertAlign w:val="subscript"/>
        </w:rPr>
        <w:t>2</w:t>
      </w:r>
      <w:r>
        <w:rPr>
          <w:color w:val="000000"/>
        </w:rPr>
        <w:t>、NO</w:t>
      </w:r>
      <w:r>
        <w:rPr>
          <w:rFonts w:hint="eastAsia"/>
          <w:color w:val="000000"/>
          <w:vertAlign w:val="subscript"/>
        </w:rPr>
        <w:t>x</w:t>
      </w:r>
      <w:r>
        <w:rPr>
          <w:color w:val="000000"/>
        </w:rPr>
        <w:t>、PM</w:t>
      </w:r>
      <w:r>
        <w:rPr>
          <w:color w:val="000000"/>
          <w:vertAlign w:val="subscript"/>
        </w:rPr>
        <w:t>10</w:t>
      </w:r>
      <w:r>
        <w:rPr>
          <w:color w:val="000000"/>
        </w:rPr>
        <w:t>、PM</w:t>
      </w:r>
      <w:r>
        <w:rPr>
          <w:color w:val="000000"/>
          <w:vertAlign w:val="subscript"/>
        </w:rPr>
        <w:t>2.5</w:t>
      </w:r>
      <w:r>
        <w:rPr>
          <w:color w:val="000000"/>
        </w:rPr>
        <w:t>、O</w:t>
      </w:r>
      <w:r>
        <w:rPr>
          <w:color w:val="000000"/>
          <w:vertAlign w:val="subscript"/>
        </w:rPr>
        <w:t>3</w:t>
      </w:r>
      <w:r>
        <w:rPr>
          <w:color w:val="000000"/>
        </w:rPr>
        <w:t>、CO；</w:t>
      </w:r>
    </w:p>
    <w:p w14:paraId="33AB8833">
      <w:pPr>
        <w:ind w:firstLine="480"/>
        <w:rPr>
          <w:color w:val="000000"/>
        </w:rPr>
      </w:pPr>
      <w:r>
        <w:rPr>
          <w:color w:val="000000"/>
        </w:rPr>
        <w:t>地表水：pH、COD、BOD</w:t>
      </w:r>
      <w:r>
        <w:rPr>
          <w:color w:val="000000"/>
          <w:vertAlign w:val="subscript"/>
        </w:rPr>
        <w:t>5</w:t>
      </w:r>
      <w:r>
        <w:rPr>
          <w:color w:val="000000"/>
        </w:rPr>
        <w:t>、NH</w:t>
      </w:r>
      <w:r>
        <w:rPr>
          <w:color w:val="000000"/>
          <w:vertAlign w:val="subscript"/>
        </w:rPr>
        <w:t>3</w:t>
      </w:r>
      <w:r>
        <w:rPr>
          <w:color w:val="000000"/>
        </w:rPr>
        <w:t>-N、TP、石油类；</w:t>
      </w:r>
    </w:p>
    <w:p w14:paraId="5A1727D0">
      <w:pPr>
        <w:ind w:firstLine="480"/>
        <w:rPr>
          <w:color w:val="000000"/>
          <w:szCs w:val="24"/>
        </w:rPr>
      </w:pPr>
      <w:r>
        <w:rPr>
          <w:color w:val="000000"/>
        </w:rPr>
        <w:t>地下水</w:t>
      </w:r>
      <w:r>
        <w:rPr>
          <w:color w:val="000000"/>
          <w:szCs w:val="24"/>
        </w:rPr>
        <w:t>：</w:t>
      </w:r>
      <w:r>
        <w:rPr>
          <w:color w:val="000000"/>
          <w:kern w:val="0"/>
          <w:szCs w:val="24"/>
        </w:rPr>
        <w:t>K</w:t>
      </w:r>
      <w:r>
        <w:rPr>
          <w:rStyle w:val="2156"/>
          <w:sz w:val="24"/>
          <w:szCs w:val="24"/>
          <w:vertAlign w:val="superscript"/>
        </w:rPr>
        <w:t>+</w:t>
      </w:r>
      <w:r>
        <w:rPr>
          <w:color w:val="000000"/>
          <w:kern w:val="0"/>
          <w:szCs w:val="24"/>
        </w:rPr>
        <w:t>、Na</w:t>
      </w:r>
      <w:r>
        <w:rPr>
          <w:rStyle w:val="2156"/>
          <w:sz w:val="24"/>
          <w:szCs w:val="24"/>
          <w:vertAlign w:val="superscript"/>
        </w:rPr>
        <w:t>+</w:t>
      </w:r>
      <w:r>
        <w:rPr>
          <w:color w:val="000000"/>
          <w:kern w:val="0"/>
          <w:szCs w:val="24"/>
        </w:rPr>
        <w:t>、Ca</w:t>
      </w:r>
      <w:r>
        <w:rPr>
          <w:rStyle w:val="2156"/>
          <w:sz w:val="24"/>
          <w:szCs w:val="24"/>
          <w:vertAlign w:val="superscript"/>
        </w:rPr>
        <w:t>2+</w:t>
      </w:r>
      <w:r>
        <w:rPr>
          <w:color w:val="000000"/>
          <w:kern w:val="0"/>
          <w:szCs w:val="24"/>
        </w:rPr>
        <w:t>、Mg</w:t>
      </w:r>
      <w:r>
        <w:rPr>
          <w:rStyle w:val="2156"/>
          <w:sz w:val="24"/>
          <w:szCs w:val="24"/>
          <w:vertAlign w:val="superscript"/>
        </w:rPr>
        <w:t>2+</w:t>
      </w:r>
      <w:r>
        <w:rPr>
          <w:color w:val="000000"/>
          <w:kern w:val="0"/>
          <w:szCs w:val="24"/>
        </w:rPr>
        <w:t>、CO</w:t>
      </w:r>
      <w:r>
        <w:rPr>
          <w:rStyle w:val="2156"/>
          <w:sz w:val="24"/>
          <w:szCs w:val="24"/>
          <w:vertAlign w:val="subscript"/>
        </w:rPr>
        <w:t>3</w:t>
      </w:r>
      <w:r>
        <w:rPr>
          <w:rStyle w:val="2156"/>
          <w:sz w:val="24"/>
          <w:szCs w:val="24"/>
        </w:rPr>
        <w:t xml:space="preserve"> </w:t>
      </w:r>
      <w:r>
        <w:rPr>
          <w:rStyle w:val="2156"/>
          <w:sz w:val="24"/>
          <w:szCs w:val="24"/>
          <w:vertAlign w:val="superscript"/>
        </w:rPr>
        <w:t>2-</w:t>
      </w:r>
      <w:r>
        <w:rPr>
          <w:color w:val="000000"/>
          <w:kern w:val="0"/>
          <w:szCs w:val="24"/>
        </w:rPr>
        <w:t>、HCO</w:t>
      </w:r>
      <w:r>
        <w:rPr>
          <w:rStyle w:val="2156"/>
          <w:sz w:val="24"/>
          <w:szCs w:val="24"/>
          <w:vertAlign w:val="subscript"/>
        </w:rPr>
        <w:t>3</w:t>
      </w:r>
      <w:r>
        <w:rPr>
          <w:rStyle w:val="2156"/>
          <w:sz w:val="24"/>
          <w:szCs w:val="24"/>
          <w:vertAlign w:val="superscript"/>
        </w:rPr>
        <w:t>-</w:t>
      </w:r>
      <w:r>
        <w:rPr>
          <w:color w:val="000000"/>
          <w:kern w:val="0"/>
          <w:szCs w:val="24"/>
        </w:rPr>
        <w:t>、Cl</w:t>
      </w:r>
      <w:r>
        <w:rPr>
          <w:rStyle w:val="2156"/>
          <w:sz w:val="24"/>
          <w:szCs w:val="24"/>
          <w:vertAlign w:val="superscript"/>
        </w:rPr>
        <w:t>-</w:t>
      </w:r>
      <w:r>
        <w:rPr>
          <w:color w:val="000000"/>
          <w:kern w:val="0"/>
          <w:szCs w:val="24"/>
        </w:rPr>
        <w:t>、SO</w:t>
      </w:r>
      <w:r>
        <w:rPr>
          <w:rStyle w:val="2156"/>
          <w:sz w:val="24"/>
          <w:szCs w:val="24"/>
          <w:vertAlign w:val="subscript"/>
        </w:rPr>
        <w:t>4</w:t>
      </w:r>
      <w:r>
        <w:rPr>
          <w:rStyle w:val="2156"/>
          <w:sz w:val="24"/>
          <w:szCs w:val="24"/>
        </w:rPr>
        <w:t xml:space="preserve"> </w:t>
      </w:r>
      <w:r>
        <w:rPr>
          <w:rStyle w:val="2156"/>
          <w:sz w:val="24"/>
          <w:szCs w:val="24"/>
          <w:vertAlign w:val="superscript"/>
        </w:rPr>
        <w:t>2-</w:t>
      </w:r>
      <w:r>
        <w:rPr>
          <w:rStyle w:val="2157"/>
          <w:rFonts w:hint="default" w:ascii="Times New Roman" w:hAnsi="Times New Roman" w:cs="Times New Roman"/>
          <w:sz w:val="24"/>
          <w:szCs w:val="24"/>
        </w:rPr>
        <w:t>、</w:t>
      </w:r>
      <w:r>
        <w:rPr>
          <w:color w:val="000000"/>
          <w:kern w:val="0"/>
          <w:szCs w:val="24"/>
        </w:rPr>
        <w:t>pH</w:t>
      </w:r>
      <w:r>
        <w:rPr>
          <w:rStyle w:val="2157"/>
          <w:rFonts w:hint="default" w:ascii="Times New Roman" w:hAnsi="Times New Roman" w:cs="Times New Roman"/>
          <w:sz w:val="24"/>
          <w:szCs w:val="24"/>
        </w:rPr>
        <w:t>、氨氮、硝酸盐、亚硝酸盐、挥发性酚类、氰化物、砷、汞、铬（六价）、总硬度（以</w:t>
      </w:r>
      <w:r>
        <w:rPr>
          <w:color w:val="000000"/>
          <w:kern w:val="0"/>
          <w:szCs w:val="24"/>
        </w:rPr>
        <w:t>CaCO</w:t>
      </w:r>
      <w:r>
        <w:rPr>
          <w:rStyle w:val="2156"/>
          <w:sz w:val="24"/>
          <w:szCs w:val="24"/>
          <w:vertAlign w:val="subscript"/>
        </w:rPr>
        <w:t>3</w:t>
      </w:r>
      <w:r>
        <w:rPr>
          <w:rStyle w:val="2157"/>
          <w:rFonts w:hint="default" w:ascii="Times New Roman" w:hAnsi="Times New Roman" w:cs="Times New Roman"/>
          <w:sz w:val="24"/>
          <w:szCs w:val="24"/>
        </w:rPr>
        <w:t>计）、铅、氟化物、镉、铁、锰、溶解性总固体、耗氧量、总大肠菌群、细菌总数</w:t>
      </w:r>
      <w:r>
        <w:rPr>
          <w:color w:val="000000"/>
          <w:szCs w:val="24"/>
        </w:rPr>
        <w:t>；</w:t>
      </w:r>
    </w:p>
    <w:p w14:paraId="68C9224C">
      <w:pPr>
        <w:ind w:firstLine="480"/>
        <w:rPr>
          <w:color w:val="000000"/>
        </w:rPr>
      </w:pPr>
      <w:r>
        <w:rPr>
          <w:color w:val="000000"/>
          <w:szCs w:val="24"/>
        </w:rPr>
        <w:t>包气带污染现状调查：</w:t>
      </w:r>
      <w:r>
        <w:rPr>
          <w:color w:val="000000"/>
        </w:rPr>
        <w:t>pH、氨氮、硝酸盐、亚硝酸盐、挥发性酚类、氰化物、砷、汞、铬(六价)、总硬度、铅、氟、镉、铁、锰、溶解性总固体、高锰酸盐指数、硫酸盐、氯化物、总大肠菌群、细菌总数。</w:t>
      </w:r>
    </w:p>
    <w:p w14:paraId="031D4636">
      <w:pPr>
        <w:ind w:firstLine="480"/>
        <w:rPr>
          <w:color w:val="000000"/>
        </w:rPr>
      </w:pPr>
      <w:r>
        <w:rPr>
          <w:color w:val="000000"/>
        </w:rPr>
        <w:t>声环境：等效连续A声级dB（A）；</w:t>
      </w:r>
    </w:p>
    <w:p w14:paraId="0DE522BD">
      <w:pPr>
        <w:ind w:firstLine="480"/>
        <w:rPr>
          <w:color w:val="000000"/>
        </w:rPr>
      </w:pPr>
      <w:r>
        <w:rPr>
          <w:color w:val="000000"/>
        </w:rPr>
        <w:t>土壤：PH、基本项（45项）：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其他项（1项）：石油烃。</w:t>
      </w:r>
    </w:p>
    <w:p w14:paraId="41FAF953">
      <w:pPr>
        <w:ind w:firstLine="480"/>
        <w:rPr>
          <w:color w:val="000000"/>
        </w:rPr>
      </w:pPr>
      <w:r>
        <w:rPr>
          <w:color w:val="000000"/>
        </w:rPr>
        <w:t>（2）环境影响评价因子</w:t>
      </w:r>
    </w:p>
    <w:p w14:paraId="7FBD7355">
      <w:pPr>
        <w:ind w:firstLine="480"/>
        <w:rPr>
          <w:color w:val="000000"/>
        </w:rPr>
      </w:pPr>
      <w:r>
        <w:rPr>
          <w:color w:val="000000"/>
        </w:rPr>
        <w:t>①施工期：</w:t>
      </w:r>
    </w:p>
    <w:p w14:paraId="4B6043FD">
      <w:pPr>
        <w:ind w:firstLine="480"/>
        <w:rPr>
          <w:color w:val="000000"/>
        </w:rPr>
      </w:pPr>
      <w:r>
        <w:rPr>
          <w:color w:val="000000"/>
        </w:rPr>
        <w:t>环境空气：TSP、CO、NOx；</w:t>
      </w:r>
    </w:p>
    <w:p w14:paraId="7748DB66">
      <w:pPr>
        <w:ind w:firstLine="480"/>
        <w:rPr>
          <w:color w:val="000000"/>
        </w:rPr>
      </w:pPr>
      <w:r>
        <w:rPr>
          <w:color w:val="000000"/>
        </w:rPr>
        <w:t>地表水：COD、BOD</w:t>
      </w:r>
      <w:r>
        <w:rPr>
          <w:color w:val="000000"/>
          <w:vertAlign w:val="subscript"/>
        </w:rPr>
        <w:t>5</w:t>
      </w:r>
      <w:r>
        <w:rPr>
          <w:color w:val="000000"/>
        </w:rPr>
        <w:t>、SS、氨氮、石油类；</w:t>
      </w:r>
    </w:p>
    <w:p w14:paraId="793F2E08">
      <w:pPr>
        <w:ind w:firstLine="480"/>
        <w:rPr>
          <w:color w:val="000000"/>
          <w:szCs w:val="24"/>
        </w:rPr>
      </w:pPr>
      <w:r>
        <w:rPr>
          <w:color w:val="000000"/>
        </w:rPr>
        <w:t>声环境：</w:t>
      </w:r>
      <w:r>
        <w:rPr>
          <w:color w:val="000000"/>
          <w:szCs w:val="24"/>
        </w:rPr>
        <w:t>等效连续A声级dB（A）；</w:t>
      </w:r>
    </w:p>
    <w:p w14:paraId="5E6F6337">
      <w:pPr>
        <w:ind w:firstLine="480"/>
        <w:rPr>
          <w:color w:val="000000"/>
          <w:szCs w:val="24"/>
        </w:rPr>
      </w:pPr>
      <w:r>
        <w:rPr>
          <w:color w:val="000000"/>
          <w:szCs w:val="24"/>
        </w:rPr>
        <w:t>固体废物：建筑垃圾、生活垃圾。</w:t>
      </w:r>
    </w:p>
    <w:p w14:paraId="4309922A">
      <w:pPr>
        <w:ind w:firstLine="480"/>
        <w:rPr>
          <w:color w:val="000000"/>
          <w:szCs w:val="24"/>
        </w:rPr>
      </w:pPr>
      <w:r>
        <w:rPr>
          <w:color w:val="000000"/>
          <w:szCs w:val="24"/>
        </w:rPr>
        <w:t>②营运期：</w:t>
      </w:r>
    </w:p>
    <w:p w14:paraId="121DF106">
      <w:pPr>
        <w:ind w:firstLine="480"/>
        <w:rPr>
          <w:color w:val="000000"/>
          <w:szCs w:val="24"/>
        </w:rPr>
      </w:pPr>
      <w:r>
        <w:rPr>
          <w:color w:val="000000"/>
          <w:szCs w:val="24"/>
        </w:rPr>
        <w:t>环境空气：火炬燃烧颗粒物、NO</w:t>
      </w:r>
      <w:r>
        <w:rPr>
          <w:rFonts w:hint="eastAsia"/>
          <w:color w:val="000000"/>
          <w:szCs w:val="24"/>
          <w:vertAlign w:val="subscript"/>
        </w:rPr>
        <w:t>x</w:t>
      </w:r>
      <w:r>
        <w:rPr>
          <w:color w:val="000000"/>
          <w:szCs w:val="24"/>
        </w:rPr>
        <w:t>、SO</w:t>
      </w:r>
      <w:r>
        <w:rPr>
          <w:color w:val="000000"/>
          <w:szCs w:val="24"/>
          <w:vertAlign w:val="subscript"/>
        </w:rPr>
        <w:t>2</w:t>
      </w:r>
      <w:r>
        <w:rPr>
          <w:color w:val="000000"/>
          <w:szCs w:val="24"/>
        </w:rPr>
        <w:t>；</w:t>
      </w:r>
    </w:p>
    <w:p w14:paraId="5D950910">
      <w:pPr>
        <w:ind w:firstLine="480"/>
        <w:rPr>
          <w:color w:val="000000"/>
          <w:szCs w:val="24"/>
        </w:rPr>
      </w:pPr>
      <w:r>
        <w:rPr>
          <w:color w:val="000000"/>
          <w:szCs w:val="24"/>
        </w:rPr>
        <w:t>地表水：COD、BOD</w:t>
      </w:r>
      <w:r>
        <w:rPr>
          <w:color w:val="000000"/>
          <w:szCs w:val="24"/>
          <w:vertAlign w:val="subscript"/>
        </w:rPr>
        <w:t>5</w:t>
      </w:r>
      <w:r>
        <w:rPr>
          <w:color w:val="000000"/>
          <w:szCs w:val="24"/>
        </w:rPr>
        <w:t>、SS、氨氮、TP；</w:t>
      </w:r>
    </w:p>
    <w:p w14:paraId="4F3359D9">
      <w:pPr>
        <w:ind w:firstLine="480"/>
        <w:rPr>
          <w:color w:val="000000"/>
          <w:szCs w:val="24"/>
        </w:rPr>
      </w:pPr>
      <w:r>
        <w:rPr>
          <w:color w:val="000000"/>
          <w:szCs w:val="24"/>
        </w:rPr>
        <w:t>地下水：生产废水管道泄漏COD；</w:t>
      </w:r>
    </w:p>
    <w:p w14:paraId="5DCA50F9">
      <w:pPr>
        <w:ind w:firstLine="480"/>
        <w:rPr>
          <w:color w:val="000000"/>
          <w:szCs w:val="24"/>
        </w:rPr>
      </w:pPr>
      <w:r>
        <w:rPr>
          <w:color w:val="000000"/>
          <w:szCs w:val="24"/>
        </w:rPr>
        <w:t>声环境：等效连续A声级dB（A）；</w:t>
      </w:r>
    </w:p>
    <w:p w14:paraId="78F7B6C1">
      <w:pPr>
        <w:ind w:firstLine="480"/>
        <w:rPr>
          <w:color w:val="000000"/>
        </w:rPr>
      </w:pPr>
      <w:r>
        <w:rPr>
          <w:color w:val="000000"/>
          <w:szCs w:val="24"/>
        </w:rPr>
        <w:t>固体废物：一般工业固体废物（吸</w:t>
      </w:r>
      <w:r>
        <w:rPr>
          <w:color w:val="000000"/>
        </w:rPr>
        <w:t>附脱氢废催化剂、废干燥剂、低温精制废吸附剂、废滤膜、废瓷球）、危险废物（催化燃烧脱氢废催化剂）、生活垃圾；</w:t>
      </w:r>
    </w:p>
    <w:p w14:paraId="2ADEF981">
      <w:pPr>
        <w:ind w:firstLine="480"/>
        <w:rPr>
          <w:color w:val="000000"/>
        </w:rPr>
      </w:pPr>
      <w:r>
        <w:rPr>
          <w:color w:val="000000"/>
        </w:rPr>
        <w:t>环境风险：含氢、甲烷等尾气；</w:t>
      </w:r>
    </w:p>
    <w:p w14:paraId="2FE058B7">
      <w:pPr>
        <w:ind w:firstLine="480"/>
        <w:rPr>
          <w:color w:val="000000"/>
        </w:rPr>
      </w:pPr>
      <w:r>
        <w:rPr>
          <w:color w:val="000000"/>
        </w:rPr>
        <w:t>土壤：石油烃。</w:t>
      </w:r>
    </w:p>
    <w:p w14:paraId="729C2F82">
      <w:pPr>
        <w:pStyle w:val="771"/>
        <w:rPr>
          <w:color w:val="000000"/>
        </w:rPr>
      </w:pPr>
      <w:bookmarkStart w:id="144" w:name="_Toc440766067"/>
      <w:bookmarkStart w:id="145" w:name="_Toc500375978"/>
      <w:bookmarkStart w:id="146" w:name="_Toc440766263"/>
      <w:bookmarkStart w:id="147" w:name="_Toc489922437"/>
      <w:r>
        <w:rPr>
          <w:color w:val="000000"/>
        </w:rPr>
        <w:t>1.3.5 评价标准</w:t>
      </w:r>
      <w:bookmarkEnd w:id="144"/>
      <w:bookmarkEnd w:id="145"/>
      <w:bookmarkEnd w:id="146"/>
      <w:bookmarkEnd w:id="147"/>
    </w:p>
    <w:p w14:paraId="13F95A18">
      <w:pPr>
        <w:pStyle w:val="785"/>
        <w:outlineLvl w:val="9"/>
        <w:rPr>
          <w:color w:val="000000"/>
          <w:szCs w:val="24"/>
        </w:rPr>
      </w:pPr>
      <w:r>
        <w:rPr>
          <w:color w:val="000000"/>
          <w:szCs w:val="24"/>
        </w:rPr>
        <w:t>1.3.5.1 环境质量标准</w:t>
      </w:r>
    </w:p>
    <w:p w14:paraId="7965B535">
      <w:pPr>
        <w:ind w:firstLine="480"/>
        <w:rPr>
          <w:color w:val="000000"/>
        </w:rPr>
      </w:pPr>
      <w:r>
        <w:rPr>
          <w:color w:val="000000"/>
        </w:rPr>
        <w:t>（1）环境空气质量标准</w:t>
      </w:r>
    </w:p>
    <w:p w14:paraId="7041500A">
      <w:pPr>
        <w:ind w:firstLine="480" w:firstLineChars="200"/>
        <w:rPr>
          <w:color w:val="000000"/>
        </w:rPr>
      </w:pPr>
      <w:r>
        <w:rPr>
          <w:color w:val="000000"/>
        </w:rPr>
        <w:t>根据《重庆市人民政府关于印发重庆市环境空气质量功能区划分规定的通知》（渝府发[2016]19号）规定，项目所在地属于环境空气二类功能区，环境空气质量SO</w:t>
      </w:r>
      <w:r>
        <w:rPr>
          <w:color w:val="000000"/>
          <w:vertAlign w:val="subscript"/>
        </w:rPr>
        <w:t>2</w:t>
      </w:r>
      <w:r>
        <w:rPr>
          <w:color w:val="000000"/>
        </w:rPr>
        <w:t>、NO</w:t>
      </w:r>
      <w:r>
        <w:rPr>
          <w:color w:val="000000"/>
          <w:vertAlign w:val="subscript"/>
        </w:rPr>
        <w:t>2</w:t>
      </w:r>
      <w:r>
        <w:rPr>
          <w:color w:val="000000"/>
        </w:rPr>
        <w:t>、PM</w:t>
      </w:r>
      <w:r>
        <w:rPr>
          <w:color w:val="000000"/>
          <w:vertAlign w:val="subscript"/>
        </w:rPr>
        <w:t>10</w:t>
      </w:r>
      <w:r>
        <w:rPr>
          <w:color w:val="000000"/>
        </w:rPr>
        <w:t>、PM</w:t>
      </w:r>
      <w:r>
        <w:rPr>
          <w:color w:val="000000"/>
          <w:vertAlign w:val="subscript"/>
        </w:rPr>
        <w:t>2.5</w:t>
      </w:r>
      <w:r>
        <w:rPr>
          <w:color w:val="000000"/>
        </w:rPr>
        <w:t>、CO、O</w:t>
      </w:r>
      <w:r>
        <w:rPr>
          <w:color w:val="000000"/>
          <w:vertAlign w:val="subscript"/>
        </w:rPr>
        <w:t>3</w:t>
      </w:r>
      <w:r>
        <w:rPr>
          <w:color w:val="000000"/>
        </w:rPr>
        <w:t>执行《环境空气质量标准》（GB3095-2012）二级标准，标准值详见表1.3.5.1-1。</w:t>
      </w:r>
    </w:p>
    <w:p w14:paraId="0978DC66">
      <w:pPr>
        <w:pStyle w:val="133"/>
        <w:outlineLvl w:val="9"/>
        <w:rPr>
          <w:rFonts w:ascii="Times New Roman" w:hAnsi="Times New Roman"/>
          <w:color w:val="000000"/>
        </w:rPr>
      </w:pPr>
      <w:r>
        <w:rPr>
          <w:rFonts w:ascii="Times New Roman" w:hAnsi="Times New Roman"/>
          <w:color w:val="000000"/>
        </w:rPr>
        <w:t>表1.3.5.1-1  环境空气质量标准限值</w:t>
      </w:r>
    </w:p>
    <w:tbl>
      <w:tblPr>
        <w:tblStyle w:val="7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14"/>
        <w:gridCol w:w="1484"/>
        <w:gridCol w:w="1327"/>
        <w:gridCol w:w="1797"/>
        <w:gridCol w:w="865"/>
        <w:gridCol w:w="2808"/>
      </w:tblGrid>
      <w:tr w14:paraId="009D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79" w:type="pct"/>
            <w:gridSpan w:val="2"/>
            <w:vMerge w:val="restart"/>
            <w:tcBorders>
              <w:tl2br w:val="nil"/>
              <w:tr2bl w:val="nil"/>
            </w:tcBorders>
            <w:vAlign w:val="center"/>
          </w:tcPr>
          <w:p w14:paraId="6F7C96EE">
            <w:pPr>
              <w:jc w:val="center"/>
              <w:rPr>
                <w:color w:val="000000"/>
                <w:sz w:val="21"/>
              </w:rPr>
            </w:pPr>
            <w:r>
              <w:rPr>
                <w:color w:val="000000"/>
                <w:sz w:val="21"/>
              </w:rPr>
              <w:pict>
                <v:shape id="直线 1299" o:spid="_x0000_s1028" o:spt="32" type="#_x0000_t32" style="position:absolute;left:0pt;margin-left:-1.3pt;margin-top:0.15pt;height:38.4pt;width:105.95pt;z-index:251660288;mso-width-relative:page;mso-height-relative:page;" filled="f" coordsize="21600,21600">
                  <v:path arrowok="t"/>
                  <v:fill on="f" focussize="0,0"/>
                  <v:stroke/>
                  <v:imagedata o:title=""/>
                  <o:lock v:ext="edit"/>
                </v:shape>
              </w:pict>
            </w:r>
            <w:r>
              <w:rPr>
                <w:color w:val="000000"/>
                <w:sz w:val="21"/>
              </w:rPr>
              <w:t>指 标</w:t>
            </w:r>
          </w:p>
          <w:p w14:paraId="20D60B9A">
            <w:pPr>
              <w:jc w:val="both"/>
              <w:rPr>
                <w:color w:val="000000"/>
                <w:sz w:val="21"/>
              </w:rPr>
            </w:pPr>
            <w:r>
              <w:rPr>
                <w:color w:val="000000"/>
                <w:sz w:val="21"/>
              </w:rPr>
              <w:t>污染物</w:t>
            </w:r>
          </w:p>
        </w:tc>
        <w:tc>
          <w:tcPr>
            <w:tcW w:w="2242" w:type="pct"/>
            <w:gridSpan w:val="3"/>
            <w:tcBorders>
              <w:tl2br w:val="nil"/>
              <w:tr2bl w:val="nil"/>
            </w:tcBorders>
            <w:vAlign w:val="center"/>
          </w:tcPr>
          <w:p w14:paraId="5E748965">
            <w:pPr>
              <w:jc w:val="center"/>
              <w:rPr>
                <w:color w:val="000000"/>
                <w:sz w:val="21"/>
              </w:rPr>
            </w:pPr>
            <w:r>
              <w:rPr>
                <w:color w:val="000000"/>
                <w:sz w:val="21"/>
              </w:rPr>
              <w:t>浓度限值</w:t>
            </w:r>
          </w:p>
        </w:tc>
        <w:tc>
          <w:tcPr>
            <w:tcW w:w="1578" w:type="pct"/>
            <w:vMerge w:val="restart"/>
            <w:tcBorders>
              <w:tl2br w:val="nil"/>
              <w:tr2bl w:val="nil"/>
            </w:tcBorders>
            <w:vAlign w:val="center"/>
          </w:tcPr>
          <w:p w14:paraId="20BCEAE4">
            <w:pPr>
              <w:spacing w:line="240" w:lineRule="auto"/>
              <w:jc w:val="center"/>
              <w:rPr>
                <w:color w:val="000000"/>
                <w:sz w:val="21"/>
              </w:rPr>
            </w:pPr>
            <w:r>
              <w:rPr>
                <w:color w:val="000000"/>
                <w:sz w:val="21"/>
              </w:rPr>
              <w:t>备  注</w:t>
            </w:r>
          </w:p>
        </w:tc>
      </w:tr>
      <w:tr w14:paraId="772F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79" w:type="pct"/>
            <w:gridSpan w:val="2"/>
            <w:vMerge w:val="continue"/>
            <w:tcBorders>
              <w:tl2br w:val="nil"/>
              <w:tr2bl w:val="nil"/>
            </w:tcBorders>
            <w:vAlign w:val="center"/>
          </w:tcPr>
          <w:p w14:paraId="67C14390">
            <w:pPr>
              <w:jc w:val="center"/>
              <w:rPr>
                <w:color w:val="000000"/>
                <w:sz w:val="21"/>
              </w:rPr>
            </w:pPr>
          </w:p>
        </w:tc>
        <w:tc>
          <w:tcPr>
            <w:tcW w:w="746" w:type="pct"/>
            <w:tcBorders>
              <w:tl2br w:val="nil"/>
              <w:tr2bl w:val="nil"/>
            </w:tcBorders>
            <w:vAlign w:val="center"/>
          </w:tcPr>
          <w:p w14:paraId="236B51BC">
            <w:pPr>
              <w:jc w:val="center"/>
              <w:rPr>
                <w:color w:val="000000"/>
                <w:sz w:val="21"/>
              </w:rPr>
            </w:pPr>
            <w:r>
              <w:rPr>
                <w:color w:val="000000"/>
                <w:sz w:val="21"/>
              </w:rPr>
              <w:t>1小时平均值</w:t>
            </w:r>
          </w:p>
        </w:tc>
        <w:tc>
          <w:tcPr>
            <w:tcW w:w="1010" w:type="pct"/>
            <w:tcBorders>
              <w:tl2br w:val="nil"/>
              <w:tr2bl w:val="nil"/>
            </w:tcBorders>
            <w:vAlign w:val="center"/>
          </w:tcPr>
          <w:p w14:paraId="3C0E5B1E">
            <w:pPr>
              <w:jc w:val="center"/>
              <w:rPr>
                <w:color w:val="000000"/>
                <w:sz w:val="21"/>
              </w:rPr>
            </w:pPr>
            <w:r>
              <w:rPr>
                <w:color w:val="000000"/>
                <w:sz w:val="21"/>
              </w:rPr>
              <w:t>24小时平均值</w:t>
            </w:r>
          </w:p>
        </w:tc>
        <w:tc>
          <w:tcPr>
            <w:tcW w:w="484" w:type="pct"/>
            <w:tcBorders>
              <w:tl2br w:val="nil"/>
              <w:tr2bl w:val="nil"/>
            </w:tcBorders>
            <w:vAlign w:val="center"/>
          </w:tcPr>
          <w:p w14:paraId="1116ADA2">
            <w:pPr>
              <w:jc w:val="center"/>
              <w:rPr>
                <w:color w:val="000000"/>
                <w:sz w:val="21"/>
              </w:rPr>
            </w:pPr>
            <w:r>
              <w:rPr>
                <w:color w:val="000000"/>
                <w:sz w:val="21"/>
              </w:rPr>
              <w:t>年均值</w:t>
            </w:r>
          </w:p>
        </w:tc>
        <w:tc>
          <w:tcPr>
            <w:tcW w:w="1578" w:type="pct"/>
            <w:vMerge w:val="continue"/>
            <w:tcBorders>
              <w:tl2br w:val="nil"/>
              <w:tr2bl w:val="nil"/>
            </w:tcBorders>
            <w:vAlign w:val="center"/>
          </w:tcPr>
          <w:p w14:paraId="414AC472">
            <w:pPr>
              <w:spacing w:line="240" w:lineRule="auto"/>
              <w:jc w:val="center"/>
              <w:rPr>
                <w:color w:val="000000"/>
                <w:sz w:val="21"/>
              </w:rPr>
            </w:pPr>
          </w:p>
        </w:tc>
      </w:tr>
      <w:tr w14:paraId="7D1D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tcBorders>
              <w:tl2br w:val="nil"/>
              <w:tr2bl w:val="nil"/>
            </w:tcBorders>
            <w:vAlign w:val="center"/>
          </w:tcPr>
          <w:p w14:paraId="4796CD4B">
            <w:pPr>
              <w:jc w:val="center"/>
              <w:rPr>
                <w:color w:val="000000"/>
                <w:sz w:val="21"/>
              </w:rPr>
            </w:pPr>
            <w:r>
              <w:rPr>
                <w:color w:val="000000"/>
                <w:sz w:val="21"/>
              </w:rPr>
              <w:t>1</w:t>
            </w:r>
          </w:p>
        </w:tc>
        <w:tc>
          <w:tcPr>
            <w:tcW w:w="834" w:type="pct"/>
            <w:tcBorders>
              <w:tl2br w:val="nil"/>
              <w:tr2bl w:val="nil"/>
            </w:tcBorders>
            <w:vAlign w:val="center"/>
          </w:tcPr>
          <w:p w14:paraId="3D91FF19">
            <w:pPr>
              <w:jc w:val="center"/>
              <w:rPr>
                <w:color w:val="000000"/>
                <w:sz w:val="21"/>
              </w:rPr>
            </w:pPr>
            <w:r>
              <w:rPr>
                <w:color w:val="000000"/>
                <w:sz w:val="21"/>
              </w:rPr>
              <w:t>SO</w:t>
            </w:r>
            <w:r>
              <w:rPr>
                <w:color w:val="000000"/>
                <w:sz w:val="21"/>
                <w:vertAlign w:val="subscript"/>
              </w:rPr>
              <w:t>2</w:t>
            </w:r>
            <w:r>
              <w:rPr>
                <w:color w:val="000000"/>
                <w:sz w:val="21"/>
              </w:rPr>
              <w:t>（μg/m</w:t>
            </w:r>
            <w:r>
              <w:rPr>
                <w:color w:val="000000"/>
                <w:sz w:val="21"/>
                <w:vertAlign w:val="superscript"/>
              </w:rPr>
              <w:t>3</w:t>
            </w:r>
            <w:r>
              <w:rPr>
                <w:color w:val="000000"/>
                <w:sz w:val="21"/>
              </w:rPr>
              <w:t>）</w:t>
            </w:r>
          </w:p>
        </w:tc>
        <w:tc>
          <w:tcPr>
            <w:tcW w:w="746" w:type="pct"/>
            <w:tcBorders>
              <w:tl2br w:val="nil"/>
              <w:tr2bl w:val="nil"/>
            </w:tcBorders>
            <w:vAlign w:val="center"/>
          </w:tcPr>
          <w:p w14:paraId="5FE49D22">
            <w:pPr>
              <w:jc w:val="center"/>
              <w:rPr>
                <w:color w:val="000000"/>
                <w:sz w:val="21"/>
              </w:rPr>
            </w:pPr>
            <w:r>
              <w:rPr>
                <w:color w:val="000000"/>
                <w:sz w:val="21"/>
              </w:rPr>
              <w:t>500</w:t>
            </w:r>
          </w:p>
        </w:tc>
        <w:tc>
          <w:tcPr>
            <w:tcW w:w="1010" w:type="pct"/>
            <w:tcBorders>
              <w:tl2br w:val="nil"/>
              <w:tr2bl w:val="nil"/>
            </w:tcBorders>
            <w:vAlign w:val="center"/>
          </w:tcPr>
          <w:p w14:paraId="0500FFEA">
            <w:pPr>
              <w:jc w:val="center"/>
              <w:rPr>
                <w:color w:val="000000"/>
                <w:sz w:val="21"/>
              </w:rPr>
            </w:pPr>
            <w:r>
              <w:rPr>
                <w:color w:val="000000"/>
                <w:sz w:val="21"/>
              </w:rPr>
              <w:t>150</w:t>
            </w:r>
          </w:p>
        </w:tc>
        <w:tc>
          <w:tcPr>
            <w:tcW w:w="484" w:type="pct"/>
            <w:tcBorders>
              <w:tl2br w:val="nil"/>
              <w:tr2bl w:val="nil"/>
            </w:tcBorders>
            <w:vAlign w:val="center"/>
          </w:tcPr>
          <w:p w14:paraId="511F95C9">
            <w:pPr>
              <w:jc w:val="center"/>
              <w:rPr>
                <w:color w:val="000000"/>
                <w:sz w:val="21"/>
              </w:rPr>
            </w:pPr>
            <w:r>
              <w:rPr>
                <w:color w:val="000000"/>
                <w:sz w:val="21"/>
              </w:rPr>
              <w:t>60</w:t>
            </w:r>
          </w:p>
        </w:tc>
        <w:tc>
          <w:tcPr>
            <w:tcW w:w="1578" w:type="pct"/>
            <w:vMerge w:val="restart"/>
            <w:tcBorders>
              <w:tl2br w:val="nil"/>
              <w:tr2bl w:val="nil"/>
            </w:tcBorders>
            <w:vAlign w:val="center"/>
          </w:tcPr>
          <w:p w14:paraId="687F46A9">
            <w:pPr>
              <w:spacing w:line="240" w:lineRule="auto"/>
              <w:jc w:val="center"/>
              <w:rPr>
                <w:color w:val="000000"/>
                <w:sz w:val="21"/>
              </w:rPr>
            </w:pPr>
            <w:r>
              <w:rPr>
                <w:color w:val="000000"/>
                <w:sz w:val="21"/>
              </w:rPr>
              <w:t>《环境空气质量标准》（GB3095-2012）中二级标准</w:t>
            </w:r>
          </w:p>
        </w:tc>
      </w:tr>
      <w:tr w14:paraId="6D13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tcBorders>
              <w:tl2br w:val="nil"/>
              <w:tr2bl w:val="nil"/>
            </w:tcBorders>
            <w:vAlign w:val="center"/>
          </w:tcPr>
          <w:p w14:paraId="42ADCE1D">
            <w:pPr>
              <w:jc w:val="center"/>
              <w:rPr>
                <w:color w:val="000000"/>
                <w:sz w:val="21"/>
              </w:rPr>
            </w:pPr>
            <w:r>
              <w:rPr>
                <w:color w:val="000000"/>
                <w:sz w:val="21"/>
              </w:rPr>
              <w:t>2</w:t>
            </w:r>
          </w:p>
        </w:tc>
        <w:tc>
          <w:tcPr>
            <w:tcW w:w="834" w:type="pct"/>
            <w:tcBorders>
              <w:tl2br w:val="nil"/>
              <w:tr2bl w:val="nil"/>
            </w:tcBorders>
            <w:vAlign w:val="center"/>
          </w:tcPr>
          <w:p w14:paraId="1405CCDE">
            <w:pPr>
              <w:jc w:val="center"/>
              <w:rPr>
                <w:color w:val="000000"/>
                <w:sz w:val="21"/>
              </w:rPr>
            </w:pPr>
            <w:r>
              <w:rPr>
                <w:color w:val="000000"/>
                <w:sz w:val="21"/>
              </w:rPr>
              <w:t>NO</w:t>
            </w:r>
            <w:r>
              <w:rPr>
                <w:color w:val="000000"/>
                <w:sz w:val="21"/>
                <w:vertAlign w:val="subscript"/>
              </w:rPr>
              <w:t>2</w:t>
            </w:r>
            <w:r>
              <w:rPr>
                <w:color w:val="000000"/>
                <w:sz w:val="21"/>
              </w:rPr>
              <w:t>（μg/m</w:t>
            </w:r>
            <w:r>
              <w:rPr>
                <w:color w:val="000000"/>
                <w:sz w:val="21"/>
                <w:vertAlign w:val="superscript"/>
              </w:rPr>
              <w:t>3</w:t>
            </w:r>
            <w:r>
              <w:rPr>
                <w:color w:val="000000"/>
                <w:sz w:val="21"/>
              </w:rPr>
              <w:t>）</w:t>
            </w:r>
          </w:p>
        </w:tc>
        <w:tc>
          <w:tcPr>
            <w:tcW w:w="746" w:type="pct"/>
            <w:tcBorders>
              <w:tl2br w:val="nil"/>
              <w:tr2bl w:val="nil"/>
            </w:tcBorders>
            <w:vAlign w:val="center"/>
          </w:tcPr>
          <w:p w14:paraId="670A75B9">
            <w:pPr>
              <w:jc w:val="center"/>
              <w:rPr>
                <w:color w:val="000000"/>
                <w:sz w:val="21"/>
              </w:rPr>
            </w:pPr>
            <w:r>
              <w:rPr>
                <w:color w:val="000000"/>
                <w:sz w:val="21"/>
              </w:rPr>
              <w:t>200</w:t>
            </w:r>
          </w:p>
        </w:tc>
        <w:tc>
          <w:tcPr>
            <w:tcW w:w="1010" w:type="pct"/>
            <w:tcBorders>
              <w:tl2br w:val="nil"/>
              <w:tr2bl w:val="nil"/>
            </w:tcBorders>
            <w:vAlign w:val="center"/>
          </w:tcPr>
          <w:p w14:paraId="3EE56A13">
            <w:pPr>
              <w:jc w:val="center"/>
              <w:rPr>
                <w:color w:val="000000"/>
                <w:sz w:val="21"/>
              </w:rPr>
            </w:pPr>
            <w:r>
              <w:rPr>
                <w:color w:val="000000"/>
                <w:sz w:val="21"/>
              </w:rPr>
              <w:t>80</w:t>
            </w:r>
          </w:p>
        </w:tc>
        <w:tc>
          <w:tcPr>
            <w:tcW w:w="484" w:type="pct"/>
            <w:tcBorders>
              <w:tl2br w:val="nil"/>
              <w:tr2bl w:val="nil"/>
            </w:tcBorders>
            <w:vAlign w:val="center"/>
          </w:tcPr>
          <w:p w14:paraId="5C1F3017">
            <w:pPr>
              <w:jc w:val="center"/>
              <w:rPr>
                <w:color w:val="000000"/>
                <w:sz w:val="21"/>
              </w:rPr>
            </w:pPr>
            <w:r>
              <w:rPr>
                <w:color w:val="000000"/>
                <w:sz w:val="21"/>
              </w:rPr>
              <w:t>40</w:t>
            </w:r>
          </w:p>
        </w:tc>
        <w:tc>
          <w:tcPr>
            <w:tcW w:w="1578" w:type="pct"/>
            <w:vMerge w:val="continue"/>
            <w:tcBorders>
              <w:tl2br w:val="nil"/>
              <w:tr2bl w:val="nil"/>
            </w:tcBorders>
            <w:vAlign w:val="center"/>
          </w:tcPr>
          <w:p w14:paraId="27659B54">
            <w:pPr>
              <w:spacing w:line="240" w:lineRule="auto"/>
              <w:jc w:val="center"/>
              <w:rPr>
                <w:color w:val="000000"/>
                <w:sz w:val="21"/>
              </w:rPr>
            </w:pPr>
          </w:p>
        </w:tc>
      </w:tr>
      <w:tr w14:paraId="432D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tcBorders>
              <w:tl2br w:val="nil"/>
              <w:tr2bl w:val="nil"/>
            </w:tcBorders>
            <w:vAlign w:val="center"/>
          </w:tcPr>
          <w:p w14:paraId="7E0B14C4">
            <w:pPr>
              <w:jc w:val="center"/>
              <w:rPr>
                <w:color w:val="000000"/>
                <w:sz w:val="21"/>
              </w:rPr>
            </w:pPr>
            <w:r>
              <w:rPr>
                <w:color w:val="000000"/>
                <w:sz w:val="21"/>
              </w:rPr>
              <w:t>3</w:t>
            </w:r>
          </w:p>
        </w:tc>
        <w:tc>
          <w:tcPr>
            <w:tcW w:w="834" w:type="pct"/>
            <w:tcBorders>
              <w:tl2br w:val="nil"/>
              <w:tr2bl w:val="nil"/>
            </w:tcBorders>
            <w:vAlign w:val="center"/>
          </w:tcPr>
          <w:p w14:paraId="4DB36122">
            <w:pPr>
              <w:jc w:val="center"/>
              <w:rPr>
                <w:color w:val="000000"/>
                <w:sz w:val="21"/>
              </w:rPr>
            </w:pPr>
            <w:r>
              <w:rPr>
                <w:color w:val="000000"/>
                <w:sz w:val="21"/>
              </w:rPr>
              <w:t>PM</w:t>
            </w:r>
            <w:r>
              <w:rPr>
                <w:color w:val="000000"/>
                <w:sz w:val="21"/>
                <w:vertAlign w:val="subscript"/>
              </w:rPr>
              <w:t>10</w:t>
            </w:r>
            <w:r>
              <w:rPr>
                <w:color w:val="000000"/>
                <w:sz w:val="21"/>
              </w:rPr>
              <w:t>（μg/m</w:t>
            </w:r>
            <w:r>
              <w:rPr>
                <w:color w:val="000000"/>
                <w:sz w:val="21"/>
                <w:vertAlign w:val="superscript"/>
              </w:rPr>
              <w:t>3</w:t>
            </w:r>
            <w:r>
              <w:rPr>
                <w:color w:val="000000"/>
                <w:sz w:val="21"/>
              </w:rPr>
              <w:t>）</w:t>
            </w:r>
          </w:p>
        </w:tc>
        <w:tc>
          <w:tcPr>
            <w:tcW w:w="746" w:type="pct"/>
            <w:tcBorders>
              <w:tl2br w:val="nil"/>
              <w:tr2bl w:val="nil"/>
            </w:tcBorders>
            <w:vAlign w:val="center"/>
          </w:tcPr>
          <w:p w14:paraId="2BEFA11E">
            <w:pPr>
              <w:jc w:val="center"/>
              <w:rPr>
                <w:color w:val="000000"/>
                <w:sz w:val="21"/>
              </w:rPr>
            </w:pPr>
            <w:r>
              <w:rPr>
                <w:color w:val="000000"/>
                <w:sz w:val="21"/>
              </w:rPr>
              <w:t>/</w:t>
            </w:r>
          </w:p>
        </w:tc>
        <w:tc>
          <w:tcPr>
            <w:tcW w:w="1010" w:type="pct"/>
            <w:tcBorders>
              <w:tl2br w:val="nil"/>
              <w:tr2bl w:val="nil"/>
            </w:tcBorders>
            <w:vAlign w:val="center"/>
          </w:tcPr>
          <w:p w14:paraId="71E23486">
            <w:pPr>
              <w:jc w:val="center"/>
              <w:rPr>
                <w:color w:val="000000"/>
                <w:sz w:val="21"/>
              </w:rPr>
            </w:pPr>
            <w:r>
              <w:rPr>
                <w:color w:val="000000"/>
                <w:sz w:val="21"/>
              </w:rPr>
              <w:t>150</w:t>
            </w:r>
          </w:p>
        </w:tc>
        <w:tc>
          <w:tcPr>
            <w:tcW w:w="484" w:type="pct"/>
            <w:tcBorders>
              <w:tl2br w:val="nil"/>
              <w:tr2bl w:val="nil"/>
            </w:tcBorders>
            <w:vAlign w:val="center"/>
          </w:tcPr>
          <w:p w14:paraId="062694E9">
            <w:pPr>
              <w:jc w:val="center"/>
              <w:rPr>
                <w:color w:val="000000"/>
                <w:sz w:val="21"/>
              </w:rPr>
            </w:pPr>
            <w:r>
              <w:rPr>
                <w:color w:val="000000"/>
                <w:sz w:val="21"/>
              </w:rPr>
              <w:t>70</w:t>
            </w:r>
          </w:p>
        </w:tc>
        <w:tc>
          <w:tcPr>
            <w:tcW w:w="1578" w:type="pct"/>
            <w:vMerge w:val="continue"/>
            <w:tcBorders>
              <w:tl2br w:val="nil"/>
              <w:tr2bl w:val="nil"/>
            </w:tcBorders>
            <w:vAlign w:val="center"/>
          </w:tcPr>
          <w:p w14:paraId="02CFE75D">
            <w:pPr>
              <w:spacing w:line="240" w:lineRule="auto"/>
              <w:jc w:val="center"/>
              <w:rPr>
                <w:color w:val="000000"/>
                <w:sz w:val="21"/>
              </w:rPr>
            </w:pPr>
          </w:p>
        </w:tc>
      </w:tr>
      <w:tr w14:paraId="1F20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tcBorders>
              <w:tl2br w:val="nil"/>
              <w:tr2bl w:val="nil"/>
            </w:tcBorders>
            <w:vAlign w:val="center"/>
          </w:tcPr>
          <w:p w14:paraId="72EB235B">
            <w:pPr>
              <w:jc w:val="center"/>
              <w:rPr>
                <w:color w:val="000000"/>
                <w:sz w:val="21"/>
              </w:rPr>
            </w:pPr>
            <w:r>
              <w:rPr>
                <w:color w:val="000000"/>
                <w:sz w:val="21"/>
              </w:rPr>
              <w:t>4</w:t>
            </w:r>
          </w:p>
        </w:tc>
        <w:tc>
          <w:tcPr>
            <w:tcW w:w="834" w:type="pct"/>
            <w:tcBorders>
              <w:tl2br w:val="nil"/>
              <w:tr2bl w:val="nil"/>
            </w:tcBorders>
            <w:vAlign w:val="center"/>
          </w:tcPr>
          <w:p w14:paraId="036B5131">
            <w:pPr>
              <w:jc w:val="center"/>
              <w:rPr>
                <w:color w:val="000000"/>
                <w:sz w:val="21"/>
              </w:rPr>
            </w:pPr>
            <w:r>
              <w:rPr>
                <w:color w:val="000000"/>
                <w:sz w:val="21"/>
              </w:rPr>
              <w:t>PM</w:t>
            </w:r>
            <w:r>
              <w:rPr>
                <w:color w:val="000000"/>
                <w:sz w:val="21"/>
                <w:vertAlign w:val="subscript"/>
              </w:rPr>
              <w:t>2.5</w:t>
            </w:r>
            <w:r>
              <w:rPr>
                <w:color w:val="000000"/>
                <w:sz w:val="21"/>
              </w:rPr>
              <w:t>（μg/m</w:t>
            </w:r>
            <w:r>
              <w:rPr>
                <w:color w:val="000000"/>
                <w:sz w:val="21"/>
                <w:vertAlign w:val="superscript"/>
              </w:rPr>
              <w:t>3</w:t>
            </w:r>
            <w:r>
              <w:rPr>
                <w:color w:val="000000"/>
                <w:sz w:val="21"/>
              </w:rPr>
              <w:t>）</w:t>
            </w:r>
          </w:p>
        </w:tc>
        <w:tc>
          <w:tcPr>
            <w:tcW w:w="746" w:type="pct"/>
            <w:tcBorders>
              <w:tl2br w:val="nil"/>
              <w:tr2bl w:val="nil"/>
            </w:tcBorders>
            <w:vAlign w:val="center"/>
          </w:tcPr>
          <w:p w14:paraId="777F0EE6">
            <w:pPr>
              <w:jc w:val="center"/>
              <w:rPr>
                <w:color w:val="000000"/>
                <w:sz w:val="21"/>
              </w:rPr>
            </w:pPr>
            <w:r>
              <w:rPr>
                <w:color w:val="000000"/>
                <w:sz w:val="21"/>
              </w:rPr>
              <w:t>/</w:t>
            </w:r>
          </w:p>
        </w:tc>
        <w:tc>
          <w:tcPr>
            <w:tcW w:w="1010" w:type="pct"/>
            <w:tcBorders>
              <w:tl2br w:val="nil"/>
              <w:tr2bl w:val="nil"/>
            </w:tcBorders>
            <w:vAlign w:val="center"/>
          </w:tcPr>
          <w:p w14:paraId="52D66D4E">
            <w:pPr>
              <w:jc w:val="center"/>
              <w:rPr>
                <w:color w:val="000000"/>
                <w:sz w:val="21"/>
              </w:rPr>
            </w:pPr>
            <w:r>
              <w:rPr>
                <w:color w:val="000000"/>
                <w:sz w:val="21"/>
              </w:rPr>
              <w:t>75</w:t>
            </w:r>
          </w:p>
        </w:tc>
        <w:tc>
          <w:tcPr>
            <w:tcW w:w="484" w:type="pct"/>
            <w:tcBorders>
              <w:tl2br w:val="nil"/>
              <w:tr2bl w:val="nil"/>
            </w:tcBorders>
            <w:vAlign w:val="center"/>
          </w:tcPr>
          <w:p w14:paraId="5E92A408">
            <w:pPr>
              <w:jc w:val="center"/>
              <w:rPr>
                <w:color w:val="000000"/>
                <w:sz w:val="21"/>
              </w:rPr>
            </w:pPr>
            <w:r>
              <w:rPr>
                <w:color w:val="000000"/>
                <w:sz w:val="21"/>
              </w:rPr>
              <w:t>35</w:t>
            </w:r>
          </w:p>
        </w:tc>
        <w:tc>
          <w:tcPr>
            <w:tcW w:w="1578" w:type="pct"/>
            <w:vMerge w:val="continue"/>
            <w:tcBorders>
              <w:tl2br w:val="nil"/>
              <w:tr2bl w:val="nil"/>
            </w:tcBorders>
            <w:vAlign w:val="center"/>
          </w:tcPr>
          <w:p w14:paraId="345963A9">
            <w:pPr>
              <w:spacing w:line="240" w:lineRule="auto"/>
              <w:jc w:val="center"/>
              <w:rPr>
                <w:color w:val="000000"/>
                <w:sz w:val="21"/>
              </w:rPr>
            </w:pPr>
          </w:p>
        </w:tc>
      </w:tr>
      <w:tr w14:paraId="57ED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tcBorders>
              <w:tl2br w:val="nil"/>
              <w:tr2bl w:val="nil"/>
            </w:tcBorders>
            <w:vAlign w:val="center"/>
          </w:tcPr>
          <w:p w14:paraId="0092B5FD">
            <w:pPr>
              <w:jc w:val="center"/>
              <w:rPr>
                <w:color w:val="000000"/>
                <w:sz w:val="21"/>
              </w:rPr>
            </w:pPr>
            <w:r>
              <w:rPr>
                <w:color w:val="000000"/>
                <w:sz w:val="21"/>
              </w:rPr>
              <w:t>5</w:t>
            </w:r>
          </w:p>
        </w:tc>
        <w:tc>
          <w:tcPr>
            <w:tcW w:w="834" w:type="pct"/>
            <w:tcBorders>
              <w:tl2br w:val="nil"/>
              <w:tr2bl w:val="nil"/>
            </w:tcBorders>
            <w:vAlign w:val="center"/>
          </w:tcPr>
          <w:p w14:paraId="096374B4">
            <w:pPr>
              <w:jc w:val="center"/>
              <w:rPr>
                <w:color w:val="000000"/>
                <w:sz w:val="21"/>
              </w:rPr>
            </w:pPr>
            <w:r>
              <w:rPr>
                <w:color w:val="000000"/>
                <w:sz w:val="21"/>
              </w:rPr>
              <w:t>CO（</w:t>
            </w:r>
            <w:r>
              <w:rPr>
                <w:snapToGrid w:val="0"/>
                <w:color w:val="000000"/>
                <w:kern w:val="0"/>
                <w:sz w:val="21"/>
              </w:rPr>
              <w:t>mg/m</w:t>
            </w:r>
            <w:r>
              <w:rPr>
                <w:snapToGrid w:val="0"/>
                <w:color w:val="000000"/>
                <w:kern w:val="0"/>
                <w:sz w:val="21"/>
                <w:vertAlign w:val="superscript"/>
              </w:rPr>
              <w:t>3</w:t>
            </w:r>
            <w:r>
              <w:rPr>
                <w:color w:val="000000"/>
                <w:sz w:val="21"/>
              </w:rPr>
              <w:t>）</w:t>
            </w:r>
          </w:p>
        </w:tc>
        <w:tc>
          <w:tcPr>
            <w:tcW w:w="746" w:type="pct"/>
            <w:tcBorders>
              <w:tl2br w:val="nil"/>
              <w:tr2bl w:val="nil"/>
            </w:tcBorders>
            <w:vAlign w:val="center"/>
          </w:tcPr>
          <w:p w14:paraId="2F0C04D8">
            <w:pPr>
              <w:jc w:val="center"/>
              <w:rPr>
                <w:color w:val="000000"/>
                <w:sz w:val="21"/>
              </w:rPr>
            </w:pPr>
            <w:r>
              <w:rPr>
                <w:color w:val="000000"/>
                <w:sz w:val="21"/>
              </w:rPr>
              <w:t>10</w:t>
            </w:r>
          </w:p>
        </w:tc>
        <w:tc>
          <w:tcPr>
            <w:tcW w:w="1010" w:type="pct"/>
            <w:tcBorders>
              <w:tl2br w:val="nil"/>
              <w:tr2bl w:val="nil"/>
            </w:tcBorders>
            <w:vAlign w:val="center"/>
          </w:tcPr>
          <w:p w14:paraId="5F202219">
            <w:pPr>
              <w:jc w:val="center"/>
              <w:rPr>
                <w:color w:val="000000"/>
                <w:sz w:val="21"/>
              </w:rPr>
            </w:pPr>
            <w:r>
              <w:rPr>
                <w:color w:val="000000"/>
                <w:sz w:val="21"/>
              </w:rPr>
              <w:t>4</w:t>
            </w:r>
          </w:p>
        </w:tc>
        <w:tc>
          <w:tcPr>
            <w:tcW w:w="484" w:type="pct"/>
            <w:tcBorders>
              <w:tl2br w:val="nil"/>
              <w:tr2bl w:val="nil"/>
            </w:tcBorders>
            <w:vAlign w:val="center"/>
          </w:tcPr>
          <w:p w14:paraId="101E9758">
            <w:pPr>
              <w:jc w:val="center"/>
              <w:rPr>
                <w:color w:val="000000"/>
                <w:sz w:val="21"/>
              </w:rPr>
            </w:pPr>
            <w:r>
              <w:rPr>
                <w:color w:val="000000"/>
                <w:sz w:val="21"/>
              </w:rPr>
              <w:t>/</w:t>
            </w:r>
          </w:p>
        </w:tc>
        <w:tc>
          <w:tcPr>
            <w:tcW w:w="1578" w:type="pct"/>
            <w:vMerge w:val="continue"/>
            <w:tcBorders>
              <w:tl2br w:val="nil"/>
              <w:tr2bl w:val="nil"/>
            </w:tcBorders>
            <w:vAlign w:val="center"/>
          </w:tcPr>
          <w:p w14:paraId="00BECEB4">
            <w:pPr>
              <w:spacing w:line="240" w:lineRule="auto"/>
              <w:jc w:val="center"/>
              <w:rPr>
                <w:color w:val="000000"/>
                <w:sz w:val="21"/>
              </w:rPr>
            </w:pPr>
          </w:p>
        </w:tc>
      </w:tr>
      <w:tr w14:paraId="57E1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5" w:type="pct"/>
            <w:tcBorders>
              <w:tl2br w:val="nil"/>
              <w:tr2bl w:val="nil"/>
            </w:tcBorders>
            <w:vAlign w:val="center"/>
          </w:tcPr>
          <w:p w14:paraId="15B1DD57">
            <w:pPr>
              <w:jc w:val="center"/>
              <w:rPr>
                <w:color w:val="000000"/>
                <w:sz w:val="21"/>
              </w:rPr>
            </w:pPr>
            <w:r>
              <w:rPr>
                <w:color w:val="000000"/>
                <w:sz w:val="21"/>
              </w:rPr>
              <w:t>6</w:t>
            </w:r>
          </w:p>
        </w:tc>
        <w:tc>
          <w:tcPr>
            <w:tcW w:w="834" w:type="pct"/>
            <w:tcBorders>
              <w:tl2br w:val="nil"/>
              <w:tr2bl w:val="nil"/>
            </w:tcBorders>
            <w:vAlign w:val="center"/>
          </w:tcPr>
          <w:p w14:paraId="5E6E5CCB">
            <w:pPr>
              <w:jc w:val="center"/>
              <w:rPr>
                <w:color w:val="000000"/>
                <w:sz w:val="21"/>
              </w:rPr>
            </w:pPr>
            <w:r>
              <w:rPr>
                <w:color w:val="000000"/>
                <w:sz w:val="21"/>
              </w:rPr>
              <w:t>O</w:t>
            </w:r>
            <w:r>
              <w:rPr>
                <w:color w:val="000000"/>
                <w:sz w:val="21"/>
                <w:vertAlign w:val="subscript"/>
              </w:rPr>
              <w:t>3</w:t>
            </w:r>
            <w:r>
              <w:rPr>
                <w:color w:val="000000"/>
                <w:sz w:val="21"/>
              </w:rPr>
              <w:t>（μg/m</w:t>
            </w:r>
            <w:r>
              <w:rPr>
                <w:color w:val="000000"/>
                <w:sz w:val="21"/>
                <w:vertAlign w:val="superscript"/>
              </w:rPr>
              <w:t>3</w:t>
            </w:r>
            <w:r>
              <w:rPr>
                <w:color w:val="000000"/>
                <w:sz w:val="21"/>
              </w:rPr>
              <w:t>）</w:t>
            </w:r>
          </w:p>
        </w:tc>
        <w:tc>
          <w:tcPr>
            <w:tcW w:w="746" w:type="pct"/>
            <w:tcBorders>
              <w:tl2br w:val="nil"/>
              <w:tr2bl w:val="nil"/>
            </w:tcBorders>
            <w:vAlign w:val="center"/>
          </w:tcPr>
          <w:p w14:paraId="0ED6BA26">
            <w:pPr>
              <w:jc w:val="center"/>
              <w:rPr>
                <w:color w:val="000000"/>
                <w:sz w:val="21"/>
              </w:rPr>
            </w:pPr>
            <w:r>
              <w:rPr>
                <w:color w:val="000000"/>
                <w:sz w:val="21"/>
              </w:rPr>
              <w:t>200</w:t>
            </w:r>
          </w:p>
        </w:tc>
        <w:tc>
          <w:tcPr>
            <w:tcW w:w="1010" w:type="pct"/>
            <w:tcBorders>
              <w:tl2br w:val="nil"/>
              <w:tr2bl w:val="nil"/>
            </w:tcBorders>
            <w:vAlign w:val="center"/>
          </w:tcPr>
          <w:p w14:paraId="44CCF066">
            <w:pPr>
              <w:spacing w:line="240" w:lineRule="auto"/>
              <w:jc w:val="center"/>
              <w:rPr>
                <w:color w:val="000000"/>
                <w:sz w:val="21"/>
              </w:rPr>
            </w:pPr>
            <w:r>
              <w:rPr>
                <w:color w:val="000000"/>
                <w:sz w:val="21"/>
              </w:rPr>
              <w:t>160（日最大8小时平均）</w:t>
            </w:r>
          </w:p>
        </w:tc>
        <w:tc>
          <w:tcPr>
            <w:tcW w:w="484" w:type="pct"/>
            <w:tcBorders>
              <w:tl2br w:val="nil"/>
              <w:tr2bl w:val="nil"/>
            </w:tcBorders>
            <w:vAlign w:val="center"/>
          </w:tcPr>
          <w:p w14:paraId="23CEB612">
            <w:pPr>
              <w:jc w:val="center"/>
              <w:rPr>
                <w:color w:val="000000"/>
                <w:sz w:val="21"/>
              </w:rPr>
            </w:pPr>
            <w:r>
              <w:rPr>
                <w:color w:val="000000"/>
                <w:sz w:val="21"/>
              </w:rPr>
              <w:t>/</w:t>
            </w:r>
          </w:p>
        </w:tc>
        <w:tc>
          <w:tcPr>
            <w:tcW w:w="1578" w:type="pct"/>
            <w:vMerge w:val="continue"/>
            <w:tcBorders>
              <w:tl2br w:val="nil"/>
              <w:tr2bl w:val="nil"/>
            </w:tcBorders>
            <w:vAlign w:val="center"/>
          </w:tcPr>
          <w:p w14:paraId="468AFBD9">
            <w:pPr>
              <w:spacing w:line="240" w:lineRule="auto"/>
              <w:jc w:val="center"/>
              <w:rPr>
                <w:color w:val="000000"/>
                <w:sz w:val="21"/>
              </w:rPr>
            </w:pPr>
          </w:p>
        </w:tc>
      </w:tr>
    </w:tbl>
    <w:p w14:paraId="5FD22FC0">
      <w:pPr>
        <w:ind w:firstLine="480"/>
        <w:rPr>
          <w:color w:val="000000"/>
        </w:rPr>
      </w:pPr>
      <w:r>
        <w:rPr>
          <w:color w:val="000000"/>
        </w:rPr>
        <w:t>（2）地表水环境质量标准</w:t>
      </w:r>
    </w:p>
    <w:p w14:paraId="2CC8209E">
      <w:pPr>
        <w:ind w:firstLine="480"/>
        <w:rPr>
          <w:color w:val="000000"/>
        </w:rPr>
      </w:pPr>
      <w:r>
        <w:rPr>
          <w:bCs/>
          <w:color w:val="000000"/>
        </w:rPr>
        <w:t>根据</w:t>
      </w:r>
      <w:r>
        <w:rPr>
          <w:color w:val="000000"/>
        </w:rPr>
        <w:t>《重庆市人民政府批转重庆市地表水环境功能类别调整方案的通知》（渝府发[2012]4号）规定，乌江涪陵境内全部水域及后溪河（又名：白涛河）属Ⅲ类水域，地表水执行《地表水环境质量标准》（GB3838-2002）Ⅲ类水域标准，详见表1.3.5.1-2。</w:t>
      </w:r>
    </w:p>
    <w:p w14:paraId="519222BC">
      <w:pPr>
        <w:pStyle w:val="133"/>
        <w:outlineLvl w:val="9"/>
        <w:rPr>
          <w:rFonts w:ascii="Times New Roman" w:hAnsi="Times New Roman"/>
          <w:color w:val="000000"/>
        </w:rPr>
      </w:pPr>
      <w:r>
        <w:rPr>
          <w:rFonts w:ascii="Times New Roman" w:hAnsi="Times New Roman"/>
          <w:color w:val="000000"/>
        </w:rPr>
        <w:t>表1.3.5.1-2  地表水环境质量标准</w:t>
      </w:r>
    </w:p>
    <w:tbl>
      <w:tblPr>
        <w:tblStyle w:val="73"/>
        <w:tblW w:w="5000" w:type="pct"/>
        <w:jc w:val="center"/>
        <w:tblLayout w:type="autofit"/>
        <w:tblCellMar>
          <w:top w:w="0" w:type="dxa"/>
          <w:left w:w="0" w:type="dxa"/>
          <w:bottom w:w="0" w:type="dxa"/>
          <w:right w:w="0" w:type="dxa"/>
        </w:tblCellMar>
      </w:tblPr>
      <w:tblGrid>
        <w:gridCol w:w="1831"/>
        <w:gridCol w:w="1562"/>
        <w:gridCol w:w="912"/>
        <w:gridCol w:w="912"/>
        <w:gridCol w:w="912"/>
        <w:gridCol w:w="912"/>
        <w:gridCol w:w="913"/>
        <w:gridCol w:w="913"/>
      </w:tblGrid>
      <w:tr w14:paraId="0C0A242C">
        <w:tblPrEx>
          <w:tblCellMar>
            <w:top w:w="0" w:type="dxa"/>
            <w:left w:w="0" w:type="dxa"/>
            <w:bottom w:w="0" w:type="dxa"/>
            <w:right w:w="0" w:type="dxa"/>
          </w:tblCellMar>
        </w:tblPrEx>
        <w:trPr>
          <w:jc w:val="center"/>
        </w:trPr>
        <w:tc>
          <w:tcPr>
            <w:tcW w:w="1033"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015A1442">
            <w:pPr>
              <w:jc w:val="center"/>
              <w:textAlignment w:val="center"/>
              <w:rPr>
                <w:color w:val="000000"/>
                <w:sz w:val="21"/>
              </w:rPr>
            </w:pPr>
            <w:r>
              <w:rPr>
                <w:color w:val="000000"/>
                <w:kern w:val="0"/>
                <w:sz w:val="21"/>
              </w:rPr>
              <w:t>污染物名称</w:t>
            </w:r>
          </w:p>
        </w:tc>
        <w:tc>
          <w:tcPr>
            <w:tcW w:w="881"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6C192F12">
            <w:pPr>
              <w:jc w:val="center"/>
              <w:textAlignment w:val="center"/>
              <w:rPr>
                <w:color w:val="000000"/>
                <w:sz w:val="21"/>
              </w:rPr>
            </w:pPr>
            <w:r>
              <w:rPr>
                <w:color w:val="000000"/>
                <w:kern w:val="0"/>
                <w:sz w:val="21"/>
              </w:rPr>
              <w:t>pH（无量纲）</w:t>
            </w:r>
          </w:p>
        </w:tc>
        <w:tc>
          <w:tcPr>
            <w:tcW w:w="514"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5BA1EC98">
            <w:pPr>
              <w:jc w:val="center"/>
              <w:textAlignment w:val="center"/>
              <w:rPr>
                <w:color w:val="000000"/>
                <w:sz w:val="21"/>
              </w:rPr>
            </w:pPr>
            <w:r>
              <w:rPr>
                <w:color w:val="000000"/>
                <w:kern w:val="0"/>
                <w:sz w:val="21"/>
              </w:rPr>
              <w:t>COD</w:t>
            </w:r>
          </w:p>
        </w:tc>
        <w:tc>
          <w:tcPr>
            <w:tcW w:w="514"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6B7440F0">
            <w:pPr>
              <w:jc w:val="center"/>
              <w:textAlignment w:val="center"/>
              <w:rPr>
                <w:color w:val="000000"/>
                <w:sz w:val="21"/>
              </w:rPr>
            </w:pPr>
            <w:r>
              <w:rPr>
                <w:color w:val="000000"/>
                <w:kern w:val="0"/>
                <w:sz w:val="21"/>
              </w:rPr>
              <w:t>BOD</w:t>
            </w:r>
            <w:r>
              <w:rPr>
                <w:color w:val="000000"/>
                <w:kern w:val="0"/>
                <w:sz w:val="21"/>
                <w:vertAlign w:val="subscript"/>
              </w:rPr>
              <w:t>5</w:t>
            </w:r>
          </w:p>
        </w:tc>
        <w:tc>
          <w:tcPr>
            <w:tcW w:w="514"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72EDD643">
            <w:pPr>
              <w:jc w:val="center"/>
              <w:textAlignment w:val="center"/>
              <w:rPr>
                <w:color w:val="000000"/>
                <w:sz w:val="21"/>
              </w:rPr>
            </w:pPr>
            <w:r>
              <w:rPr>
                <w:color w:val="000000"/>
                <w:kern w:val="0"/>
                <w:sz w:val="21"/>
              </w:rPr>
              <w:t>NH</w:t>
            </w:r>
            <w:r>
              <w:rPr>
                <w:color w:val="000000"/>
                <w:kern w:val="0"/>
                <w:sz w:val="21"/>
                <w:vertAlign w:val="subscript"/>
              </w:rPr>
              <w:t>3</w:t>
            </w:r>
            <w:r>
              <w:rPr>
                <w:color w:val="000000"/>
                <w:kern w:val="0"/>
                <w:sz w:val="21"/>
              </w:rPr>
              <w:t>-N</w:t>
            </w:r>
          </w:p>
        </w:tc>
        <w:tc>
          <w:tcPr>
            <w:tcW w:w="514"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1CF1A762">
            <w:pPr>
              <w:jc w:val="center"/>
              <w:textAlignment w:val="center"/>
              <w:rPr>
                <w:color w:val="000000"/>
                <w:sz w:val="21"/>
              </w:rPr>
            </w:pPr>
            <w:r>
              <w:rPr>
                <w:color w:val="000000"/>
                <w:kern w:val="0"/>
                <w:sz w:val="21"/>
              </w:rPr>
              <w:t>TP</w:t>
            </w:r>
          </w:p>
        </w:tc>
        <w:tc>
          <w:tcPr>
            <w:tcW w:w="515"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3EEB5AD4">
            <w:pPr>
              <w:jc w:val="center"/>
              <w:textAlignment w:val="center"/>
              <w:rPr>
                <w:color w:val="000000"/>
                <w:sz w:val="21"/>
              </w:rPr>
            </w:pPr>
            <w:r>
              <w:rPr>
                <w:color w:val="000000"/>
                <w:kern w:val="0"/>
                <w:sz w:val="21"/>
              </w:rPr>
              <w:t>TN</w:t>
            </w:r>
          </w:p>
        </w:tc>
        <w:tc>
          <w:tcPr>
            <w:tcW w:w="515"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5419164B">
            <w:pPr>
              <w:jc w:val="center"/>
              <w:textAlignment w:val="center"/>
              <w:rPr>
                <w:color w:val="000000"/>
                <w:sz w:val="21"/>
              </w:rPr>
            </w:pPr>
            <w:r>
              <w:rPr>
                <w:color w:val="000000"/>
                <w:kern w:val="0"/>
                <w:sz w:val="21"/>
              </w:rPr>
              <w:t>石油类</w:t>
            </w:r>
          </w:p>
        </w:tc>
      </w:tr>
      <w:tr w14:paraId="6E9B73BA">
        <w:tblPrEx>
          <w:tblCellMar>
            <w:top w:w="0" w:type="dxa"/>
            <w:left w:w="0" w:type="dxa"/>
            <w:bottom w:w="0" w:type="dxa"/>
            <w:right w:w="0" w:type="dxa"/>
          </w:tblCellMar>
        </w:tblPrEx>
        <w:trPr>
          <w:jc w:val="center"/>
        </w:trPr>
        <w:tc>
          <w:tcPr>
            <w:tcW w:w="1033"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2DFDEA0A">
            <w:pPr>
              <w:jc w:val="center"/>
              <w:textAlignment w:val="center"/>
              <w:rPr>
                <w:color w:val="000000"/>
                <w:sz w:val="21"/>
              </w:rPr>
            </w:pPr>
            <w:r>
              <w:rPr>
                <w:color w:val="000000"/>
                <w:kern w:val="0"/>
                <w:sz w:val="21"/>
              </w:rPr>
              <w:t>标准值（mg/L）</w:t>
            </w:r>
          </w:p>
        </w:tc>
        <w:tc>
          <w:tcPr>
            <w:tcW w:w="881"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2053AB16">
            <w:pPr>
              <w:jc w:val="center"/>
              <w:textAlignment w:val="center"/>
              <w:rPr>
                <w:color w:val="000000"/>
                <w:sz w:val="21"/>
              </w:rPr>
            </w:pPr>
            <w:r>
              <w:rPr>
                <w:color w:val="000000"/>
                <w:kern w:val="0"/>
                <w:sz w:val="21"/>
              </w:rPr>
              <w:t>6~9</w:t>
            </w:r>
          </w:p>
        </w:tc>
        <w:tc>
          <w:tcPr>
            <w:tcW w:w="514"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3C93E1BB">
            <w:pPr>
              <w:jc w:val="center"/>
              <w:textAlignment w:val="center"/>
              <w:rPr>
                <w:color w:val="000000"/>
                <w:sz w:val="21"/>
              </w:rPr>
            </w:pPr>
            <w:r>
              <w:rPr>
                <w:color w:val="000000"/>
                <w:kern w:val="0"/>
                <w:sz w:val="21"/>
              </w:rPr>
              <w:t>≤20</w:t>
            </w:r>
          </w:p>
        </w:tc>
        <w:tc>
          <w:tcPr>
            <w:tcW w:w="514"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3BFA26EB">
            <w:pPr>
              <w:jc w:val="center"/>
              <w:textAlignment w:val="center"/>
              <w:rPr>
                <w:color w:val="000000"/>
                <w:sz w:val="21"/>
              </w:rPr>
            </w:pPr>
            <w:r>
              <w:rPr>
                <w:color w:val="000000"/>
                <w:kern w:val="0"/>
                <w:sz w:val="21"/>
              </w:rPr>
              <w:t>≤4</w:t>
            </w:r>
          </w:p>
        </w:tc>
        <w:tc>
          <w:tcPr>
            <w:tcW w:w="514"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3F776ED0">
            <w:pPr>
              <w:jc w:val="center"/>
              <w:textAlignment w:val="center"/>
              <w:rPr>
                <w:color w:val="000000"/>
                <w:sz w:val="21"/>
              </w:rPr>
            </w:pPr>
            <w:r>
              <w:rPr>
                <w:color w:val="000000"/>
                <w:kern w:val="0"/>
                <w:sz w:val="21"/>
              </w:rPr>
              <w:t>≤1.0</w:t>
            </w:r>
          </w:p>
        </w:tc>
        <w:tc>
          <w:tcPr>
            <w:tcW w:w="514"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537B23A4">
            <w:pPr>
              <w:jc w:val="center"/>
              <w:textAlignment w:val="center"/>
              <w:rPr>
                <w:color w:val="000000"/>
                <w:sz w:val="21"/>
              </w:rPr>
            </w:pPr>
            <w:r>
              <w:rPr>
                <w:color w:val="000000"/>
                <w:kern w:val="0"/>
                <w:sz w:val="21"/>
              </w:rPr>
              <w:t>≤0.2</w:t>
            </w:r>
          </w:p>
        </w:tc>
        <w:tc>
          <w:tcPr>
            <w:tcW w:w="515"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0DE09664">
            <w:pPr>
              <w:jc w:val="center"/>
              <w:textAlignment w:val="center"/>
              <w:rPr>
                <w:color w:val="000000"/>
                <w:sz w:val="21"/>
              </w:rPr>
            </w:pPr>
            <w:r>
              <w:rPr>
                <w:color w:val="000000"/>
                <w:kern w:val="0"/>
                <w:sz w:val="21"/>
              </w:rPr>
              <w:t>≤1.0</w:t>
            </w:r>
          </w:p>
        </w:tc>
        <w:tc>
          <w:tcPr>
            <w:tcW w:w="515" w:type="pct"/>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372C163F">
            <w:pPr>
              <w:jc w:val="center"/>
              <w:textAlignment w:val="center"/>
              <w:rPr>
                <w:color w:val="000000"/>
                <w:sz w:val="21"/>
              </w:rPr>
            </w:pPr>
            <w:r>
              <w:rPr>
                <w:color w:val="000000"/>
                <w:kern w:val="0"/>
                <w:sz w:val="21"/>
              </w:rPr>
              <w:t>≤0.05</w:t>
            </w:r>
          </w:p>
        </w:tc>
      </w:tr>
    </w:tbl>
    <w:p w14:paraId="55EE9C2A">
      <w:pPr>
        <w:ind w:firstLine="480"/>
        <w:rPr>
          <w:color w:val="000000"/>
        </w:rPr>
      </w:pPr>
      <w:r>
        <w:rPr>
          <w:color w:val="000000"/>
        </w:rPr>
        <w:t>（3）地下水环境质量标准</w:t>
      </w:r>
    </w:p>
    <w:p w14:paraId="25472196">
      <w:pPr>
        <w:ind w:firstLine="480"/>
        <w:rPr>
          <w:color w:val="000000"/>
        </w:rPr>
      </w:pPr>
      <w:r>
        <w:rPr>
          <w:color w:val="000000"/>
        </w:rPr>
        <w:t>项目区域地下水环境质量执行《地下水质量标准》（GB/T14848-2017）中Ⅲ类标准。标准限值详见表1.3.5.1-3。</w:t>
      </w:r>
    </w:p>
    <w:p w14:paraId="144C5D80">
      <w:pPr>
        <w:pStyle w:val="133"/>
        <w:outlineLvl w:val="9"/>
        <w:rPr>
          <w:rFonts w:ascii="Times New Roman" w:hAnsi="Times New Roman"/>
          <w:color w:val="000000"/>
        </w:rPr>
      </w:pPr>
      <w:r>
        <w:rPr>
          <w:rFonts w:ascii="Times New Roman" w:hAnsi="Times New Roman"/>
          <w:color w:val="000000"/>
        </w:rPr>
        <w:t>表1.3.5.1-3  地下水质量标准</w:t>
      </w:r>
    </w:p>
    <w:tbl>
      <w:tblPr>
        <w:tblStyle w:val="7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69"/>
        <w:gridCol w:w="2510"/>
        <w:gridCol w:w="776"/>
        <w:gridCol w:w="854"/>
        <w:gridCol w:w="521"/>
        <w:gridCol w:w="1844"/>
        <w:gridCol w:w="1217"/>
        <w:gridCol w:w="908"/>
      </w:tblGrid>
      <w:tr w14:paraId="4627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151" w:type="pct"/>
            <w:vAlign w:val="center"/>
          </w:tcPr>
          <w:p w14:paraId="6F9677CA">
            <w:pPr>
              <w:spacing w:line="240" w:lineRule="auto"/>
              <w:jc w:val="center"/>
              <w:rPr>
                <w:color w:val="000000"/>
                <w:sz w:val="20"/>
                <w:szCs w:val="20"/>
              </w:rPr>
            </w:pPr>
            <w:r>
              <w:rPr>
                <w:color w:val="000000"/>
                <w:sz w:val="20"/>
                <w:szCs w:val="20"/>
              </w:rPr>
              <w:t>序号</w:t>
            </w:r>
          </w:p>
        </w:tc>
        <w:tc>
          <w:tcPr>
            <w:tcW w:w="1410" w:type="pct"/>
            <w:vAlign w:val="center"/>
          </w:tcPr>
          <w:p w14:paraId="6CF90C4D">
            <w:pPr>
              <w:spacing w:line="240" w:lineRule="auto"/>
              <w:jc w:val="center"/>
              <w:rPr>
                <w:color w:val="000000"/>
                <w:sz w:val="20"/>
                <w:szCs w:val="20"/>
              </w:rPr>
            </w:pPr>
            <w:r>
              <w:rPr>
                <w:color w:val="000000"/>
                <w:sz w:val="20"/>
                <w:szCs w:val="20"/>
              </w:rPr>
              <w:t>指标</w:t>
            </w:r>
          </w:p>
        </w:tc>
        <w:tc>
          <w:tcPr>
            <w:tcW w:w="436" w:type="pct"/>
            <w:vAlign w:val="center"/>
          </w:tcPr>
          <w:p w14:paraId="5235A3D6">
            <w:pPr>
              <w:spacing w:line="240" w:lineRule="auto"/>
              <w:jc w:val="center"/>
              <w:rPr>
                <w:color w:val="000000"/>
                <w:sz w:val="20"/>
                <w:szCs w:val="20"/>
              </w:rPr>
            </w:pPr>
            <w:r>
              <w:rPr>
                <w:color w:val="000000"/>
                <w:sz w:val="20"/>
                <w:szCs w:val="20"/>
              </w:rPr>
              <w:t>单位</w:t>
            </w:r>
          </w:p>
        </w:tc>
        <w:tc>
          <w:tcPr>
            <w:tcW w:w="479" w:type="pct"/>
            <w:vAlign w:val="center"/>
          </w:tcPr>
          <w:p w14:paraId="2DF3F496">
            <w:pPr>
              <w:spacing w:line="240" w:lineRule="auto"/>
              <w:jc w:val="center"/>
              <w:rPr>
                <w:color w:val="000000"/>
                <w:sz w:val="20"/>
                <w:szCs w:val="20"/>
              </w:rPr>
            </w:pPr>
            <w:r>
              <w:rPr>
                <w:color w:val="000000"/>
                <w:sz w:val="20"/>
                <w:szCs w:val="20"/>
              </w:rPr>
              <w:t>Ⅲ类标准值</w:t>
            </w:r>
          </w:p>
        </w:tc>
        <w:tc>
          <w:tcPr>
            <w:tcW w:w="293" w:type="pct"/>
            <w:vAlign w:val="center"/>
          </w:tcPr>
          <w:p w14:paraId="09C945E4">
            <w:pPr>
              <w:spacing w:line="240" w:lineRule="auto"/>
              <w:jc w:val="center"/>
              <w:rPr>
                <w:color w:val="000000"/>
                <w:sz w:val="20"/>
                <w:szCs w:val="20"/>
              </w:rPr>
            </w:pPr>
            <w:r>
              <w:rPr>
                <w:color w:val="000000"/>
                <w:sz w:val="20"/>
                <w:szCs w:val="20"/>
              </w:rPr>
              <w:t>序号</w:t>
            </w:r>
          </w:p>
        </w:tc>
        <w:tc>
          <w:tcPr>
            <w:tcW w:w="1036" w:type="pct"/>
            <w:vAlign w:val="center"/>
          </w:tcPr>
          <w:p w14:paraId="2E786C71">
            <w:pPr>
              <w:spacing w:line="240" w:lineRule="auto"/>
              <w:jc w:val="center"/>
              <w:rPr>
                <w:color w:val="000000"/>
                <w:sz w:val="20"/>
                <w:szCs w:val="20"/>
              </w:rPr>
            </w:pPr>
            <w:r>
              <w:rPr>
                <w:color w:val="000000"/>
                <w:sz w:val="20"/>
                <w:szCs w:val="20"/>
              </w:rPr>
              <w:t>指标</w:t>
            </w:r>
          </w:p>
        </w:tc>
        <w:tc>
          <w:tcPr>
            <w:tcW w:w="684" w:type="pct"/>
            <w:vAlign w:val="center"/>
          </w:tcPr>
          <w:p w14:paraId="16A9DDF1">
            <w:pPr>
              <w:spacing w:line="240" w:lineRule="auto"/>
              <w:jc w:val="center"/>
              <w:rPr>
                <w:color w:val="000000"/>
                <w:sz w:val="20"/>
                <w:szCs w:val="20"/>
              </w:rPr>
            </w:pPr>
            <w:r>
              <w:rPr>
                <w:color w:val="000000"/>
                <w:sz w:val="20"/>
                <w:szCs w:val="20"/>
              </w:rPr>
              <w:t>单位</w:t>
            </w:r>
          </w:p>
        </w:tc>
        <w:tc>
          <w:tcPr>
            <w:tcW w:w="510" w:type="pct"/>
            <w:vAlign w:val="center"/>
          </w:tcPr>
          <w:p w14:paraId="6C0649DE">
            <w:pPr>
              <w:spacing w:line="240" w:lineRule="auto"/>
              <w:jc w:val="center"/>
              <w:rPr>
                <w:color w:val="000000"/>
                <w:sz w:val="20"/>
                <w:szCs w:val="20"/>
              </w:rPr>
            </w:pPr>
            <w:r>
              <w:rPr>
                <w:color w:val="000000"/>
                <w:sz w:val="20"/>
                <w:szCs w:val="20"/>
              </w:rPr>
              <w:t>Ⅲ类标准值</w:t>
            </w:r>
          </w:p>
        </w:tc>
      </w:tr>
      <w:tr w14:paraId="3765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477" w:type="pct"/>
            <w:gridSpan w:val="4"/>
            <w:vAlign w:val="center"/>
          </w:tcPr>
          <w:p w14:paraId="75583D16">
            <w:pPr>
              <w:spacing w:line="240" w:lineRule="auto"/>
              <w:jc w:val="center"/>
              <w:rPr>
                <w:color w:val="000000"/>
                <w:sz w:val="20"/>
                <w:szCs w:val="20"/>
              </w:rPr>
            </w:pPr>
            <w:r>
              <w:rPr>
                <w:color w:val="000000"/>
                <w:sz w:val="20"/>
                <w:szCs w:val="20"/>
              </w:rPr>
              <w:t>感官性状及一般化学指标</w:t>
            </w:r>
          </w:p>
        </w:tc>
        <w:tc>
          <w:tcPr>
            <w:tcW w:w="2523" w:type="pct"/>
            <w:gridSpan w:val="4"/>
            <w:vAlign w:val="center"/>
          </w:tcPr>
          <w:p w14:paraId="44E1F1F1">
            <w:pPr>
              <w:spacing w:line="240" w:lineRule="auto"/>
              <w:jc w:val="center"/>
              <w:rPr>
                <w:color w:val="000000"/>
                <w:sz w:val="20"/>
                <w:szCs w:val="20"/>
              </w:rPr>
            </w:pPr>
            <w:r>
              <w:rPr>
                <w:color w:val="000000"/>
                <w:sz w:val="20"/>
                <w:szCs w:val="20"/>
              </w:rPr>
              <w:t>微生物指标</w:t>
            </w:r>
          </w:p>
        </w:tc>
      </w:tr>
      <w:tr w14:paraId="7C2A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1" w:type="pct"/>
            <w:vAlign w:val="center"/>
          </w:tcPr>
          <w:p w14:paraId="012F7EFB">
            <w:pPr>
              <w:spacing w:line="240" w:lineRule="auto"/>
              <w:jc w:val="center"/>
              <w:rPr>
                <w:color w:val="000000"/>
                <w:sz w:val="20"/>
                <w:szCs w:val="20"/>
              </w:rPr>
            </w:pPr>
            <w:r>
              <w:rPr>
                <w:color w:val="000000"/>
                <w:sz w:val="20"/>
                <w:szCs w:val="20"/>
              </w:rPr>
              <w:t>1</w:t>
            </w:r>
          </w:p>
        </w:tc>
        <w:tc>
          <w:tcPr>
            <w:tcW w:w="1410" w:type="pct"/>
            <w:vAlign w:val="center"/>
          </w:tcPr>
          <w:p w14:paraId="02AC12EC">
            <w:pPr>
              <w:spacing w:line="240" w:lineRule="auto"/>
              <w:jc w:val="center"/>
              <w:rPr>
                <w:color w:val="000000"/>
                <w:sz w:val="20"/>
                <w:szCs w:val="20"/>
              </w:rPr>
            </w:pPr>
            <w:r>
              <w:rPr>
                <w:color w:val="000000"/>
                <w:sz w:val="20"/>
                <w:szCs w:val="20"/>
              </w:rPr>
              <w:t>pH值</w:t>
            </w:r>
          </w:p>
        </w:tc>
        <w:tc>
          <w:tcPr>
            <w:tcW w:w="436" w:type="pct"/>
            <w:vAlign w:val="center"/>
          </w:tcPr>
          <w:p w14:paraId="0A4D39E6">
            <w:pPr>
              <w:spacing w:line="240" w:lineRule="auto"/>
              <w:jc w:val="center"/>
              <w:rPr>
                <w:color w:val="000000"/>
                <w:sz w:val="20"/>
                <w:szCs w:val="20"/>
              </w:rPr>
            </w:pPr>
            <w:r>
              <w:rPr>
                <w:color w:val="000000"/>
                <w:sz w:val="20"/>
                <w:szCs w:val="20"/>
              </w:rPr>
              <w:t>无量纲</w:t>
            </w:r>
          </w:p>
        </w:tc>
        <w:tc>
          <w:tcPr>
            <w:tcW w:w="479" w:type="pct"/>
            <w:vAlign w:val="center"/>
          </w:tcPr>
          <w:p w14:paraId="7193C496">
            <w:pPr>
              <w:spacing w:line="240" w:lineRule="auto"/>
              <w:jc w:val="center"/>
              <w:rPr>
                <w:color w:val="000000"/>
                <w:sz w:val="20"/>
                <w:szCs w:val="20"/>
              </w:rPr>
            </w:pPr>
            <w:r>
              <w:rPr>
                <w:color w:val="000000"/>
                <w:sz w:val="20"/>
                <w:szCs w:val="20"/>
              </w:rPr>
              <w:t>6.5~8.5</w:t>
            </w:r>
          </w:p>
        </w:tc>
        <w:tc>
          <w:tcPr>
            <w:tcW w:w="293" w:type="pct"/>
            <w:vAlign w:val="center"/>
          </w:tcPr>
          <w:p w14:paraId="4A036CBC">
            <w:pPr>
              <w:spacing w:line="240" w:lineRule="auto"/>
              <w:jc w:val="center"/>
              <w:rPr>
                <w:color w:val="000000"/>
                <w:sz w:val="20"/>
                <w:szCs w:val="20"/>
              </w:rPr>
            </w:pPr>
            <w:r>
              <w:rPr>
                <w:color w:val="000000"/>
                <w:sz w:val="20"/>
                <w:szCs w:val="20"/>
              </w:rPr>
              <w:t>14</w:t>
            </w:r>
          </w:p>
        </w:tc>
        <w:tc>
          <w:tcPr>
            <w:tcW w:w="1036" w:type="pct"/>
            <w:vAlign w:val="center"/>
          </w:tcPr>
          <w:p w14:paraId="572760BD">
            <w:pPr>
              <w:spacing w:line="240" w:lineRule="auto"/>
              <w:jc w:val="center"/>
              <w:rPr>
                <w:color w:val="000000"/>
                <w:sz w:val="20"/>
                <w:szCs w:val="20"/>
              </w:rPr>
            </w:pPr>
            <w:r>
              <w:rPr>
                <w:color w:val="000000"/>
                <w:sz w:val="20"/>
                <w:szCs w:val="20"/>
              </w:rPr>
              <w:t>总大肠菌群</w:t>
            </w:r>
          </w:p>
        </w:tc>
        <w:tc>
          <w:tcPr>
            <w:tcW w:w="684" w:type="pct"/>
            <w:vAlign w:val="center"/>
          </w:tcPr>
          <w:p w14:paraId="2382A84C">
            <w:pPr>
              <w:spacing w:line="240" w:lineRule="auto"/>
              <w:jc w:val="center"/>
              <w:rPr>
                <w:color w:val="000000"/>
                <w:sz w:val="20"/>
                <w:szCs w:val="20"/>
              </w:rPr>
            </w:pPr>
            <w:r>
              <w:rPr>
                <w:color w:val="000000"/>
                <w:sz w:val="20"/>
                <w:szCs w:val="20"/>
              </w:rPr>
              <w:t>MPN/100ml</w:t>
            </w:r>
          </w:p>
        </w:tc>
        <w:tc>
          <w:tcPr>
            <w:tcW w:w="510" w:type="pct"/>
            <w:vAlign w:val="center"/>
          </w:tcPr>
          <w:p w14:paraId="6BE1EAD9">
            <w:pPr>
              <w:spacing w:line="240" w:lineRule="auto"/>
              <w:jc w:val="center"/>
              <w:rPr>
                <w:color w:val="000000"/>
                <w:sz w:val="20"/>
                <w:szCs w:val="20"/>
              </w:rPr>
            </w:pPr>
            <w:r>
              <w:rPr>
                <w:color w:val="000000"/>
                <w:sz w:val="20"/>
                <w:szCs w:val="20"/>
              </w:rPr>
              <w:t>≤3.0</w:t>
            </w:r>
          </w:p>
        </w:tc>
      </w:tr>
      <w:tr w14:paraId="4A10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1" w:type="pct"/>
            <w:vAlign w:val="center"/>
          </w:tcPr>
          <w:p w14:paraId="2A0A15D2">
            <w:pPr>
              <w:spacing w:line="240" w:lineRule="auto"/>
              <w:jc w:val="center"/>
              <w:rPr>
                <w:color w:val="000000"/>
                <w:sz w:val="20"/>
                <w:szCs w:val="20"/>
              </w:rPr>
            </w:pPr>
            <w:r>
              <w:rPr>
                <w:color w:val="000000"/>
                <w:sz w:val="20"/>
                <w:szCs w:val="20"/>
              </w:rPr>
              <w:t>2</w:t>
            </w:r>
          </w:p>
        </w:tc>
        <w:tc>
          <w:tcPr>
            <w:tcW w:w="1410" w:type="pct"/>
            <w:vAlign w:val="center"/>
          </w:tcPr>
          <w:p w14:paraId="38BAF7D6">
            <w:pPr>
              <w:spacing w:line="240" w:lineRule="auto"/>
              <w:jc w:val="center"/>
              <w:rPr>
                <w:color w:val="000000"/>
                <w:sz w:val="20"/>
                <w:szCs w:val="20"/>
              </w:rPr>
            </w:pPr>
            <w:r>
              <w:rPr>
                <w:color w:val="000000"/>
                <w:sz w:val="20"/>
                <w:szCs w:val="20"/>
              </w:rPr>
              <w:t>总硬度（以CaCO</w:t>
            </w:r>
            <w:r>
              <w:rPr>
                <w:color w:val="000000"/>
                <w:sz w:val="20"/>
                <w:szCs w:val="20"/>
                <w:vertAlign w:val="subscript"/>
              </w:rPr>
              <w:t>3</w:t>
            </w:r>
            <w:r>
              <w:rPr>
                <w:color w:val="000000"/>
                <w:sz w:val="20"/>
                <w:szCs w:val="20"/>
              </w:rPr>
              <w:t>计）</w:t>
            </w:r>
          </w:p>
        </w:tc>
        <w:tc>
          <w:tcPr>
            <w:tcW w:w="436" w:type="pct"/>
            <w:vAlign w:val="center"/>
          </w:tcPr>
          <w:p w14:paraId="565C0E34">
            <w:pPr>
              <w:spacing w:line="240" w:lineRule="auto"/>
              <w:jc w:val="center"/>
              <w:rPr>
                <w:color w:val="000000"/>
                <w:sz w:val="20"/>
                <w:szCs w:val="20"/>
              </w:rPr>
            </w:pPr>
            <w:r>
              <w:rPr>
                <w:color w:val="000000"/>
                <w:sz w:val="20"/>
                <w:szCs w:val="20"/>
              </w:rPr>
              <w:t>mg/L</w:t>
            </w:r>
          </w:p>
        </w:tc>
        <w:tc>
          <w:tcPr>
            <w:tcW w:w="479" w:type="pct"/>
            <w:vAlign w:val="center"/>
          </w:tcPr>
          <w:p w14:paraId="0DE1054A">
            <w:pPr>
              <w:spacing w:line="240" w:lineRule="auto"/>
              <w:jc w:val="center"/>
              <w:rPr>
                <w:color w:val="000000"/>
                <w:sz w:val="20"/>
                <w:szCs w:val="20"/>
              </w:rPr>
            </w:pPr>
            <w:r>
              <w:rPr>
                <w:color w:val="000000"/>
                <w:sz w:val="20"/>
                <w:szCs w:val="20"/>
              </w:rPr>
              <w:t>≤450</w:t>
            </w:r>
          </w:p>
        </w:tc>
        <w:tc>
          <w:tcPr>
            <w:tcW w:w="293" w:type="pct"/>
            <w:vAlign w:val="center"/>
          </w:tcPr>
          <w:p w14:paraId="08D428AC">
            <w:pPr>
              <w:spacing w:line="240" w:lineRule="auto"/>
              <w:jc w:val="center"/>
              <w:rPr>
                <w:color w:val="000000"/>
                <w:sz w:val="20"/>
                <w:szCs w:val="20"/>
              </w:rPr>
            </w:pPr>
            <w:r>
              <w:rPr>
                <w:color w:val="000000"/>
                <w:sz w:val="20"/>
                <w:szCs w:val="20"/>
              </w:rPr>
              <w:t>15</w:t>
            </w:r>
          </w:p>
        </w:tc>
        <w:tc>
          <w:tcPr>
            <w:tcW w:w="1036" w:type="pct"/>
            <w:vAlign w:val="center"/>
          </w:tcPr>
          <w:p w14:paraId="6A61035E">
            <w:pPr>
              <w:spacing w:line="240" w:lineRule="auto"/>
              <w:jc w:val="center"/>
              <w:rPr>
                <w:color w:val="000000"/>
                <w:sz w:val="20"/>
                <w:szCs w:val="20"/>
              </w:rPr>
            </w:pPr>
            <w:r>
              <w:rPr>
                <w:color w:val="000000"/>
                <w:sz w:val="20"/>
                <w:szCs w:val="20"/>
              </w:rPr>
              <w:t>菌落总数</w:t>
            </w:r>
          </w:p>
        </w:tc>
        <w:tc>
          <w:tcPr>
            <w:tcW w:w="684" w:type="pct"/>
            <w:vAlign w:val="center"/>
          </w:tcPr>
          <w:p w14:paraId="75E9463D">
            <w:pPr>
              <w:spacing w:line="240" w:lineRule="auto"/>
              <w:jc w:val="center"/>
              <w:rPr>
                <w:color w:val="000000"/>
                <w:sz w:val="20"/>
                <w:szCs w:val="20"/>
              </w:rPr>
            </w:pPr>
            <w:r>
              <w:rPr>
                <w:color w:val="000000"/>
                <w:sz w:val="20"/>
                <w:szCs w:val="20"/>
              </w:rPr>
              <w:t>CFU/ml</w:t>
            </w:r>
          </w:p>
        </w:tc>
        <w:tc>
          <w:tcPr>
            <w:tcW w:w="510" w:type="pct"/>
            <w:vAlign w:val="center"/>
          </w:tcPr>
          <w:p w14:paraId="4CF6D2EA">
            <w:pPr>
              <w:spacing w:line="240" w:lineRule="auto"/>
              <w:jc w:val="center"/>
              <w:rPr>
                <w:color w:val="000000"/>
                <w:sz w:val="20"/>
                <w:szCs w:val="20"/>
              </w:rPr>
            </w:pPr>
            <w:r>
              <w:rPr>
                <w:color w:val="000000"/>
                <w:sz w:val="20"/>
                <w:szCs w:val="20"/>
              </w:rPr>
              <w:t>≤100</w:t>
            </w:r>
          </w:p>
        </w:tc>
      </w:tr>
      <w:tr w14:paraId="2EAE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1" w:type="pct"/>
            <w:vAlign w:val="center"/>
          </w:tcPr>
          <w:p w14:paraId="245C33AB">
            <w:pPr>
              <w:spacing w:line="240" w:lineRule="auto"/>
              <w:jc w:val="center"/>
              <w:rPr>
                <w:color w:val="000000"/>
                <w:sz w:val="20"/>
                <w:szCs w:val="20"/>
              </w:rPr>
            </w:pPr>
            <w:r>
              <w:rPr>
                <w:color w:val="000000"/>
                <w:sz w:val="20"/>
                <w:szCs w:val="20"/>
              </w:rPr>
              <w:t>3</w:t>
            </w:r>
          </w:p>
        </w:tc>
        <w:tc>
          <w:tcPr>
            <w:tcW w:w="1410" w:type="pct"/>
            <w:vAlign w:val="center"/>
          </w:tcPr>
          <w:p w14:paraId="551D405C">
            <w:pPr>
              <w:spacing w:line="240" w:lineRule="auto"/>
              <w:jc w:val="center"/>
              <w:rPr>
                <w:color w:val="000000"/>
                <w:sz w:val="20"/>
                <w:szCs w:val="20"/>
              </w:rPr>
            </w:pPr>
            <w:r>
              <w:rPr>
                <w:color w:val="000000"/>
                <w:sz w:val="20"/>
                <w:szCs w:val="20"/>
              </w:rPr>
              <w:t>溶解性总固体</w:t>
            </w:r>
          </w:p>
        </w:tc>
        <w:tc>
          <w:tcPr>
            <w:tcW w:w="436" w:type="pct"/>
            <w:vAlign w:val="center"/>
          </w:tcPr>
          <w:p w14:paraId="1329903E">
            <w:pPr>
              <w:spacing w:line="240" w:lineRule="auto"/>
              <w:jc w:val="center"/>
              <w:rPr>
                <w:color w:val="000000"/>
                <w:sz w:val="20"/>
                <w:szCs w:val="20"/>
              </w:rPr>
            </w:pPr>
            <w:r>
              <w:rPr>
                <w:color w:val="000000"/>
                <w:sz w:val="20"/>
                <w:szCs w:val="20"/>
              </w:rPr>
              <w:t>mg/L</w:t>
            </w:r>
          </w:p>
        </w:tc>
        <w:tc>
          <w:tcPr>
            <w:tcW w:w="479" w:type="pct"/>
            <w:vAlign w:val="center"/>
          </w:tcPr>
          <w:p w14:paraId="70FA3E5B">
            <w:pPr>
              <w:spacing w:line="240" w:lineRule="auto"/>
              <w:jc w:val="center"/>
              <w:rPr>
                <w:color w:val="000000"/>
                <w:sz w:val="20"/>
                <w:szCs w:val="20"/>
              </w:rPr>
            </w:pPr>
            <w:r>
              <w:rPr>
                <w:color w:val="000000"/>
                <w:sz w:val="20"/>
                <w:szCs w:val="20"/>
              </w:rPr>
              <w:t>≤1000</w:t>
            </w:r>
          </w:p>
        </w:tc>
        <w:tc>
          <w:tcPr>
            <w:tcW w:w="2523" w:type="pct"/>
            <w:gridSpan w:val="4"/>
            <w:vAlign w:val="center"/>
          </w:tcPr>
          <w:p w14:paraId="7BE6599A">
            <w:pPr>
              <w:spacing w:line="240" w:lineRule="auto"/>
              <w:jc w:val="center"/>
              <w:rPr>
                <w:color w:val="000000"/>
                <w:sz w:val="20"/>
                <w:szCs w:val="20"/>
              </w:rPr>
            </w:pPr>
            <w:r>
              <w:rPr>
                <w:color w:val="000000"/>
                <w:sz w:val="20"/>
                <w:szCs w:val="20"/>
              </w:rPr>
              <w:t>毒理学指标</w:t>
            </w:r>
          </w:p>
        </w:tc>
      </w:tr>
      <w:tr w14:paraId="12B5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1" w:type="pct"/>
            <w:vAlign w:val="center"/>
          </w:tcPr>
          <w:p w14:paraId="6DA6C051">
            <w:pPr>
              <w:spacing w:line="240" w:lineRule="auto"/>
              <w:jc w:val="center"/>
              <w:rPr>
                <w:color w:val="000000"/>
                <w:sz w:val="20"/>
                <w:szCs w:val="20"/>
              </w:rPr>
            </w:pPr>
            <w:r>
              <w:rPr>
                <w:color w:val="000000"/>
                <w:sz w:val="20"/>
                <w:szCs w:val="20"/>
              </w:rPr>
              <w:t>4</w:t>
            </w:r>
          </w:p>
        </w:tc>
        <w:tc>
          <w:tcPr>
            <w:tcW w:w="1410" w:type="pct"/>
            <w:vAlign w:val="center"/>
          </w:tcPr>
          <w:p w14:paraId="5DD9F05B">
            <w:pPr>
              <w:spacing w:line="240" w:lineRule="auto"/>
              <w:jc w:val="center"/>
              <w:rPr>
                <w:color w:val="000000"/>
                <w:sz w:val="20"/>
                <w:szCs w:val="20"/>
              </w:rPr>
            </w:pPr>
            <w:r>
              <w:rPr>
                <w:color w:val="000000"/>
                <w:sz w:val="20"/>
                <w:szCs w:val="20"/>
              </w:rPr>
              <w:t>硫酸盐</w:t>
            </w:r>
          </w:p>
        </w:tc>
        <w:tc>
          <w:tcPr>
            <w:tcW w:w="436" w:type="pct"/>
            <w:vAlign w:val="center"/>
          </w:tcPr>
          <w:p w14:paraId="124F7C99">
            <w:pPr>
              <w:spacing w:line="240" w:lineRule="auto"/>
              <w:jc w:val="center"/>
              <w:rPr>
                <w:color w:val="000000"/>
                <w:sz w:val="20"/>
                <w:szCs w:val="20"/>
              </w:rPr>
            </w:pPr>
            <w:r>
              <w:rPr>
                <w:color w:val="000000"/>
                <w:sz w:val="20"/>
                <w:szCs w:val="20"/>
              </w:rPr>
              <w:t>mg/L</w:t>
            </w:r>
          </w:p>
        </w:tc>
        <w:tc>
          <w:tcPr>
            <w:tcW w:w="479" w:type="pct"/>
            <w:vAlign w:val="center"/>
          </w:tcPr>
          <w:p w14:paraId="047CEF0D">
            <w:pPr>
              <w:spacing w:line="240" w:lineRule="auto"/>
              <w:jc w:val="center"/>
              <w:rPr>
                <w:color w:val="000000"/>
                <w:sz w:val="20"/>
                <w:szCs w:val="20"/>
              </w:rPr>
            </w:pPr>
            <w:r>
              <w:rPr>
                <w:color w:val="000000"/>
                <w:sz w:val="20"/>
                <w:szCs w:val="20"/>
              </w:rPr>
              <w:t>≤250</w:t>
            </w:r>
          </w:p>
        </w:tc>
        <w:tc>
          <w:tcPr>
            <w:tcW w:w="293" w:type="pct"/>
            <w:vAlign w:val="center"/>
          </w:tcPr>
          <w:p w14:paraId="534FCE14">
            <w:pPr>
              <w:spacing w:line="240" w:lineRule="auto"/>
              <w:jc w:val="center"/>
              <w:rPr>
                <w:color w:val="000000"/>
                <w:sz w:val="20"/>
                <w:szCs w:val="20"/>
              </w:rPr>
            </w:pPr>
            <w:r>
              <w:rPr>
                <w:color w:val="000000"/>
                <w:sz w:val="20"/>
                <w:szCs w:val="20"/>
              </w:rPr>
              <w:t>16</w:t>
            </w:r>
          </w:p>
        </w:tc>
        <w:tc>
          <w:tcPr>
            <w:tcW w:w="1036" w:type="pct"/>
            <w:vAlign w:val="center"/>
          </w:tcPr>
          <w:p w14:paraId="2E85109F">
            <w:pPr>
              <w:spacing w:line="240" w:lineRule="auto"/>
              <w:jc w:val="center"/>
              <w:rPr>
                <w:color w:val="000000"/>
                <w:sz w:val="20"/>
                <w:szCs w:val="20"/>
              </w:rPr>
            </w:pPr>
            <w:r>
              <w:rPr>
                <w:color w:val="000000"/>
                <w:sz w:val="20"/>
                <w:szCs w:val="20"/>
              </w:rPr>
              <w:t>亚硝酸盐（以N计）</w:t>
            </w:r>
          </w:p>
        </w:tc>
        <w:tc>
          <w:tcPr>
            <w:tcW w:w="684" w:type="pct"/>
            <w:vAlign w:val="center"/>
          </w:tcPr>
          <w:p w14:paraId="67BB273F">
            <w:pPr>
              <w:spacing w:line="240" w:lineRule="auto"/>
              <w:jc w:val="center"/>
              <w:rPr>
                <w:color w:val="000000"/>
                <w:sz w:val="20"/>
                <w:szCs w:val="20"/>
              </w:rPr>
            </w:pPr>
            <w:r>
              <w:rPr>
                <w:color w:val="000000"/>
                <w:sz w:val="20"/>
                <w:szCs w:val="20"/>
              </w:rPr>
              <w:t>mg/L</w:t>
            </w:r>
          </w:p>
        </w:tc>
        <w:tc>
          <w:tcPr>
            <w:tcW w:w="510" w:type="pct"/>
            <w:vAlign w:val="center"/>
          </w:tcPr>
          <w:p w14:paraId="14FAE937">
            <w:pPr>
              <w:spacing w:line="240" w:lineRule="auto"/>
              <w:jc w:val="center"/>
              <w:rPr>
                <w:color w:val="000000"/>
                <w:sz w:val="20"/>
                <w:szCs w:val="20"/>
              </w:rPr>
            </w:pPr>
            <w:r>
              <w:rPr>
                <w:color w:val="000000"/>
                <w:sz w:val="20"/>
                <w:szCs w:val="20"/>
              </w:rPr>
              <w:t>≤1.00</w:t>
            </w:r>
          </w:p>
        </w:tc>
      </w:tr>
      <w:tr w14:paraId="1034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1" w:type="pct"/>
            <w:vAlign w:val="center"/>
          </w:tcPr>
          <w:p w14:paraId="634E2074">
            <w:pPr>
              <w:spacing w:line="240" w:lineRule="auto"/>
              <w:jc w:val="center"/>
              <w:rPr>
                <w:color w:val="000000"/>
                <w:sz w:val="20"/>
                <w:szCs w:val="20"/>
              </w:rPr>
            </w:pPr>
            <w:r>
              <w:rPr>
                <w:color w:val="000000"/>
                <w:sz w:val="20"/>
                <w:szCs w:val="20"/>
              </w:rPr>
              <w:t>5</w:t>
            </w:r>
          </w:p>
        </w:tc>
        <w:tc>
          <w:tcPr>
            <w:tcW w:w="1410" w:type="pct"/>
            <w:vAlign w:val="center"/>
          </w:tcPr>
          <w:p w14:paraId="58C51D7D">
            <w:pPr>
              <w:spacing w:line="240" w:lineRule="auto"/>
              <w:jc w:val="center"/>
              <w:rPr>
                <w:color w:val="000000"/>
                <w:sz w:val="20"/>
                <w:szCs w:val="20"/>
              </w:rPr>
            </w:pPr>
            <w:r>
              <w:rPr>
                <w:color w:val="000000"/>
                <w:sz w:val="20"/>
                <w:szCs w:val="20"/>
              </w:rPr>
              <w:t>氯化物</w:t>
            </w:r>
          </w:p>
        </w:tc>
        <w:tc>
          <w:tcPr>
            <w:tcW w:w="436" w:type="pct"/>
            <w:vAlign w:val="center"/>
          </w:tcPr>
          <w:p w14:paraId="49E3F19D">
            <w:pPr>
              <w:spacing w:line="240" w:lineRule="auto"/>
              <w:jc w:val="center"/>
              <w:rPr>
                <w:color w:val="000000"/>
                <w:sz w:val="20"/>
                <w:szCs w:val="20"/>
              </w:rPr>
            </w:pPr>
            <w:r>
              <w:rPr>
                <w:color w:val="000000"/>
                <w:sz w:val="20"/>
                <w:szCs w:val="20"/>
              </w:rPr>
              <w:t>mg/L</w:t>
            </w:r>
          </w:p>
        </w:tc>
        <w:tc>
          <w:tcPr>
            <w:tcW w:w="479" w:type="pct"/>
            <w:vAlign w:val="center"/>
          </w:tcPr>
          <w:p w14:paraId="46FEFC7C">
            <w:pPr>
              <w:spacing w:line="240" w:lineRule="auto"/>
              <w:jc w:val="center"/>
              <w:rPr>
                <w:color w:val="000000"/>
                <w:sz w:val="20"/>
                <w:szCs w:val="20"/>
              </w:rPr>
            </w:pPr>
            <w:r>
              <w:rPr>
                <w:color w:val="000000"/>
                <w:sz w:val="20"/>
                <w:szCs w:val="20"/>
              </w:rPr>
              <w:t>≤250</w:t>
            </w:r>
          </w:p>
        </w:tc>
        <w:tc>
          <w:tcPr>
            <w:tcW w:w="293" w:type="pct"/>
            <w:vAlign w:val="center"/>
          </w:tcPr>
          <w:p w14:paraId="41279177">
            <w:pPr>
              <w:spacing w:line="240" w:lineRule="auto"/>
              <w:jc w:val="center"/>
              <w:rPr>
                <w:color w:val="000000"/>
                <w:sz w:val="20"/>
                <w:szCs w:val="20"/>
              </w:rPr>
            </w:pPr>
            <w:r>
              <w:rPr>
                <w:color w:val="000000"/>
                <w:sz w:val="20"/>
                <w:szCs w:val="20"/>
              </w:rPr>
              <w:t>17</w:t>
            </w:r>
          </w:p>
        </w:tc>
        <w:tc>
          <w:tcPr>
            <w:tcW w:w="1036" w:type="pct"/>
            <w:vAlign w:val="center"/>
          </w:tcPr>
          <w:p w14:paraId="49A8F838">
            <w:pPr>
              <w:spacing w:line="240" w:lineRule="auto"/>
              <w:jc w:val="center"/>
              <w:rPr>
                <w:color w:val="000000"/>
                <w:sz w:val="20"/>
                <w:szCs w:val="20"/>
              </w:rPr>
            </w:pPr>
            <w:r>
              <w:rPr>
                <w:color w:val="000000"/>
                <w:sz w:val="20"/>
                <w:szCs w:val="20"/>
              </w:rPr>
              <w:t>硝酸盐（以N计）</w:t>
            </w:r>
          </w:p>
        </w:tc>
        <w:tc>
          <w:tcPr>
            <w:tcW w:w="684" w:type="pct"/>
            <w:vAlign w:val="center"/>
          </w:tcPr>
          <w:p w14:paraId="22B55C0F">
            <w:pPr>
              <w:spacing w:line="240" w:lineRule="auto"/>
              <w:jc w:val="center"/>
              <w:rPr>
                <w:color w:val="000000"/>
                <w:sz w:val="20"/>
                <w:szCs w:val="20"/>
              </w:rPr>
            </w:pPr>
            <w:r>
              <w:rPr>
                <w:color w:val="000000"/>
                <w:sz w:val="20"/>
                <w:szCs w:val="20"/>
              </w:rPr>
              <w:t>mg/L</w:t>
            </w:r>
          </w:p>
        </w:tc>
        <w:tc>
          <w:tcPr>
            <w:tcW w:w="510" w:type="pct"/>
            <w:vAlign w:val="center"/>
          </w:tcPr>
          <w:p w14:paraId="2380FBC1">
            <w:pPr>
              <w:spacing w:line="240" w:lineRule="auto"/>
              <w:jc w:val="center"/>
              <w:rPr>
                <w:color w:val="000000"/>
                <w:sz w:val="20"/>
                <w:szCs w:val="20"/>
              </w:rPr>
            </w:pPr>
            <w:r>
              <w:rPr>
                <w:color w:val="000000"/>
                <w:sz w:val="20"/>
                <w:szCs w:val="20"/>
              </w:rPr>
              <w:t>≤20.0</w:t>
            </w:r>
          </w:p>
        </w:tc>
      </w:tr>
      <w:tr w14:paraId="258E9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1" w:type="pct"/>
            <w:vAlign w:val="center"/>
          </w:tcPr>
          <w:p w14:paraId="7984F6C5">
            <w:pPr>
              <w:spacing w:line="240" w:lineRule="auto"/>
              <w:jc w:val="center"/>
              <w:rPr>
                <w:color w:val="000000"/>
                <w:sz w:val="20"/>
                <w:szCs w:val="20"/>
              </w:rPr>
            </w:pPr>
            <w:r>
              <w:rPr>
                <w:color w:val="000000"/>
                <w:sz w:val="20"/>
                <w:szCs w:val="20"/>
              </w:rPr>
              <w:t>6</w:t>
            </w:r>
          </w:p>
        </w:tc>
        <w:tc>
          <w:tcPr>
            <w:tcW w:w="1410" w:type="pct"/>
            <w:vAlign w:val="center"/>
          </w:tcPr>
          <w:p w14:paraId="6620DFF4">
            <w:pPr>
              <w:spacing w:line="240" w:lineRule="auto"/>
              <w:jc w:val="center"/>
              <w:rPr>
                <w:color w:val="000000"/>
                <w:sz w:val="20"/>
                <w:szCs w:val="20"/>
              </w:rPr>
            </w:pPr>
            <w:r>
              <w:rPr>
                <w:color w:val="000000"/>
                <w:sz w:val="20"/>
                <w:szCs w:val="20"/>
              </w:rPr>
              <w:t>铁（Fe）</w:t>
            </w:r>
          </w:p>
        </w:tc>
        <w:tc>
          <w:tcPr>
            <w:tcW w:w="436" w:type="pct"/>
            <w:vAlign w:val="center"/>
          </w:tcPr>
          <w:p w14:paraId="62B892A4">
            <w:pPr>
              <w:spacing w:line="240" w:lineRule="auto"/>
              <w:jc w:val="center"/>
              <w:rPr>
                <w:color w:val="000000"/>
                <w:sz w:val="20"/>
                <w:szCs w:val="20"/>
              </w:rPr>
            </w:pPr>
            <w:r>
              <w:rPr>
                <w:color w:val="000000"/>
                <w:sz w:val="20"/>
                <w:szCs w:val="20"/>
              </w:rPr>
              <w:t>mg/L</w:t>
            </w:r>
          </w:p>
        </w:tc>
        <w:tc>
          <w:tcPr>
            <w:tcW w:w="479" w:type="pct"/>
            <w:vAlign w:val="center"/>
          </w:tcPr>
          <w:p w14:paraId="7DA56B16">
            <w:pPr>
              <w:spacing w:line="240" w:lineRule="auto"/>
              <w:jc w:val="center"/>
              <w:rPr>
                <w:color w:val="000000"/>
                <w:sz w:val="20"/>
                <w:szCs w:val="20"/>
              </w:rPr>
            </w:pPr>
            <w:r>
              <w:rPr>
                <w:color w:val="000000"/>
                <w:sz w:val="20"/>
                <w:szCs w:val="20"/>
              </w:rPr>
              <w:t>≤0.3</w:t>
            </w:r>
          </w:p>
        </w:tc>
        <w:tc>
          <w:tcPr>
            <w:tcW w:w="293" w:type="pct"/>
            <w:vAlign w:val="center"/>
          </w:tcPr>
          <w:p w14:paraId="348589FF">
            <w:pPr>
              <w:spacing w:line="240" w:lineRule="auto"/>
              <w:jc w:val="center"/>
              <w:rPr>
                <w:color w:val="000000"/>
                <w:sz w:val="20"/>
                <w:szCs w:val="20"/>
              </w:rPr>
            </w:pPr>
            <w:r>
              <w:rPr>
                <w:color w:val="000000"/>
                <w:sz w:val="20"/>
                <w:szCs w:val="20"/>
              </w:rPr>
              <w:t>18</w:t>
            </w:r>
          </w:p>
        </w:tc>
        <w:tc>
          <w:tcPr>
            <w:tcW w:w="1036" w:type="pct"/>
            <w:vAlign w:val="center"/>
          </w:tcPr>
          <w:p w14:paraId="3BB9CEC4">
            <w:pPr>
              <w:spacing w:line="240" w:lineRule="auto"/>
              <w:jc w:val="center"/>
              <w:rPr>
                <w:color w:val="000000"/>
                <w:sz w:val="20"/>
                <w:szCs w:val="20"/>
              </w:rPr>
            </w:pPr>
            <w:r>
              <w:rPr>
                <w:color w:val="000000"/>
                <w:sz w:val="20"/>
                <w:szCs w:val="20"/>
              </w:rPr>
              <w:t>氰化物</w:t>
            </w:r>
          </w:p>
        </w:tc>
        <w:tc>
          <w:tcPr>
            <w:tcW w:w="684" w:type="pct"/>
            <w:vAlign w:val="center"/>
          </w:tcPr>
          <w:p w14:paraId="741EE4CF">
            <w:pPr>
              <w:spacing w:line="240" w:lineRule="auto"/>
              <w:jc w:val="center"/>
              <w:rPr>
                <w:color w:val="000000"/>
                <w:sz w:val="20"/>
                <w:szCs w:val="20"/>
              </w:rPr>
            </w:pPr>
            <w:r>
              <w:rPr>
                <w:color w:val="000000"/>
                <w:sz w:val="20"/>
                <w:szCs w:val="20"/>
              </w:rPr>
              <w:t>mg/L</w:t>
            </w:r>
          </w:p>
        </w:tc>
        <w:tc>
          <w:tcPr>
            <w:tcW w:w="510" w:type="pct"/>
            <w:vAlign w:val="center"/>
          </w:tcPr>
          <w:p w14:paraId="6C2AE6C0">
            <w:pPr>
              <w:spacing w:line="240" w:lineRule="auto"/>
              <w:jc w:val="center"/>
              <w:rPr>
                <w:color w:val="000000"/>
                <w:sz w:val="20"/>
                <w:szCs w:val="20"/>
              </w:rPr>
            </w:pPr>
            <w:r>
              <w:rPr>
                <w:color w:val="000000"/>
                <w:sz w:val="20"/>
                <w:szCs w:val="20"/>
              </w:rPr>
              <w:t>≤0.05</w:t>
            </w:r>
          </w:p>
        </w:tc>
      </w:tr>
      <w:tr w14:paraId="607B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1" w:type="pct"/>
            <w:vAlign w:val="center"/>
          </w:tcPr>
          <w:p w14:paraId="4BB8D84B">
            <w:pPr>
              <w:spacing w:line="240" w:lineRule="auto"/>
              <w:jc w:val="center"/>
              <w:rPr>
                <w:color w:val="000000"/>
                <w:sz w:val="20"/>
                <w:szCs w:val="20"/>
              </w:rPr>
            </w:pPr>
            <w:r>
              <w:rPr>
                <w:color w:val="000000"/>
                <w:sz w:val="20"/>
                <w:szCs w:val="20"/>
              </w:rPr>
              <w:t>7</w:t>
            </w:r>
          </w:p>
        </w:tc>
        <w:tc>
          <w:tcPr>
            <w:tcW w:w="1410" w:type="pct"/>
            <w:vAlign w:val="center"/>
          </w:tcPr>
          <w:p w14:paraId="674EDE9A">
            <w:pPr>
              <w:spacing w:line="240" w:lineRule="auto"/>
              <w:jc w:val="center"/>
              <w:rPr>
                <w:color w:val="000000"/>
                <w:sz w:val="20"/>
                <w:szCs w:val="20"/>
              </w:rPr>
            </w:pPr>
            <w:r>
              <w:rPr>
                <w:color w:val="000000"/>
                <w:sz w:val="20"/>
                <w:szCs w:val="20"/>
              </w:rPr>
              <w:t>锰（Mn）</w:t>
            </w:r>
          </w:p>
        </w:tc>
        <w:tc>
          <w:tcPr>
            <w:tcW w:w="436" w:type="pct"/>
            <w:vAlign w:val="center"/>
          </w:tcPr>
          <w:p w14:paraId="2CB3286F">
            <w:pPr>
              <w:spacing w:line="240" w:lineRule="auto"/>
              <w:jc w:val="center"/>
              <w:rPr>
                <w:color w:val="000000"/>
                <w:sz w:val="20"/>
                <w:szCs w:val="20"/>
              </w:rPr>
            </w:pPr>
            <w:r>
              <w:rPr>
                <w:color w:val="000000"/>
                <w:sz w:val="20"/>
                <w:szCs w:val="20"/>
              </w:rPr>
              <w:t>mg/L</w:t>
            </w:r>
          </w:p>
        </w:tc>
        <w:tc>
          <w:tcPr>
            <w:tcW w:w="479" w:type="pct"/>
            <w:vAlign w:val="center"/>
          </w:tcPr>
          <w:p w14:paraId="70663ED6">
            <w:pPr>
              <w:spacing w:line="240" w:lineRule="auto"/>
              <w:jc w:val="center"/>
              <w:rPr>
                <w:color w:val="000000"/>
                <w:sz w:val="20"/>
                <w:szCs w:val="20"/>
              </w:rPr>
            </w:pPr>
            <w:r>
              <w:rPr>
                <w:color w:val="000000"/>
                <w:sz w:val="20"/>
                <w:szCs w:val="20"/>
              </w:rPr>
              <w:t>≤0.10</w:t>
            </w:r>
          </w:p>
        </w:tc>
        <w:tc>
          <w:tcPr>
            <w:tcW w:w="293" w:type="pct"/>
            <w:vAlign w:val="center"/>
          </w:tcPr>
          <w:p w14:paraId="0BDA7A15">
            <w:pPr>
              <w:spacing w:line="240" w:lineRule="auto"/>
              <w:jc w:val="center"/>
              <w:rPr>
                <w:color w:val="000000"/>
                <w:sz w:val="20"/>
                <w:szCs w:val="20"/>
              </w:rPr>
            </w:pPr>
            <w:r>
              <w:rPr>
                <w:color w:val="000000"/>
                <w:sz w:val="20"/>
                <w:szCs w:val="20"/>
              </w:rPr>
              <w:t>19</w:t>
            </w:r>
          </w:p>
        </w:tc>
        <w:tc>
          <w:tcPr>
            <w:tcW w:w="1036" w:type="pct"/>
            <w:vAlign w:val="center"/>
          </w:tcPr>
          <w:p w14:paraId="66338301">
            <w:pPr>
              <w:spacing w:line="240" w:lineRule="auto"/>
              <w:jc w:val="center"/>
              <w:rPr>
                <w:color w:val="000000"/>
                <w:sz w:val="20"/>
                <w:szCs w:val="20"/>
              </w:rPr>
            </w:pPr>
            <w:r>
              <w:rPr>
                <w:color w:val="000000"/>
                <w:sz w:val="20"/>
                <w:szCs w:val="20"/>
              </w:rPr>
              <w:t>氟化物</w:t>
            </w:r>
          </w:p>
        </w:tc>
        <w:tc>
          <w:tcPr>
            <w:tcW w:w="684" w:type="pct"/>
            <w:vAlign w:val="center"/>
          </w:tcPr>
          <w:p w14:paraId="5711639E">
            <w:pPr>
              <w:spacing w:line="240" w:lineRule="auto"/>
              <w:jc w:val="center"/>
              <w:rPr>
                <w:color w:val="000000"/>
                <w:sz w:val="20"/>
                <w:szCs w:val="20"/>
              </w:rPr>
            </w:pPr>
            <w:r>
              <w:rPr>
                <w:color w:val="000000"/>
                <w:sz w:val="20"/>
                <w:szCs w:val="20"/>
              </w:rPr>
              <w:t>mg/L</w:t>
            </w:r>
          </w:p>
        </w:tc>
        <w:tc>
          <w:tcPr>
            <w:tcW w:w="510" w:type="pct"/>
            <w:vAlign w:val="center"/>
          </w:tcPr>
          <w:p w14:paraId="38ACEDBB">
            <w:pPr>
              <w:spacing w:line="240" w:lineRule="auto"/>
              <w:jc w:val="center"/>
              <w:rPr>
                <w:color w:val="000000"/>
                <w:sz w:val="20"/>
                <w:szCs w:val="20"/>
              </w:rPr>
            </w:pPr>
            <w:r>
              <w:rPr>
                <w:color w:val="000000"/>
                <w:sz w:val="20"/>
                <w:szCs w:val="20"/>
              </w:rPr>
              <w:t>≤1.0</w:t>
            </w:r>
          </w:p>
        </w:tc>
      </w:tr>
      <w:tr w14:paraId="452A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1" w:type="pct"/>
            <w:vAlign w:val="center"/>
          </w:tcPr>
          <w:p w14:paraId="38FAB565">
            <w:pPr>
              <w:spacing w:line="240" w:lineRule="auto"/>
              <w:jc w:val="center"/>
              <w:rPr>
                <w:color w:val="000000"/>
                <w:sz w:val="20"/>
                <w:szCs w:val="20"/>
              </w:rPr>
            </w:pPr>
            <w:r>
              <w:rPr>
                <w:color w:val="000000"/>
                <w:sz w:val="20"/>
                <w:szCs w:val="20"/>
              </w:rPr>
              <w:t>8</w:t>
            </w:r>
          </w:p>
        </w:tc>
        <w:tc>
          <w:tcPr>
            <w:tcW w:w="1410" w:type="pct"/>
            <w:vAlign w:val="center"/>
          </w:tcPr>
          <w:p w14:paraId="7FC89457">
            <w:pPr>
              <w:spacing w:line="240" w:lineRule="auto"/>
              <w:jc w:val="center"/>
              <w:rPr>
                <w:color w:val="000000"/>
                <w:sz w:val="20"/>
                <w:szCs w:val="20"/>
              </w:rPr>
            </w:pPr>
            <w:r>
              <w:rPr>
                <w:color w:val="000000"/>
                <w:sz w:val="20"/>
                <w:szCs w:val="20"/>
              </w:rPr>
              <w:t>挥发性酚类（以苯酚计）</w:t>
            </w:r>
          </w:p>
        </w:tc>
        <w:tc>
          <w:tcPr>
            <w:tcW w:w="436" w:type="pct"/>
            <w:vAlign w:val="center"/>
          </w:tcPr>
          <w:p w14:paraId="30347B13">
            <w:pPr>
              <w:spacing w:line="240" w:lineRule="auto"/>
              <w:jc w:val="center"/>
              <w:rPr>
                <w:color w:val="000000"/>
                <w:sz w:val="20"/>
                <w:szCs w:val="20"/>
              </w:rPr>
            </w:pPr>
            <w:r>
              <w:rPr>
                <w:color w:val="000000"/>
                <w:sz w:val="20"/>
                <w:szCs w:val="20"/>
              </w:rPr>
              <w:t>mg/L</w:t>
            </w:r>
          </w:p>
        </w:tc>
        <w:tc>
          <w:tcPr>
            <w:tcW w:w="479" w:type="pct"/>
            <w:vAlign w:val="center"/>
          </w:tcPr>
          <w:p w14:paraId="43184262">
            <w:pPr>
              <w:spacing w:line="240" w:lineRule="auto"/>
              <w:jc w:val="center"/>
              <w:rPr>
                <w:color w:val="000000"/>
                <w:sz w:val="20"/>
                <w:szCs w:val="20"/>
              </w:rPr>
            </w:pPr>
            <w:r>
              <w:rPr>
                <w:color w:val="000000"/>
                <w:sz w:val="20"/>
                <w:szCs w:val="20"/>
              </w:rPr>
              <w:t>≤0.002</w:t>
            </w:r>
          </w:p>
        </w:tc>
        <w:tc>
          <w:tcPr>
            <w:tcW w:w="293" w:type="pct"/>
            <w:vAlign w:val="center"/>
          </w:tcPr>
          <w:p w14:paraId="45FFAADA">
            <w:pPr>
              <w:spacing w:line="240" w:lineRule="auto"/>
              <w:jc w:val="center"/>
              <w:rPr>
                <w:color w:val="000000"/>
                <w:sz w:val="20"/>
                <w:szCs w:val="20"/>
              </w:rPr>
            </w:pPr>
            <w:r>
              <w:rPr>
                <w:color w:val="000000"/>
                <w:sz w:val="20"/>
                <w:szCs w:val="20"/>
              </w:rPr>
              <w:t>20</w:t>
            </w:r>
          </w:p>
        </w:tc>
        <w:tc>
          <w:tcPr>
            <w:tcW w:w="1036" w:type="pct"/>
            <w:vAlign w:val="center"/>
          </w:tcPr>
          <w:p w14:paraId="306247DD">
            <w:pPr>
              <w:spacing w:line="240" w:lineRule="auto"/>
              <w:jc w:val="center"/>
              <w:rPr>
                <w:color w:val="000000"/>
                <w:sz w:val="20"/>
                <w:szCs w:val="20"/>
              </w:rPr>
            </w:pPr>
            <w:r>
              <w:rPr>
                <w:color w:val="000000"/>
                <w:sz w:val="20"/>
                <w:szCs w:val="20"/>
              </w:rPr>
              <w:t>汞（Hg）</w:t>
            </w:r>
          </w:p>
        </w:tc>
        <w:tc>
          <w:tcPr>
            <w:tcW w:w="684" w:type="pct"/>
            <w:vAlign w:val="center"/>
          </w:tcPr>
          <w:p w14:paraId="0C7018C0">
            <w:pPr>
              <w:spacing w:line="240" w:lineRule="auto"/>
              <w:jc w:val="center"/>
              <w:rPr>
                <w:color w:val="000000"/>
                <w:sz w:val="20"/>
                <w:szCs w:val="20"/>
              </w:rPr>
            </w:pPr>
            <w:r>
              <w:rPr>
                <w:color w:val="000000"/>
                <w:sz w:val="20"/>
                <w:szCs w:val="20"/>
              </w:rPr>
              <w:t>mg/L</w:t>
            </w:r>
          </w:p>
        </w:tc>
        <w:tc>
          <w:tcPr>
            <w:tcW w:w="510" w:type="pct"/>
            <w:vAlign w:val="center"/>
          </w:tcPr>
          <w:p w14:paraId="3DEF0FDD">
            <w:pPr>
              <w:spacing w:line="240" w:lineRule="auto"/>
              <w:jc w:val="center"/>
              <w:rPr>
                <w:color w:val="000000"/>
                <w:sz w:val="20"/>
                <w:szCs w:val="20"/>
              </w:rPr>
            </w:pPr>
            <w:r>
              <w:rPr>
                <w:color w:val="000000"/>
                <w:sz w:val="20"/>
                <w:szCs w:val="20"/>
              </w:rPr>
              <w:t>≤0.001</w:t>
            </w:r>
          </w:p>
        </w:tc>
      </w:tr>
      <w:tr w14:paraId="4CBE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1" w:type="pct"/>
            <w:vAlign w:val="center"/>
          </w:tcPr>
          <w:p w14:paraId="68682027">
            <w:pPr>
              <w:spacing w:line="240" w:lineRule="auto"/>
              <w:jc w:val="center"/>
              <w:rPr>
                <w:color w:val="000000"/>
                <w:sz w:val="20"/>
                <w:szCs w:val="20"/>
              </w:rPr>
            </w:pPr>
            <w:r>
              <w:rPr>
                <w:color w:val="000000"/>
                <w:sz w:val="20"/>
                <w:szCs w:val="20"/>
              </w:rPr>
              <w:t>9</w:t>
            </w:r>
          </w:p>
        </w:tc>
        <w:tc>
          <w:tcPr>
            <w:tcW w:w="1410" w:type="pct"/>
            <w:vAlign w:val="center"/>
          </w:tcPr>
          <w:p w14:paraId="0DD8C186">
            <w:pPr>
              <w:spacing w:line="240" w:lineRule="auto"/>
              <w:jc w:val="center"/>
              <w:rPr>
                <w:color w:val="000000"/>
                <w:sz w:val="20"/>
                <w:szCs w:val="20"/>
              </w:rPr>
            </w:pPr>
            <w:r>
              <w:rPr>
                <w:color w:val="000000"/>
                <w:sz w:val="20"/>
                <w:szCs w:val="20"/>
              </w:rPr>
              <w:t>阴离子表面活性剂</w:t>
            </w:r>
          </w:p>
        </w:tc>
        <w:tc>
          <w:tcPr>
            <w:tcW w:w="436" w:type="pct"/>
            <w:vAlign w:val="center"/>
          </w:tcPr>
          <w:p w14:paraId="205DE07C">
            <w:pPr>
              <w:spacing w:line="240" w:lineRule="auto"/>
              <w:jc w:val="center"/>
              <w:rPr>
                <w:color w:val="000000"/>
                <w:sz w:val="20"/>
                <w:szCs w:val="20"/>
              </w:rPr>
            </w:pPr>
            <w:r>
              <w:rPr>
                <w:color w:val="000000"/>
                <w:sz w:val="20"/>
                <w:szCs w:val="20"/>
              </w:rPr>
              <w:t>mg/L</w:t>
            </w:r>
          </w:p>
        </w:tc>
        <w:tc>
          <w:tcPr>
            <w:tcW w:w="479" w:type="pct"/>
            <w:vAlign w:val="center"/>
          </w:tcPr>
          <w:p w14:paraId="70D125F7">
            <w:pPr>
              <w:spacing w:line="240" w:lineRule="auto"/>
              <w:jc w:val="center"/>
              <w:rPr>
                <w:color w:val="000000"/>
                <w:sz w:val="20"/>
                <w:szCs w:val="20"/>
              </w:rPr>
            </w:pPr>
            <w:r>
              <w:rPr>
                <w:color w:val="000000"/>
                <w:sz w:val="20"/>
                <w:szCs w:val="20"/>
              </w:rPr>
              <w:t>≤0.3</w:t>
            </w:r>
          </w:p>
        </w:tc>
        <w:tc>
          <w:tcPr>
            <w:tcW w:w="293" w:type="pct"/>
            <w:vAlign w:val="center"/>
          </w:tcPr>
          <w:p w14:paraId="60177A17">
            <w:pPr>
              <w:spacing w:line="240" w:lineRule="auto"/>
              <w:jc w:val="center"/>
              <w:rPr>
                <w:color w:val="000000"/>
                <w:sz w:val="20"/>
                <w:szCs w:val="20"/>
              </w:rPr>
            </w:pPr>
            <w:r>
              <w:rPr>
                <w:color w:val="000000"/>
                <w:sz w:val="20"/>
                <w:szCs w:val="20"/>
              </w:rPr>
              <w:t>21</w:t>
            </w:r>
          </w:p>
        </w:tc>
        <w:tc>
          <w:tcPr>
            <w:tcW w:w="1036" w:type="pct"/>
            <w:vAlign w:val="center"/>
          </w:tcPr>
          <w:p w14:paraId="60B86C7C">
            <w:pPr>
              <w:spacing w:line="240" w:lineRule="auto"/>
              <w:jc w:val="center"/>
              <w:rPr>
                <w:color w:val="000000"/>
                <w:sz w:val="20"/>
                <w:szCs w:val="20"/>
              </w:rPr>
            </w:pPr>
            <w:r>
              <w:rPr>
                <w:color w:val="000000"/>
                <w:sz w:val="20"/>
                <w:szCs w:val="20"/>
              </w:rPr>
              <w:t>砷（As）</w:t>
            </w:r>
          </w:p>
        </w:tc>
        <w:tc>
          <w:tcPr>
            <w:tcW w:w="684" w:type="pct"/>
            <w:vAlign w:val="center"/>
          </w:tcPr>
          <w:p w14:paraId="67517BD3">
            <w:pPr>
              <w:spacing w:line="240" w:lineRule="auto"/>
              <w:jc w:val="center"/>
              <w:rPr>
                <w:color w:val="000000"/>
                <w:sz w:val="20"/>
                <w:szCs w:val="20"/>
              </w:rPr>
            </w:pPr>
            <w:r>
              <w:rPr>
                <w:color w:val="000000"/>
                <w:sz w:val="20"/>
                <w:szCs w:val="20"/>
              </w:rPr>
              <w:t>mg/L</w:t>
            </w:r>
          </w:p>
        </w:tc>
        <w:tc>
          <w:tcPr>
            <w:tcW w:w="510" w:type="pct"/>
            <w:vAlign w:val="center"/>
          </w:tcPr>
          <w:p w14:paraId="07A50B35">
            <w:pPr>
              <w:spacing w:line="240" w:lineRule="auto"/>
              <w:jc w:val="center"/>
              <w:rPr>
                <w:color w:val="000000"/>
                <w:sz w:val="20"/>
                <w:szCs w:val="20"/>
              </w:rPr>
            </w:pPr>
            <w:r>
              <w:rPr>
                <w:color w:val="000000"/>
                <w:sz w:val="20"/>
                <w:szCs w:val="20"/>
              </w:rPr>
              <w:t>≤0.01</w:t>
            </w:r>
          </w:p>
        </w:tc>
      </w:tr>
      <w:tr w14:paraId="5CB1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1" w:type="pct"/>
            <w:vAlign w:val="center"/>
          </w:tcPr>
          <w:p w14:paraId="2A994F6F">
            <w:pPr>
              <w:spacing w:line="240" w:lineRule="auto"/>
              <w:jc w:val="center"/>
              <w:rPr>
                <w:color w:val="000000"/>
                <w:sz w:val="20"/>
                <w:szCs w:val="20"/>
              </w:rPr>
            </w:pPr>
            <w:r>
              <w:rPr>
                <w:color w:val="000000"/>
                <w:sz w:val="20"/>
                <w:szCs w:val="20"/>
              </w:rPr>
              <w:t>10</w:t>
            </w:r>
          </w:p>
        </w:tc>
        <w:tc>
          <w:tcPr>
            <w:tcW w:w="1410" w:type="pct"/>
            <w:vAlign w:val="center"/>
          </w:tcPr>
          <w:p w14:paraId="1D4A438F">
            <w:pPr>
              <w:spacing w:line="240" w:lineRule="auto"/>
              <w:jc w:val="center"/>
              <w:rPr>
                <w:color w:val="000000"/>
                <w:sz w:val="20"/>
                <w:szCs w:val="20"/>
              </w:rPr>
            </w:pPr>
            <w:r>
              <w:rPr>
                <w:color w:val="000000"/>
                <w:sz w:val="20"/>
                <w:szCs w:val="20"/>
              </w:rPr>
              <w:t>耗氧量（CODMn法，以O</w:t>
            </w:r>
            <w:r>
              <w:rPr>
                <w:color w:val="000000"/>
                <w:sz w:val="20"/>
                <w:szCs w:val="20"/>
                <w:vertAlign w:val="subscript"/>
              </w:rPr>
              <w:t>2</w:t>
            </w:r>
            <w:r>
              <w:rPr>
                <w:color w:val="000000"/>
                <w:sz w:val="20"/>
                <w:szCs w:val="20"/>
              </w:rPr>
              <w:t>计）</w:t>
            </w:r>
          </w:p>
        </w:tc>
        <w:tc>
          <w:tcPr>
            <w:tcW w:w="436" w:type="pct"/>
            <w:vAlign w:val="center"/>
          </w:tcPr>
          <w:p w14:paraId="6E7CFB94">
            <w:pPr>
              <w:spacing w:line="240" w:lineRule="auto"/>
              <w:jc w:val="center"/>
              <w:rPr>
                <w:color w:val="000000"/>
                <w:sz w:val="20"/>
                <w:szCs w:val="20"/>
              </w:rPr>
            </w:pPr>
            <w:r>
              <w:rPr>
                <w:color w:val="000000"/>
                <w:sz w:val="20"/>
                <w:szCs w:val="20"/>
              </w:rPr>
              <w:t>mg/L</w:t>
            </w:r>
          </w:p>
        </w:tc>
        <w:tc>
          <w:tcPr>
            <w:tcW w:w="479" w:type="pct"/>
            <w:vAlign w:val="center"/>
          </w:tcPr>
          <w:p w14:paraId="6622E757">
            <w:pPr>
              <w:spacing w:line="240" w:lineRule="auto"/>
              <w:jc w:val="center"/>
              <w:rPr>
                <w:color w:val="000000"/>
                <w:sz w:val="20"/>
                <w:szCs w:val="20"/>
              </w:rPr>
            </w:pPr>
            <w:r>
              <w:rPr>
                <w:color w:val="000000"/>
                <w:sz w:val="20"/>
                <w:szCs w:val="20"/>
              </w:rPr>
              <w:t>≤3.0</w:t>
            </w:r>
          </w:p>
        </w:tc>
        <w:tc>
          <w:tcPr>
            <w:tcW w:w="293" w:type="pct"/>
            <w:vAlign w:val="center"/>
          </w:tcPr>
          <w:p w14:paraId="5E26C498">
            <w:pPr>
              <w:spacing w:line="240" w:lineRule="auto"/>
              <w:jc w:val="center"/>
              <w:rPr>
                <w:color w:val="000000"/>
                <w:sz w:val="20"/>
                <w:szCs w:val="20"/>
              </w:rPr>
            </w:pPr>
            <w:r>
              <w:rPr>
                <w:color w:val="000000"/>
                <w:sz w:val="20"/>
                <w:szCs w:val="20"/>
              </w:rPr>
              <w:t>22</w:t>
            </w:r>
          </w:p>
        </w:tc>
        <w:tc>
          <w:tcPr>
            <w:tcW w:w="1036" w:type="pct"/>
            <w:vAlign w:val="center"/>
          </w:tcPr>
          <w:p w14:paraId="276A0CEE">
            <w:pPr>
              <w:spacing w:line="240" w:lineRule="auto"/>
              <w:jc w:val="center"/>
              <w:rPr>
                <w:color w:val="000000"/>
                <w:sz w:val="20"/>
                <w:szCs w:val="20"/>
              </w:rPr>
            </w:pPr>
            <w:r>
              <w:rPr>
                <w:color w:val="000000"/>
                <w:sz w:val="20"/>
                <w:szCs w:val="20"/>
              </w:rPr>
              <w:t>镉（Cd）</w:t>
            </w:r>
          </w:p>
        </w:tc>
        <w:tc>
          <w:tcPr>
            <w:tcW w:w="684" w:type="pct"/>
            <w:vAlign w:val="center"/>
          </w:tcPr>
          <w:p w14:paraId="2C736C20">
            <w:pPr>
              <w:spacing w:line="240" w:lineRule="auto"/>
              <w:jc w:val="center"/>
              <w:rPr>
                <w:color w:val="000000"/>
                <w:sz w:val="20"/>
                <w:szCs w:val="20"/>
              </w:rPr>
            </w:pPr>
            <w:r>
              <w:rPr>
                <w:color w:val="000000"/>
                <w:sz w:val="20"/>
                <w:szCs w:val="20"/>
              </w:rPr>
              <w:t>mg/L</w:t>
            </w:r>
          </w:p>
        </w:tc>
        <w:tc>
          <w:tcPr>
            <w:tcW w:w="510" w:type="pct"/>
            <w:vAlign w:val="center"/>
          </w:tcPr>
          <w:p w14:paraId="33139F96">
            <w:pPr>
              <w:spacing w:line="240" w:lineRule="auto"/>
              <w:jc w:val="center"/>
              <w:rPr>
                <w:color w:val="000000"/>
                <w:sz w:val="20"/>
                <w:szCs w:val="20"/>
              </w:rPr>
            </w:pPr>
            <w:r>
              <w:rPr>
                <w:color w:val="000000"/>
                <w:sz w:val="20"/>
                <w:szCs w:val="20"/>
              </w:rPr>
              <w:t>≤0.005</w:t>
            </w:r>
          </w:p>
        </w:tc>
      </w:tr>
      <w:tr w14:paraId="5A07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1" w:type="pct"/>
            <w:vAlign w:val="center"/>
          </w:tcPr>
          <w:p w14:paraId="58A2F6A3">
            <w:pPr>
              <w:spacing w:line="240" w:lineRule="auto"/>
              <w:jc w:val="center"/>
              <w:rPr>
                <w:color w:val="000000"/>
                <w:sz w:val="20"/>
                <w:szCs w:val="20"/>
              </w:rPr>
            </w:pPr>
            <w:r>
              <w:rPr>
                <w:color w:val="000000"/>
                <w:sz w:val="20"/>
                <w:szCs w:val="20"/>
              </w:rPr>
              <w:t>11</w:t>
            </w:r>
          </w:p>
        </w:tc>
        <w:tc>
          <w:tcPr>
            <w:tcW w:w="1410" w:type="pct"/>
            <w:vAlign w:val="center"/>
          </w:tcPr>
          <w:p w14:paraId="1370669A">
            <w:pPr>
              <w:spacing w:line="240" w:lineRule="auto"/>
              <w:jc w:val="center"/>
              <w:rPr>
                <w:color w:val="000000"/>
                <w:sz w:val="20"/>
                <w:szCs w:val="20"/>
              </w:rPr>
            </w:pPr>
            <w:r>
              <w:rPr>
                <w:color w:val="000000"/>
                <w:sz w:val="20"/>
                <w:szCs w:val="20"/>
              </w:rPr>
              <w:t>氨氮（以N计）</w:t>
            </w:r>
          </w:p>
        </w:tc>
        <w:tc>
          <w:tcPr>
            <w:tcW w:w="436" w:type="pct"/>
            <w:vAlign w:val="center"/>
          </w:tcPr>
          <w:p w14:paraId="75D658D5">
            <w:pPr>
              <w:spacing w:line="240" w:lineRule="auto"/>
              <w:jc w:val="center"/>
              <w:rPr>
                <w:color w:val="000000"/>
                <w:sz w:val="20"/>
                <w:szCs w:val="20"/>
              </w:rPr>
            </w:pPr>
            <w:r>
              <w:rPr>
                <w:color w:val="000000"/>
                <w:sz w:val="20"/>
                <w:szCs w:val="20"/>
              </w:rPr>
              <w:t>mg/L</w:t>
            </w:r>
          </w:p>
        </w:tc>
        <w:tc>
          <w:tcPr>
            <w:tcW w:w="479" w:type="pct"/>
            <w:vAlign w:val="center"/>
          </w:tcPr>
          <w:p w14:paraId="14EC9C66">
            <w:pPr>
              <w:spacing w:line="240" w:lineRule="auto"/>
              <w:jc w:val="center"/>
              <w:rPr>
                <w:color w:val="000000"/>
                <w:sz w:val="20"/>
                <w:szCs w:val="20"/>
              </w:rPr>
            </w:pPr>
            <w:r>
              <w:rPr>
                <w:color w:val="000000"/>
                <w:sz w:val="20"/>
                <w:szCs w:val="20"/>
              </w:rPr>
              <w:t>≤0.50</w:t>
            </w:r>
          </w:p>
        </w:tc>
        <w:tc>
          <w:tcPr>
            <w:tcW w:w="293" w:type="pct"/>
            <w:vAlign w:val="center"/>
          </w:tcPr>
          <w:p w14:paraId="0247BC20">
            <w:pPr>
              <w:spacing w:line="240" w:lineRule="auto"/>
              <w:jc w:val="center"/>
              <w:rPr>
                <w:color w:val="000000"/>
                <w:sz w:val="20"/>
                <w:szCs w:val="20"/>
              </w:rPr>
            </w:pPr>
            <w:r>
              <w:rPr>
                <w:color w:val="000000"/>
                <w:sz w:val="20"/>
                <w:szCs w:val="20"/>
              </w:rPr>
              <w:t>23</w:t>
            </w:r>
          </w:p>
        </w:tc>
        <w:tc>
          <w:tcPr>
            <w:tcW w:w="1036" w:type="pct"/>
            <w:vAlign w:val="center"/>
          </w:tcPr>
          <w:p w14:paraId="7364CB9C">
            <w:pPr>
              <w:spacing w:line="240" w:lineRule="auto"/>
              <w:jc w:val="center"/>
              <w:rPr>
                <w:color w:val="000000"/>
                <w:sz w:val="20"/>
                <w:szCs w:val="20"/>
              </w:rPr>
            </w:pPr>
            <w:r>
              <w:rPr>
                <w:color w:val="000000"/>
                <w:sz w:val="20"/>
                <w:szCs w:val="20"/>
              </w:rPr>
              <w:t>铬（六价）（Cr</w:t>
            </w:r>
            <w:r>
              <w:rPr>
                <w:color w:val="000000"/>
                <w:sz w:val="20"/>
                <w:szCs w:val="20"/>
                <w:vertAlign w:val="subscript"/>
              </w:rPr>
              <w:t>6+</w:t>
            </w:r>
            <w:r>
              <w:rPr>
                <w:color w:val="000000"/>
                <w:sz w:val="20"/>
                <w:szCs w:val="20"/>
              </w:rPr>
              <w:t>）</w:t>
            </w:r>
          </w:p>
        </w:tc>
        <w:tc>
          <w:tcPr>
            <w:tcW w:w="684" w:type="pct"/>
            <w:vAlign w:val="center"/>
          </w:tcPr>
          <w:p w14:paraId="0FF87884">
            <w:pPr>
              <w:spacing w:line="240" w:lineRule="auto"/>
              <w:jc w:val="center"/>
              <w:rPr>
                <w:color w:val="000000"/>
                <w:sz w:val="20"/>
                <w:szCs w:val="20"/>
              </w:rPr>
            </w:pPr>
            <w:r>
              <w:rPr>
                <w:color w:val="000000"/>
                <w:sz w:val="20"/>
                <w:szCs w:val="20"/>
              </w:rPr>
              <w:t>mg/L</w:t>
            </w:r>
          </w:p>
        </w:tc>
        <w:tc>
          <w:tcPr>
            <w:tcW w:w="510" w:type="pct"/>
            <w:vAlign w:val="center"/>
          </w:tcPr>
          <w:p w14:paraId="792FC76E">
            <w:pPr>
              <w:spacing w:line="240" w:lineRule="auto"/>
              <w:jc w:val="center"/>
              <w:rPr>
                <w:color w:val="000000"/>
                <w:sz w:val="20"/>
                <w:szCs w:val="20"/>
              </w:rPr>
            </w:pPr>
            <w:r>
              <w:rPr>
                <w:color w:val="000000"/>
                <w:sz w:val="20"/>
                <w:szCs w:val="20"/>
              </w:rPr>
              <w:t>≤0.05</w:t>
            </w:r>
          </w:p>
        </w:tc>
      </w:tr>
      <w:tr w14:paraId="1AAB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1" w:type="pct"/>
            <w:vAlign w:val="center"/>
          </w:tcPr>
          <w:p w14:paraId="15DA6C78">
            <w:pPr>
              <w:spacing w:line="240" w:lineRule="auto"/>
              <w:jc w:val="center"/>
              <w:rPr>
                <w:color w:val="000000"/>
                <w:sz w:val="20"/>
                <w:szCs w:val="20"/>
              </w:rPr>
            </w:pPr>
            <w:r>
              <w:rPr>
                <w:color w:val="000000"/>
                <w:sz w:val="20"/>
                <w:szCs w:val="20"/>
              </w:rPr>
              <w:t>12</w:t>
            </w:r>
          </w:p>
        </w:tc>
        <w:tc>
          <w:tcPr>
            <w:tcW w:w="1410" w:type="pct"/>
            <w:vAlign w:val="center"/>
          </w:tcPr>
          <w:p w14:paraId="7033E3A0">
            <w:pPr>
              <w:spacing w:line="240" w:lineRule="auto"/>
              <w:jc w:val="center"/>
              <w:rPr>
                <w:color w:val="000000"/>
                <w:sz w:val="20"/>
                <w:szCs w:val="20"/>
              </w:rPr>
            </w:pPr>
            <w:r>
              <w:rPr>
                <w:color w:val="000000"/>
                <w:sz w:val="20"/>
                <w:szCs w:val="20"/>
              </w:rPr>
              <w:t>硫化物</w:t>
            </w:r>
          </w:p>
        </w:tc>
        <w:tc>
          <w:tcPr>
            <w:tcW w:w="436" w:type="pct"/>
            <w:vAlign w:val="center"/>
          </w:tcPr>
          <w:p w14:paraId="4B2FBB26">
            <w:pPr>
              <w:spacing w:line="240" w:lineRule="auto"/>
              <w:jc w:val="center"/>
              <w:rPr>
                <w:color w:val="000000"/>
                <w:sz w:val="20"/>
                <w:szCs w:val="20"/>
              </w:rPr>
            </w:pPr>
            <w:r>
              <w:rPr>
                <w:color w:val="000000"/>
                <w:sz w:val="20"/>
                <w:szCs w:val="20"/>
              </w:rPr>
              <w:t>mg/L</w:t>
            </w:r>
          </w:p>
        </w:tc>
        <w:tc>
          <w:tcPr>
            <w:tcW w:w="479" w:type="pct"/>
            <w:vAlign w:val="center"/>
          </w:tcPr>
          <w:p w14:paraId="6E44E1AB">
            <w:pPr>
              <w:spacing w:line="240" w:lineRule="auto"/>
              <w:jc w:val="center"/>
              <w:rPr>
                <w:color w:val="000000"/>
                <w:sz w:val="20"/>
                <w:szCs w:val="20"/>
              </w:rPr>
            </w:pPr>
            <w:r>
              <w:rPr>
                <w:color w:val="000000"/>
                <w:sz w:val="20"/>
                <w:szCs w:val="20"/>
              </w:rPr>
              <w:t>≤0.02</w:t>
            </w:r>
          </w:p>
        </w:tc>
        <w:tc>
          <w:tcPr>
            <w:tcW w:w="293" w:type="pct"/>
            <w:vAlign w:val="center"/>
          </w:tcPr>
          <w:p w14:paraId="014AAE50">
            <w:pPr>
              <w:spacing w:line="240" w:lineRule="auto"/>
              <w:jc w:val="center"/>
              <w:rPr>
                <w:color w:val="000000"/>
                <w:sz w:val="20"/>
                <w:szCs w:val="20"/>
              </w:rPr>
            </w:pPr>
            <w:r>
              <w:rPr>
                <w:color w:val="000000"/>
                <w:sz w:val="20"/>
                <w:szCs w:val="20"/>
              </w:rPr>
              <w:t>24</w:t>
            </w:r>
          </w:p>
        </w:tc>
        <w:tc>
          <w:tcPr>
            <w:tcW w:w="1036" w:type="pct"/>
            <w:vAlign w:val="center"/>
          </w:tcPr>
          <w:p w14:paraId="0F26D7EC">
            <w:pPr>
              <w:spacing w:line="240" w:lineRule="auto"/>
              <w:jc w:val="center"/>
              <w:rPr>
                <w:color w:val="000000"/>
                <w:sz w:val="20"/>
                <w:szCs w:val="20"/>
              </w:rPr>
            </w:pPr>
            <w:r>
              <w:rPr>
                <w:color w:val="000000"/>
                <w:sz w:val="20"/>
                <w:szCs w:val="20"/>
              </w:rPr>
              <w:t>铅（Pb）</w:t>
            </w:r>
          </w:p>
        </w:tc>
        <w:tc>
          <w:tcPr>
            <w:tcW w:w="684" w:type="pct"/>
            <w:vAlign w:val="center"/>
          </w:tcPr>
          <w:p w14:paraId="0FA13599">
            <w:pPr>
              <w:spacing w:line="240" w:lineRule="auto"/>
              <w:jc w:val="center"/>
              <w:rPr>
                <w:color w:val="000000"/>
                <w:sz w:val="20"/>
                <w:szCs w:val="20"/>
              </w:rPr>
            </w:pPr>
            <w:r>
              <w:rPr>
                <w:color w:val="000000"/>
                <w:sz w:val="20"/>
                <w:szCs w:val="20"/>
              </w:rPr>
              <w:t>mg/L</w:t>
            </w:r>
          </w:p>
        </w:tc>
        <w:tc>
          <w:tcPr>
            <w:tcW w:w="510" w:type="pct"/>
            <w:vAlign w:val="center"/>
          </w:tcPr>
          <w:p w14:paraId="1D8004E0">
            <w:pPr>
              <w:spacing w:line="240" w:lineRule="auto"/>
              <w:jc w:val="center"/>
              <w:rPr>
                <w:color w:val="000000"/>
                <w:sz w:val="20"/>
                <w:szCs w:val="20"/>
              </w:rPr>
            </w:pPr>
            <w:r>
              <w:rPr>
                <w:color w:val="000000"/>
                <w:sz w:val="20"/>
                <w:szCs w:val="20"/>
              </w:rPr>
              <w:t>≤0.01</w:t>
            </w:r>
          </w:p>
        </w:tc>
      </w:tr>
      <w:tr w14:paraId="6B8B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51" w:type="pct"/>
            <w:vAlign w:val="center"/>
          </w:tcPr>
          <w:p w14:paraId="3ECEE73E">
            <w:pPr>
              <w:spacing w:line="240" w:lineRule="auto"/>
              <w:jc w:val="center"/>
              <w:rPr>
                <w:color w:val="000000"/>
                <w:sz w:val="20"/>
                <w:szCs w:val="20"/>
              </w:rPr>
            </w:pPr>
            <w:r>
              <w:rPr>
                <w:color w:val="000000"/>
                <w:sz w:val="20"/>
                <w:szCs w:val="20"/>
              </w:rPr>
              <w:t>13</w:t>
            </w:r>
          </w:p>
        </w:tc>
        <w:tc>
          <w:tcPr>
            <w:tcW w:w="1410" w:type="pct"/>
            <w:vAlign w:val="center"/>
          </w:tcPr>
          <w:p w14:paraId="783AA9A0">
            <w:pPr>
              <w:spacing w:line="240" w:lineRule="auto"/>
              <w:jc w:val="center"/>
              <w:rPr>
                <w:color w:val="000000"/>
                <w:sz w:val="20"/>
                <w:szCs w:val="20"/>
              </w:rPr>
            </w:pPr>
            <w:r>
              <w:rPr>
                <w:color w:val="000000"/>
                <w:sz w:val="20"/>
                <w:szCs w:val="20"/>
              </w:rPr>
              <w:t>钠</w:t>
            </w:r>
          </w:p>
        </w:tc>
        <w:tc>
          <w:tcPr>
            <w:tcW w:w="436" w:type="pct"/>
            <w:vAlign w:val="center"/>
          </w:tcPr>
          <w:p w14:paraId="0949BE2C">
            <w:pPr>
              <w:spacing w:line="240" w:lineRule="auto"/>
              <w:jc w:val="center"/>
              <w:rPr>
                <w:color w:val="000000"/>
                <w:sz w:val="20"/>
                <w:szCs w:val="20"/>
              </w:rPr>
            </w:pPr>
            <w:r>
              <w:rPr>
                <w:color w:val="000000"/>
                <w:sz w:val="20"/>
                <w:szCs w:val="20"/>
              </w:rPr>
              <w:t>mg/L</w:t>
            </w:r>
          </w:p>
        </w:tc>
        <w:tc>
          <w:tcPr>
            <w:tcW w:w="479" w:type="pct"/>
            <w:vAlign w:val="center"/>
          </w:tcPr>
          <w:p w14:paraId="000AB9DF">
            <w:pPr>
              <w:spacing w:line="240" w:lineRule="auto"/>
              <w:jc w:val="center"/>
              <w:rPr>
                <w:color w:val="000000"/>
                <w:sz w:val="20"/>
                <w:szCs w:val="20"/>
              </w:rPr>
            </w:pPr>
            <w:r>
              <w:rPr>
                <w:color w:val="000000"/>
                <w:sz w:val="20"/>
                <w:szCs w:val="20"/>
              </w:rPr>
              <w:t>≤200</w:t>
            </w:r>
          </w:p>
        </w:tc>
        <w:tc>
          <w:tcPr>
            <w:tcW w:w="293" w:type="pct"/>
            <w:vAlign w:val="center"/>
          </w:tcPr>
          <w:p w14:paraId="509A1AB9">
            <w:pPr>
              <w:spacing w:line="240" w:lineRule="auto"/>
              <w:jc w:val="center"/>
              <w:rPr>
                <w:color w:val="000000"/>
                <w:sz w:val="20"/>
                <w:szCs w:val="20"/>
              </w:rPr>
            </w:pPr>
            <w:r>
              <w:rPr>
                <w:color w:val="000000"/>
                <w:sz w:val="20"/>
                <w:szCs w:val="20"/>
              </w:rPr>
              <w:t>25</w:t>
            </w:r>
          </w:p>
        </w:tc>
        <w:tc>
          <w:tcPr>
            <w:tcW w:w="1036" w:type="pct"/>
            <w:vAlign w:val="center"/>
          </w:tcPr>
          <w:p w14:paraId="1D8E7F7F">
            <w:pPr>
              <w:spacing w:line="240" w:lineRule="auto"/>
              <w:jc w:val="center"/>
              <w:rPr>
                <w:color w:val="000000"/>
                <w:sz w:val="20"/>
                <w:szCs w:val="20"/>
              </w:rPr>
            </w:pPr>
            <w:r>
              <w:rPr>
                <w:color w:val="000000"/>
                <w:sz w:val="20"/>
                <w:szCs w:val="20"/>
              </w:rPr>
              <w:t>二甲苯（总量）</w:t>
            </w:r>
          </w:p>
        </w:tc>
        <w:tc>
          <w:tcPr>
            <w:tcW w:w="684" w:type="pct"/>
            <w:vAlign w:val="center"/>
          </w:tcPr>
          <w:p w14:paraId="10FA1E8E">
            <w:pPr>
              <w:spacing w:line="240" w:lineRule="auto"/>
              <w:jc w:val="center"/>
              <w:rPr>
                <w:color w:val="000000"/>
                <w:sz w:val="20"/>
                <w:szCs w:val="20"/>
              </w:rPr>
            </w:pPr>
            <w:r>
              <w:rPr>
                <w:color w:val="000000"/>
                <w:sz w:val="20"/>
                <w:szCs w:val="20"/>
              </w:rPr>
              <w:t>mg/L</w:t>
            </w:r>
          </w:p>
        </w:tc>
        <w:tc>
          <w:tcPr>
            <w:tcW w:w="510" w:type="pct"/>
            <w:vAlign w:val="center"/>
          </w:tcPr>
          <w:p w14:paraId="178DE45C">
            <w:pPr>
              <w:spacing w:line="240" w:lineRule="auto"/>
              <w:jc w:val="center"/>
              <w:rPr>
                <w:color w:val="000000"/>
                <w:sz w:val="20"/>
                <w:szCs w:val="20"/>
              </w:rPr>
            </w:pPr>
            <w:r>
              <w:rPr>
                <w:color w:val="000000"/>
                <w:sz w:val="20"/>
                <w:szCs w:val="20"/>
              </w:rPr>
              <w:t>≤0.5</w:t>
            </w:r>
          </w:p>
        </w:tc>
      </w:tr>
    </w:tbl>
    <w:p w14:paraId="5E99DB35">
      <w:pPr>
        <w:ind w:firstLine="480"/>
        <w:rPr>
          <w:color w:val="000000"/>
        </w:rPr>
      </w:pPr>
      <w:r>
        <w:rPr>
          <w:color w:val="000000"/>
        </w:rPr>
        <w:t>（4）声环境质量标准</w:t>
      </w:r>
    </w:p>
    <w:p w14:paraId="593C6294">
      <w:pPr>
        <w:ind w:firstLine="480"/>
        <w:rPr>
          <w:color w:val="000000"/>
        </w:rPr>
      </w:pPr>
      <w:r>
        <w:rPr>
          <w:color w:val="000000"/>
        </w:rPr>
        <w:t>根据</w:t>
      </w:r>
      <w:r>
        <w:rPr>
          <w:bCs/>
          <w:color w:val="000000"/>
        </w:rPr>
        <w:t>《重庆市涪陵区人民政府办公室关于印发重庆市涪陵区声环境功能区划分调整方案的通知》（涪陵府办发〔2018〕148号），</w:t>
      </w:r>
      <w:r>
        <w:rPr>
          <w:color w:val="000000"/>
        </w:rPr>
        <w:t>项目位于工业区，属于3类声环境功能区，执行《声环境质量标准》（GB3096-2008）中3类标准。标准限值详见表1.3.5.1-4。</w:t>
      </w:r>
    </w:p>
    <w:p w14:paraId="24298B2B">
      <w:pPr>
        <w:pStyle w:val="133"/>
        <w:outlineLvl w:val="9"/>
        <w:rPr>
          <w:rFonts w:ascii="Times New Roman" w:hAnsi="Times New Roman"/>
          <w:color w:val="000000"/>
        </w:rPr>
      </w:pPr>
      <w:r>
        <w:rPr>
          <w:rFonts w:ascii="Times New Roman" w:hAnsi="Times New Roman"/>
          <w:color w:val="000000"/>
        </w:rPr>
        <w:t>表1.3.5.1-4  声环境质量标准限值     单位： dB（A）</w:t>
      </w:r>
    </w:p>
    <w:tbl>
      <w:tblPr>
        <w:tblStyle w:val="7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085"/>
        <w:gridCol w:w="1986"/>
        <w:gridCol w:w="1988"/>
      </w:tblGrid>
      <w:tr w14:paraId="685FD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2807" w:type="pct"/>
            <w:tcBorders>
              <w:tl2br w:val="nil"/>
              <w:tr2bl w:val="nil"/>
            </w:tcBorders>
            <w:vAlign w:val="center"/>
          </w:tcPr>
          <w:p w14:paraId="53658FDE">
            <w:pPr>
              <w:spacing w:line="240" w:lineRule="auto"/>
              <w:jc w:val="center"/>
              <w:rPr>
                <w:color w:val="000000"/>
                <w:sz w:val="21"/>
              </w:rPr>
            </w:pPr>
            <w:r>
              <w:rPr>
                <w:color w:val="000000"/>
                <w:sz w:val="21"/>
              </w:rPr>
              <w:t>标准类别</w:t>
            </w:r>
          </w:p>
        </w:tc>
        <w:tc>
          <w:tcPr>
            <w:tcW w:w="1096" w:type="pct"/>
            <w:tcBorders>
              <w:tl2br w:val="nil"/>
              <w:tr2bl w:val="nil"/>
            </w:tcBorders>
            <w:vAlign w:val="center"/>
          </w:tcPr>
          <w:p w14:paraId="0F391908">
            <w:pPr>
              <w:spacing w:line="240" w:lineRule="auto"/>
              <w:jc w:val="center"/>
              <w:rPr>
                <w:color w:val="000000"/>
                <w:sz w:val="21"/>
              </w:rPr>
            </w:pPr>
            <w:r>
              <w:rPr>
                <w:color w:val="000000"/>
                <w:sz w:val="21"/>
              </w:rPr>
              <w:t>昼间</w:t>
            </w:r>
          </w:p>
        </w:tc>
        <w:tc>
          <w:tcPr>
            <w:tcW w:w="1097" w:type="pct"/>
            <w:tcBorders>
              <w:tl2br w:val="nil"/>
              <w:tr2bl w:val="nil"/>
            </w:tcBorders>
            <w:vAlign w:val="center"/>
          </w:tcPr>
          <w:p w14:paraId="2462CE0F">
            <w:pPr>
              <w:spacing w:line="240" w:lineRule="auto"/>
              <w:jc w:val="center"/>
              <w:rPr>
                <w:color w:val="000000"/>
                <w:sz w:val="21"/>
              </w:rPr>
            </w:pPr>
            <w:r>
              <w:rPr>
                <w:color w:val="000000"/>
                <w:sz w:val="21"/>
              </w:rPr>
              <w:t>夜间</w:t>
            </w:r>
          </w:p>
        </w:tc>
      </w:tr>
      <w:tr w14:paraId="245D2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807" w:type="pct"/>
            <w:tcBorders>
              <w:tl2br w:val="nil"/>
              <w:tr2bl w:val="nil"/>
            </w:tcBorders>
            <w:vAlign w:val="center"/>
          </w:tcPr>
          <w:p w14:paraId="02F93CCD">
            <w:pPr>
              <w:spacing w:line="240" w:lineRule="auto"/>
              <w:jc w:val="center"/>
              <w:rPr>
                <w:color w:val="000000"/>
                <w:sz w:val="21"/>
              </w:rPr>
            </w:pPr>
            <w:r>
              <w:rPr>
                <w:color w:val="000000"/>
                <w:sz w:val="21"/>
              </w:rPr>
              <w:t>《声环境质量标准》（GB3096-2008）3类标准</w:t>
            </w:r>
          </w:p>
        </w:tc>
        <w:tc>
          <w:tcPr>
            <w:tcW w:w="1096" w:type="pct"/>
            <w:tcBorders>
              <w:tl2br w:val="nil"/>
              <w:tr2bl w:val="nil"/>
            </w:tcBorders>
            <w:vAlign w:val="center"/>
          </w:tcPr>
          <w:p w14:paraId="24CAAD1A">
            <w:pPr>
              <w:spacing w:line="240" w:lineRule="auto"/>
              <w:jc w:val="center"/>
              <w:rPr>
                <w:color w:val="000000"/>
                <w:sz w:val="21"/>
              </w:rPr>
            </w:pPr>
            <w:r>
              <w:rPr>
                <w:color w:val="000000"/>
                <w:sz w:val="21"/>
              </w:rPr>
              <w:t>65</w:t>
            </w:r>
          </w:p>
        </w:tc>
        <w:tc>
          <w:tcPr>
            <w:tcW w:w="1097" w:type="pct"/>
            <w:tcBorders>
              <w:tl2br w:val="nil"/>
              <w:tr2bl w:val="nil"/>
            </w:tcBorders>
            <w:vAlign w:val="center"/>
          </w:tcPr>
          <w:p w14:paraId="71EB53FE">
            <w:pPr>
              <w:spacing w:line="240" w:lineRule="auto"/>
              <w:jc w:val="center"/>
              <w:rPr>
                <w:color w:val="000000"/>
                <w:sz w:val="21"/>
              </w:rPr>
            </w:pPr>
            <w:r>
              <w:rPr>
                <w:color w:val="000000"/>
                <w:sz w:val="21"/>
              </w:rPr>
              <w:t>55</w:t>
            </w:r>
          </w:p>
        </w:tc>
      </w:tr>
    </w:tbl>
    <w:p w14:paraId="0A691D44">
      <w:pPr>
        <w:ind w:left="480"/>
        <w:rPr>
          <w:color w:val="000000"/>
        </w:rPr>
      </w:pPr>
      <w:r>
        <w:rPr>
          <w:color w:val="000000"/>
        </w:rPr>
        <w:t>（5）土壤环境质量标准</w:t>
      </w:r>
    </w:p>
    <w:p w14:paraId="37F9C12D">
      <w:pPr>
        <w:ind w:firstLine="480"/>
        <w:rPr>
          <w:color w:val="000000"/>
        </w:rPr>
      </w:pPr>
      <w:r>
        <w:rPr>
          <w:color w:val="000000"/>
        </w:rPr>
        <w:t>项目位于工业区，用地性质为工业用地，根据《土壤环境质量 建设用地土壤风险管控标准》（GB36600-2018），属于第二类用地。标准限值详见表1.3.5.1-5。</w:t>
      </w:r>
    </w:p>
    <w:p w14:paraId="59344EC6">
      <w:pPr>
        <w:pStyle w:val="133"/>
        <w:outlineLvl w:val="9"/>
        <w:rPr>
          <w:rFonts w:ascii="Times New Roman" w:hAnsi="Times New Roman"/>
          <w:color w:val="000000"/>
        </w:rPr>
      </w:pPr>
      <w:r>
        <w:rPr>
          <w:rFonts w:ascii="Times New Roman" w:hAnsi="Times New Roman"/>
          <w:color w:val="000000"/>
        </w:rPr>
        <w:t>表1.3.5.1-5  土壤环境质量标准限值     单位： mg/kg</w:t>
      </w:r>
    </w:p>
    <w:tbl>
      <w:tblPr>
        <w:tblStyle w:val="73"/>
        <w:tblW w:w="5000" w:type="pct"/>
        <w:jc w:val="center"/>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Layout w:type="autofit"/>
        <w:tblCellMar>
          <w:top w:w="0" w:type="dxa"/>
          <w:left w:w="0" w:type="dxa"/>
          <w:bottom w:w="0" w:type="dxa"/>
          <w:right w:w="0" w:type="dxa"/>
        </w:tblCellMar>
      </w:tblPr>
      <w:tblGrid>
        <w:gridCol w:w="558"/>
        <w:gridCol w:w="1443"/>
        <w:gridCol w:w="705"/>
        <w:gridCol w:w="593"/>
        <w:gridCol w:w="1558"/>
        <w:gridCol w:w="790"/>
        <w:gridCol w:w="536"/>
        <w:gridCol w:w="1874"/>
        <w:gridCol w:w="816"/>
      </w:tblGrid>
      <w:tr w14:paraId="3D941480">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0CD4D6A6">
            <w:pPr>
              <w:spacing w:line="240" w:lineRule="auto"/>
              <w:jc w:val="center"/>
              <w:rPr>
                <w:color w:val="000000"/>
                <w:sz w:val="18"/>
                <w:szCs w:val="18"/>
              </w:rPr>
            </w:pPr>
            <w:r>
              <w:rPr>
                <w:color w:val="000000"/>
                <w:sz w:val="18"/>
                <w:szCs w:val="18"/>
              </w:rPr>
              <w:t>序号</w:t>
            </w:r>
          </w:p>
        </w:tc>
        <w:tc>
          <w:tcPr>
            <w:tcW w:w="813" w:type="pct"/>
            <w:tcBorders>
              <w:tl2br w:val="nil"/>
              <w:tr2bl w:val="nil"/>
            </w:tcBorders>
            <w:tcMar>
              <w:top w:w="15" w:type="dxa"/>
              <w:left w:w="15" w:type="dxa"/>
              <w:right w:w="15" w:type="dxa"/>
            </w:tcMar>
            <w:vAlign w:val="center"/>
          </w:tcPr>
          <w:p w14:paraId="791DD73A">
            <w:pPr>
              <w:spacing w:line="240" w:lineRule="auto"/>
              <w:jc w:val="center"/>
              <w:rPr>
                <w:color w:val="000000"/>
                <w:sz w:val="18"/>
                <w:szCs w:val="18"/>
              </w:rPr>
            </w:pPr>
            <w:r>
              <w:rPr>
                <w:color w:val="000000"/>
                <w:sz w:val="18"/>
                <w:szCs w:val="18"/>
              </w:rPr>
              <w:t>项目</w:t>
            </w:r>
          </w:p>
        </w:tc>
        <w:tc>
          <w:tcPr>
            <w:tcW w:w="397" w:type="pct"/>
            <w:tcBorders>
              <w:tl2br w:val="nil"/>
              <w:tr2bl w:val="nil"/>
            </w:tcBorders>
            <w:tcMar>
              <w:top w:w="15" w:type="dxa"/>
              <w:left w:w="15" w:type="dxa"/>
              <w:right w:w="15" w:type="dxa"/>
            </w:tcMar>
            <w:vAlign w:val="center"/>
          </w:tcPr>
          <w:p w14:paraId="43C0C478">
            <w:pPr>
              <w:spacing w:line="240" w:lineRule="auto"/>
              <w:jc w:val="center"/>
              <w:rPr>
                <w:color w:val="000000"/>
                <w:sz w:val="18"/>
                <w:szCs w:val="18"/>
              </w:rPr>
            </w:pPr>
            <w:r>
              <w:rPr>
                <w:color w:val="000000"/>
                <w:sz w:val="18"/>
                <w:szCs w:val="18"/>
              </w:rPr>
              <w:t>筛选值</w:t>
            </w:r>
          </w:p>
        </w:tc>
        <w:tc>
          <w:tcPr>
            <w:tcW w:w="334" w:type="pct"/>
            <w:tcBorders>
              <w:tl2br w:val="nil"/>
              <w:tr2bl w:val="nil"/>
            </w:tcBorders>
            <w:tcMar>
              <w:top w:w="15" w:type="dxa"/>
              <w:left w:w="15" w:type="dxa"/>
              <w:right w:w="15" w:type="dxa"/>
            </w:tcMar>
            <w:vAlign w:val="center"/>
          </w:tcPr>
          <w:p w14:paraId="157793D6">
            <w:pPr>
              <w:spacing w:line="240" w:lineRule="auto"/>
              <w:jc w:val="center"/>
              <w:rPr>
                <w:color w:val="000000"/>
                <w:sz w:val="18"/>
                <w:szCs w:val="18"/>
              </w:rPr>
            </w:pPr>
            <w:r>
              <w:rPr>
                <w:color w:val="000000"/>
                <w:sz w:val="18"/>
                <w:szCs w:val="18"/>
              </w:rPr>
              <w:t>序号</w:t>
            </w:r>
          </w:p>
        </w:tc>
        <w:tc>
          <w:tcPr>
            <w:tcW w:w="878" w:type="pct"/>
            <w:tcBorders>
              <w:tl2br w:val="nil"/>
              <w:tr2bl w:val="nil"/>
            </w:tcBorders>
            <w:tcMar>
              <w:top w:w="15" w:type="dxa"/>
              <w:left w:w="15" w:type="dxa"/>
              <w:right w:w="15" w:type="dxa"/>
            </w:tcMar>
            <w:vAlign w:val="center"/>
          </w:tcPr>
          <w:p w14:paraId="0ED1757A">
            <w:pPr>
              <w:spacing w:line="240" w:lineRule="auto"/>
              <w:jc w:val="center"/>
              <w:rPr>
                <w:color w:val="000000"/>
                <w:sz w:val="18"/>
                <w:szCs w:val="18"/>
              </w:rPr>
            </w:pPr>
            <w:r>
              <w:rPr>
                <w:color w:val="000000"/>
                <w:sz w:val="18"/>
                <w:szCs w:val="18"/>
              </w:rPr>
              <w:t>项目</w:t>
            </w:r>
          </w:p>
        </w:tc>
        <w:tc>
          <w:tcPr>
            <w:tcW w:w="445" w:type="pct"/>
            <w:tcBorders>
              <w:tl2br w:val="nil"/>
              <w:tr2bl w:val="nil"/>
            </w:tcBorders>
            <w:tcMar>
              <w:top w:w="15" w:type="dxa"/>
              <w:left w:w="15" w:type="dxa"/>
              <w:right w:w="15" w:type="dxa"/>
            </w:tcMar>
            <w:vAlign w:val="center"/>
          </w:tcPr>
          <w:p w14:paraId="20C7EF82">
            <w:pPr>
              <w:spacing w:line="240" w:lineRule="auto"/>
              <w:jc w:val="center"/>
              <w:rPr>
                <w:color w:val="000000"/>
                <w:sz w:val="18"/>
                <w:szCs w:val="18"/>
              </w:rPr>
            </w:pPr>
            <w:r>
              <w:rPr>
                <w:color w:val="000000"/>
                <w:sz w:val="18"/>
                <w:szCs w:val="18"/>
              </w:rPr>
              <w:t>筛选值</w:t>
            </w:r>
          </w:p>
        </w:tc>
        <w:tc>
          <w:tcPr>
            <w:tcW w:w="302" w:type="pct"/>
            <w:tcBorders>
              <w:tl2br w:val="nil"/>
              <w:tr2bl w:val="nil"/>
            </w:tcBorders>
            <w:tcMar>
              <w:top w:w="15" w:type="dxa"/>
              <w:left w:w="15" w:type="dxa"/>
              <w:right w:w="15" w:type="dxa"/>
            </w:tcMar>
            <w:vAlign w:val="center"/>
          </w:tcPr>
          <w:p w14:paraId="609CA1E9">
            <w:pPr>
              <w:spacing w:line="240" w:lineRule="auto"/>
              <w:jc w:val="center"/>
              <w:rPr>
                <w:color w:val="000000"/>
                <w:sz w:val="18"/>
                <w:szCs w:val="18"/>
              </w:rPr>
            </w:pPr>
            <w:r>
              <w:rPr>
                <w:color w:val="000000"/>
                <w:sz w:val="18"/>
                <w:szCs w:val="18"/>
              </w:rPr>
              <w:t>序号</w:t>
            </w:r>
          </w:p>
        </w:tc>
        <w:tc>
          <w:tcPr>
            <w:tcW w:w="1056" w:type="pct"/>
            <w:tcBorders>
              <w:tl2br w:val="nil"/>
              <w:tr2bl w:val="nil"/>
            </w:tcBorders>
            <w:tcMar>
              <w:top w:w="15" w:type="dxa"/>
              <w:left w:w="15" w:type="dxa"/>
              <w:right w:w="15" w:type="dxa"/>
            </w:tcMar>
            <w:vAlign w:val="center"/>
          </w:tcPr>
          <w:p w14:paraId="17E983E5">
            <w:pPr>
              <w:spacing w:line="240" w:lineRule="auto"/>
              <w:jc w:val="center"/>
              <w:rPr>
                <w:color w:val="000000"/>
                <w:sz w:val="18"/>
                <w:szCs w:val="18"/>
              </w:rPr>
            </w:pPr>
            <w:r>
              <w:rPr>
                <w:color w:val="000000"/>
                <w:sz w:val="18"/>
                <w:szCs w:val="18"/>
              </w:rPr>
              <w:t>项目</w:t>
            </w:r>
          </w:p>
        </w:tc>
        <w:tc>
          <w:tcPr>
            <w:tcW w:w="461" w:type="pct"/>
            <w:tcBorders>
              <w:tl2br w:val="nil"/>
              <w:tr2bl w:val="nil"/>
            </w:tcBorders>
            <w:tcMar>
              <w:top w:w="15" w:type="dxa"/>
              <w:left w:w="15" w:type="dxa"/>
              <w:right w:w="15" w:type="dxa"/>
            </w:tcMar>
            <w:vAlign w:val="center"/>
          </w:tcPr>
          <w:p w14:paraId="7F22AB57">
            <w:pPr>
              <w:spacing w:line="240" w:lineRule="auto"/>
              <w:jc w:val="center"/>
              <w:rPr>
                <w:color w:val="000000"/>
                <w:sz w:val="18"/>
                <w:szCs w:val="18"/>
              </w:rPr>
            </w:pPr>
            <w:r>
              <w:rPr>
                <w:color w:val="000000"/>
                <w:sz w:val="18"/>
                <w:szCs w:val="18"/>
              </w:rPr>
              <w:t>筛选值</w:t>
            </w:r>
          </w:p>
        </w:tc>
      </w:tr>
      <w:tr w14:paraId="03984FB5">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3199D542">
            <w:pPr>
              <w:spacing w:line="240" w:lineRule="auto"/>
              <w:jc w:val="center"/>
              <w:rPr>
                <w:color w:val="000000"/>
                <w:sz w:val="18"/>
                <w:szCs w:val="18"/>
              </w:rPr>
            </w:pPr>
            <w:r>
              <w:rPr>
                <w:color w:val="000000"/>
                <w:sz w:val="18"/>
                <w:szCs w:val="18"/>
              </w:rPr>
              <w:t>1</w:t>
            </w:r>
          </w:p>
        </w:tc>
        <w:tc>
          <w:tcPr>
            <w:tcW w:w="813" w:type="pct"/>
            <w:tcBorders>
              <w:tl2br w:val="nil"/>
              <w:tr2bl w:val="nil"/>
            </w:tcBorders>
            <w:tcMar>
              <w:top w:w="15" w:type="dxa"/>
              <w:left w:w="15" w:type="dxa"/>
              <w:right w:w="15" w:type="dxa"/>
            </w:tcMar>
            <w:vAlign w:val="center"/>
          </w:tcPr>
          <w:p w14:paraId="7148DC06">
            <w:pPr>
              <w:spacing w:line="240" w:lineRule="auto"/>
              <w:jc w:val="center"/>
              <w:rPr>
                <w:color w:val="000000"/>
                <w:sz w:val="18"/>
                <w:szCs w:val="18"/>
              </w:rPr>
            </w:pPr>
            <w:r>
              <w:rPr>
                <w:color w:val="000000"/>
                <w:sz w:val="18"/>
                <w:szCs w:val="18"/>
              </w:rPr>
              <w:t>砷</w:t>
            </w:r>
          </w:p>
        </w:tc>
        <w:tc>
          <w:tcPr>
            <w:tcW w:w="397" w:type="pct"/>
            <w:tcBorders>
              <w:tl2br w:val="nil"/>
              <w:tr2bl w:val="nil"/>
            </w:tcBorders>
            <w:tcMar>
              <w:top w:w="15" w:type="dxa"/>
              <w:left w:w="15" w:type="dxa"/>
              <w:right w:w="15" w:type="dxa"/>
            </w:tcMar>
            <w:vAlign w:val="center"/>
          </w:tcPr>
          <w:p w14:paraId="55EBA41D">
            <w:pPr>
              <w:spacing w:line="240" w:lineRule="auto"/>
              <w:jc w:val="center"/>
              <w:rPr>
                <w:color w:val="000000"/>
                <w:sz w:val="18"/>
                <w:szCs w:val="18"/>
              </w:rPr>
            </w:pPr>
            <w:r>
              <w:rPr>
                <w:color w:val="000000"/>
                <w:sz w:val="18"/>
                <w:szCs w:val="18"/>
              </w:rPr>
              <w:t>60</w:t>
            </w:r>
          </w:p>
        </w:tc>
        <w:tc>
          <w:tcPr>
            <w:tcW w:w="334" w:type="pct"/>
            <w:tcBorders>
              <w:tl2br w:val="nil"/>
              <w:tr2bl w:val="nil"/>
            </w:tcBorders>
            <w:tcMar>
              <w:top w:w="15" w:type="dxa"/>
              <w:left w:w="15" w:type="dxa"/>
              <w:right w:w="15" w:type="dxa"/>
            </w:tcMar>
            <w:vAlign w:val="center"/>
          </w:tcPr>
          <w:p w14:paraId="2330D12B">
            <w:pPr>
              <w:spacing w:line="240" w:lineRule="auto"/>
              <w:jc w:val="center"/>
              <w:rPr>
                <w:color w:val="000000"/>
                <w:sz w:val="18"/>
                <w:szCs w:val="18"/>
              </w:rPr>
            </w:pPr>
            <w:r>
              <w:rPr>
                <w:color w:val="000000"/>
                <w:sz w:val="18"/>
                <w:szCs w:val="18"/>
              </w:rPr>
              <w:t>17</w:t>
            </w:r>
          </w:p>
        </w:tc>
        <w:tc>
          <w:tcPr>
            <w:tcW w:w="878" w:type="pct"/>
            <w:tcBorders>
              <w:tl2br w:val="nil"/>
              <w:tr2bl w:val="nil"/>
            </w:tcBorders>
            <w:tcMar>
              <w:top w:w="15" w:type="dxa"/>
              <w:left w:w="15" w:type="dxa"/>
              <w:right w:w="15" w:type="dxa"/>
            </w:tcMar>
            <w:vAlign w:val="center"/>
          </w:tcPr>
          <w:p w14:paraId="16B02424">
            <w:pPr>
              <w:spacing w:line="240" w:lineRule="auto"/>
              <w:jc w:val="center"/>
              <w:rPr>
                <w:color w:val="000000"/>
                <w:sz w:val="18"/>
                <w:szCs w:val="18"/>
              </w:rPr>
            </w:pPr>
            <w:r>
              <w:rPr>
                <w:color w:val="000000"/>
                <w:sz w:val="18"/>
                <w:szCs w:val="18"/>
              </w:rPr>
              <w:t>1,2-二氯丙烷</w:t>
            </w:r>
          </w:p>
        </w:tc>
        <w:tc>
          <w:tcPr>
            <w:tcW w:w="445" w:type="pct"/>
            <w:tcBorders>
              <w:tl2br w:val="nil"/>
              <w:tr2bl w:val="nil"/>
            </w:tcBorders>
            <w:tcMar>
              <w:top w:w="15" w:type="dxa"/>
              <w:left w:w="15" w:type="dxa"/>
              <w:right w:w="15" w:type="dxa"/>
            </w:tcMar>
            <w:vAlign w:val="center"/>
          </w:tcPr>
          <w:p w14:paraId="7918F2EE">
            <w:pPr>
              <w:spacing w:line="240" w:lineRule="auto"/>
              <w:jc w:val="center"/>
              <w:rPr>
                <w:color w:val="000000"/>
                <w:sz w:val="18"/>
                <w:szCs w:val="18"/>
              </w:rPr>
            </w:pPr>
            <w:r>
              <w:rPr>
                <w:color w:val="000000"/>
                <w:sz w:val="18"/>
                <w:szCs w:val="18"/>
              </w:rPr>
              <w:t>5</w:t>
            </w:r>
          </w:p>
        </w:tc>
        <w:tc>
          <w:tcPr>
            <w:tcW w:w="302" w:type="pct"/>
            <w:tcBorders>
              <w:tl2br w:val="nil"/>
              <w:tr2bl w:val="nil"/>
            </w:tcBorders>
            <w:tcMar>
              <w:top w:w="15" w:type="dxa"/>
              <w:left w:w="15" w:type="dxa"/>
              <w:right w:w="15" w:type="dxa"/>
            </w:tcMar>
            <w:vAlign w:val="center"/>
          </w:tcPr>
          <w:p w14:paraId="7BD8B557">
            <w:pPr>
              <w:spacing w:line="240" w:lineRule="auto"/>
              <w:jc w:val="center"/>
              <w:rPr>
                <w:color w:val="000000"/>
                <w:sz w:val="18"/>
                <w:szCs w:val="18"/>
              </w:rPr>
            </w:pPr>
            <w:r>
              <w:rPr>
                <w:color w:val="000000"/>
                <w:sz w:val="18"/>
                <w:szCs w:val="18"/>
              </w:rPr>
              <w:t>33</w:t>
            </w:r>
          </w:p>
        </w:tc>
        <w:tc>
          <w:tcPr>
            <w:tcW w:w="1056" w:type="pct"/>
            <w:tcBorders>
              <w:tl2br w:val="nil"/>
              <w:tr2bl w:val="nil"/>
            </w:tcBorders>
            <w:tcMar>
              <w:top w:w="15" w:type="dxa"/>
              <w:left w:w="15" w:type="dxa"/>
              <w:right w:w="15" w:type="dxa"/>
            </w:tcMar>
            <w:vAlign w:val="center"/>
          </w:tcPr>
          <w:p w14:paraId="35A1E553">
            <w:pPr>
              <w:spacing w:line="240" w:lineRule="auto"/>
              <w:jc w:val="center"/>
              <w:rPr>
                <w:color w:val="000000"/>
                <w:sz w:val="18"/>
                <w:szCs w:val="18"/>
              </w:rPr>
            </w:pPr>
            <w:r>
              <w:rPr>
                <w:color w:val="000000"/>
                <w:sz w:val="18"/>
                <w:szCs w:val="18"/>
              </w:rPr>
              <w:t>间二甲苯+对二甲苯</w:t>
            </w:r>
          </w:p>
        </w:tc>
        <w:tc>
          <w:tcPr>
            <w:tcW w:w="461" w:type="pct"/>
            <w:tcBorders>
              <w:tl2br w:val="nil"/>
              <w:tr2bl w:val="nil"/>
            </w:tcBorders>
            <w:tcMar>
              <w:top w:w="15" w:type="dxa"/>
              <w:left w:w="15" w:type="dxa"/>
              <w:right w:w="15" w:type="dxa"/>
            </w:tcMar>
            <w:vAlign w:val="center"/>
          </w:tcPr>
          <w:p w14:paraId="2369B36F">
            <w:pPr>
              <w:spacing w:line="240" w:lineRule="auto"/>
              <w:jc w:val="center"/>
              <w:rPr>
                <w:color w:val="000000"/>
                <w:sz w:val="18"/>
                <w:szCs w:val="18"/>
              </w:rPr>
            </w:pPr>
            <w:r>
              <w:rPr>
                <w:color w:val="000000"/>
                <w:sz w:val="18"/>
                <w:szCs w:val="18"/>
              </w:rPr>
              <w:t>570</w:t>
            </w:r>
          </w:p>
        </w:tc>
      </w:tr>
      <w:tr w14:paraId="490603BC">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68E9CABA">
            <w:pPr>
              <w:spacing w:line="240" w:lineRule="auto"/>
              <w:jc w:val="center"/>
              <w:rPr>
                <w:color w:val="000000"/>
                <w:sz w:val="18"/>
                <w:szCs w:val="18"/>
              </w:rPr>
            </w:pPr>
            <w:r>
              <w:rPr>
                <w:color w:val="000000"/>
                <w:sz w:val="18"/>
                <w:szCs w:val="18"/>
              </w:rPr>
              <w:t>2</w:t>
            </w:r>
          </w:p>
        </w:tc>
        <w:tc>
          <w:tcPr>
            <w:tcW w:w="813" w:type="pct"/>
            <w:tcBorders>
              <w:tl2br w:val="nil"/>
              <w:tr2bl w:val="nil"/>
            </w:tcBorders>
            <w:tcMar>
              <w:top w:w="15" w:type="dxa"/>
              <w:left w:w="15" w:type="dxa"/>
              <w:right w:w="15" w:type="dxa"/>
            </w:tcMar>
            <w:vAlign w:val="center"/>
          </w:tcPr>
          <w:p w14:paraId="2F9D047B">
            <w:pPr>
              <w:spacing w:line="240" w:lineRule="auto"/>
              <w:jc w:val="center"/>
              <w:rPr>
                <w:color w:val="000000"/>
                <w:sz w:val="18"/>
                <w:szCs w:val="18"/>
              </w:rPr>
            </w:pPr>
            <w:r>
              <w:rPr>
                <w:color w:val="000000"/>
                <w:sz w:val="18"/>
                <w:szCs w:val="18"/>
              </w:rPr>
              <w:t>镉</w:t>
            </w:r>
          </w:p>
        </w:tc>
        <w:tc>
          <w:tcPr>
            <w:tcW w:w="397" w:type="pct"/>
            <w:tcBorders>
              <w:tl2br w:val="nil"/>
              <w:tr2bl w:val="nil"/>
            </w:tcBorders>
            <w:tcMar>
              <w:top w:w="15" w:type="dxa"/>
              <w:left w:w="15" w:type="dxa"/>
              <w:right w:w="15" w:type="dxa"/>
            </w:tcMar>
            <w:vAlign w:val="center"/>
          </w:tcPr>
          <w:p w14:paraId="19B5B876">
            <w:pPr>
              <w:spacing w:line="240" w:lineRule="auto"/>
              <w:jc w:val="center"/>
              <w:rPr>
                <w:color w:val="000000"/>
                <w:sz w:val="18"/>
                <w:szCs w:val="18"/>
              </w:rPr>
            </w:pPr>
            <w:r>
              <w:rPr>
                <w:color w:val="000000"/>
                <w:sz w:val="18"/>
                <w:szCs w:val="18"/>
              </w:rPr>
              <w:t>65</w:t>
            </w:r>
          </w:p>
        </w:tc>
        <w:tc>
          <w:tcPr>
            <w:tcW w:w="334" w:type="pct"/>
            <w:tcBorders>
              <w:tl2br w:val="nil"/>
              <w:tr2bl w:val="nil"/>
            </w:tcBorders>
            <w:tcMar>
              <w:top w:w="15" w:type="dxa"/>
              <w:left w:w="15" w:type="dxa"/>
              <w:right w:w="15" w:type="dxa"/>
            </w:tcMar>
            <w:vAlign w:val="center"/>
          </w:tcPr>
          <w:p w14:paraId="47B3CC53">
            <w:pPr>
              <w:spacing w:line="240" w:lineRule="auto"/>
              <w:jc w:val="center"/>
              <w:rPr>
                <w:color w:val="000000"/>
                <w:sz w:val="18"/>
                <w:szCs w:val="18"/>
              </w:rPr>
            </w:pPr>
            <w:r>
              <w:rPr>
                <w:color w:val="000000"/>
                <w:sz w:val="18"/>
                <w:szCs w:val="18"/>
              </w:rPr>
              <w:t>18</w:t>
            </w:r>
          </w:p>
        </w:tc>
        <w:tc>
          <w:tcPr>
            <w:tcW w:w="878" w:type="pct"/>
            <w:tcBorders>
              <w:tl2br w:val="nil"/>
              <w:tr2bl w:val="nil"/>
            </w:tcBorders>
            <w:tcMar>
              <w:top w:w="15" w:type="dxa"/>
              <w:left w:w="15" w:type="dxa"/>
              <w:right w:w="15" w:type="dxa"/>
            </w:tcMar>
            <w:vAlign w:val="center"/>
          </w:tcPr>
          <w:p w14:paraId="1D51B350">
            <w:pPr>
              <w:spacing w:line="240" w:lineRule="auto"/>
              <w:jc w:val="center"/>
              <w:rPr>
                <w:color w:val="000000"/>
                <w:sz w:val="18"/>
                <w:szCs w:val="18"/>
              </w:rPr>
            </w:pPr>
            <w:r>
              <w:rPr>
                <w:color w:val="000000"/>
                <w:sz w:val="18"/>
                <w:szCs w:val="18"/>
              </w:rPr>
              <w:t>1,1,1,2-四氯乙烷</w:t>
            </w:r>
          </w:p>
        </w:tc>
        <w:tc>
          <w:tcPr>
            <w:tcW w:w="445" w:type="pct"/>
            <w:tcBorders>
              <w:tl2br w:val="nil"/>
              <w:tr2bl w:val="nil"/>
            </w:tcBorders>
            <w:tcMar>
              <w:top w:w="15" w:type="dxa"/>
              <w:left w:w="15" w:type="dxa"/>
              <w:right w:w="15" w:type="dxa"/>
            </w:tcMar>
            <w:vAlign w:val="center"/>
          </w:tcPr>
          <w:p w14:paraId="508BBB63">
            <w:pPr>
              <w:spacing w:line="240" w:lineRule="auto"/>
              <w:jc w:val="center"/>
              <w:rPr>
                <w:color w:val="000000"/>
                <w:sz w:val="18"/>
                <w:szCs w:val="18"/>
              </w:rPr>
            </w:pPr>
            <w:r>
              <w:rPr>
                <w:color w:val="000000"/>
                <w:sz w:val="18"/>
                <w:szCs w:val="18"/>
              </w:rPr>
              <w:t>10</w:t>
            </w:r>
          </w:p>
        </w:tc>
        <w:tc>
          <w:tcPr>
            <w:tcW w:w="302" w:type="pct"/>
            <w:tcBorders>
              <w:tl2br w:val="nil"/>
              <w:tr2bl w:val="nil"/>
            </w:tcBorders>
            <w:tcMar>
              <w:top w:w="15" w:type="dxa"/>
              <w:left w:w="15" w:type="dxa"/>
              <w:right w:w="15" w:type="dxa"/>
            </w:tcMar>
            <w:vAlign w:val="center"/>
          </w:tcPr>
          <w:p w14:paraId="0509D0C7">
            <w:pPr>
              <w:spacing w:line="240" w:lineRule="auto"/>
              <w:jc w:val="center"/>
              <w:rPr>
                <w:color w:val="000000"/>
                <w:sz w:val="18"/>
                <w:szCs w:val="18"/>
              </w:rPr>
            </w:pPr>
            <w:r>
              <w:rPr>
                <w:color w:val="000000"/>
                <w:sz w:val="18"/>
                <w:szCs w:val="18"/>
              </w:rPr>
              <w:t>34</w:t>
            </w:r>
          </w:p>
        </w:tc>
        <w:tc>
          <w:tcPr>
            <w:tcW w:w="1056" w:type="pct"/>
            <w:tcBorders>
              <w:tl2br w:val="nil"/>
              <w:tr2bl w:val="nil"/>
            </w:tcBorders>
            <w:tcMar>
              <w:top w:w="15" w:type="dxa"/>
              <w:left w:w="15" w:type="dxa"/>
              <w:right w:w="15" w:type="dxa"/>
            </w:tcMar>
            <w:vAlign w:val="center"/>
          </w:tcPr>
          <w:p w14:paraId="2C8A9055">
            <w:pPr>
              <w:spacing w:line="240" w:lineRule="auto"/>
              <w:jc w:val="center"/>
              <w:rPr>
                <w:color w:val="000000"/>
                <w:sz w:val="18"/>
                <w:szCs w:val="18"/>
              </w:rPr>
            </w:pPr>
            <w:r>
              <w:rPr>
                <w:color w:val="000000"/>
                <w:sz w:val="18"/>
                <w:szCs w:val="18"/>
              </w:rPr>
              <w:t>邻二甲苯</w:t>
            </w:r>
          </w:p>
        </w:tc>
        <w:tc>
          <w:tcPr>
            <w:tcW w:w="461" w:type="pct"/>
            <w:tcBorders>
              <w:tl2br w:val="nil"/>
              <w:tr2bl w:val="nil"/>
            </w:tcBorders>
            <w:tcMar>
              <w:top w:w="15" w:type="dxa"/>
              <w:left w:w="15" w:type="dxa"/>
              <w:right w:w="15" w:type="dxa"/>
            </w:tcMar>
            <w:vAlign w:val="center"/>
          </w:tcPr>
          <w:p w14:paraId="5C6CBE04">
            <w:pPr>
              <w:spacing w:line="240" w:lineRule="auto"/>
              <w:jc w:val="center"/>
              <w:rPr>
                <w:color w:val="000000"/>
                <w:sz w:val="18"/>
                <w:szCs w:val="18"/>
              </w:rPr>
            </w:pPr>
            <w:r>
              <w:rPr>
                <w:color w:val="000000"/>
                <w:sz w:val="18"/>
                <w:szCs w:val="18"/>
              </w:rPr>
              <w:t>640</w:t>
            </w:r>
          </w:p>
        </w:tc>
      </w:tr>
      <w:tr w14:paraId="180116CA">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6230A632">
            <w:pPr>
              <w:spacing w:line="240" w:lineRule="auto"/>
              <w:jc w:val="center"/>
              <w:rPr>
                <w:color w:val="000000"/>
                <w:sz w:val="18"/>
                <w:szCs w:val="18"/>
              </w:rPr>
            </w:pPr>
            <w:r>
              <w:rPr>
                <w:color w:val="000000"/>
                <w:sz w:val="18"/>
                <w:szCs w:val="18"/>
              </w:rPr>
              <w:t>3</w:t>
            </w:r>
          </w:p>
        </w:tc>
        <w:tc>
          <w:tcPr>
            <w:tcW w:w="813" w:type="pct"/>
            <w:tcBorders>
              <w:tl2br w:val="nil"/>
              <w:tr2bl w:val="nil"/>
            </w:tcBorders>
            <w:tcMar>
              <w:top w:w="15" w:type="dxa"/>
              <w:left w:w="15" w:type="dxa"/>
              <w:right w:w="15" w:type="dxa"/>
            </w:tcMar>
            <w:vAlign w:val="center"/>
          </w:tcPr>
          <w:p w14:paraId="1589969B">
            <w:pPr>
              <w:spacing w:line="240" w:lineRule="auto"/>
              <w:jc w:val="center"/>
              <w:rPr>
                <w:color w:val="000000"/>
                <w:sz w:val="18"/>
                <w:szCs w:val="18"/>
              </w:rPr>
            </w:pPr>
            <w:r>
              <w:rPr>
                <w:color w:val="000000"/>
                <w:sz w:val="18"/>
                <w:szCs w:val="18"/>
              </w:rPr>
              <w:t>铬（六价）</w:t>
            </w:r>
          </w:p>
        </w:tc>
        <w:tc>
          <w:tcPr>
            <w:tcW w:w="397" w:type="pct"/>
            <w:tcBorders>
              <w:tl2br w:val="nil"/>
              <w:tr2bl w:val="nil"/>
            </w:tcBorders>
            <w:tcMar>
              <w:top w:w="15" w:type="dxa"/>
              <w:left w:w="15" w:type="dxa"/>
              <w:right w:w="15" w:type="dxa"/>
            </w:tcMar>
            <w:vAlign w:val="center"/>
          </w:tcPr>
          <w:p w14:paraId="15CFE816">
            <w:pPr>
              <w:spacing w:line="240" w:lineRule="auto"/>
              <w:jc w:val="center"/>
              <w:rPr>
                <w:color w:val="000000"/>
                <w:sz w:val="18"/>
                <w:szCs w:val="18"/>
              </w:rPr>
            </w:pPr>
            <w:r>
              <w:rPr>
                <w:color w:val="000000"/>
                <w:sz w:val="18"/>
                <w:szCs w:val="18"/>
              </w:rPr>
              <w:t>5.7</w:t>
            </w:r>
          </w:p>
        </w:tc>
        <w:tc>
          <w:tcPr>
            <w:tcW w:w="334" w:type="pct"/>
            <w:tcBorders>
              <w:tl2br w:val="nil"/>
              <w:tr2bl w:val="nil"/>
            </w:tcBorders>
            <w:tcMar>
              <w:top w:w="15" w:type="dxa"/>
              <w:left w:w="15" w:type="dxa"/>
              <w:right w:w="15" w:type="dxa"/>
            </w:tcMar>
            <w:vAlign w:val="center"/>
          </w:tcPr>
          <w:p w14:paraId="535AC59F">
            <w:pPr>
              <w:spacing w:line="240" w:lineRule="auto"/>
              <w:jc w:val="center"/>
              <w:rPr>
                <w:color w:val="000000"/>
                <w:sz w:val="18"/>
                <w:szCs w:val="18"/>
              </w:rPr>
            </w:pPr>
            <w:r>
              <w:rPr>
                <w:color w:val="000000"/>
                <w:sz w:val="18"/>
                <w:szCs w:val="18"/>
              </w:rPr>
              <w:t>19</w:t>
            </w:r>
          </w:p>
        </w:tc>
        <w:tc>
          <w:tcPr>
            <w:tcW w:w="878" w:type="pct"/>
            <w:tcBorders>
              <w:tl2br w:val="nil"/>
              <w:tr2bl w:val="nil"/>
            </w:tcBorders>
            <w:tcMar>
              <w:top w:w="15" w:type="dxa"/>
              <w:left w:w="15" w:type="dxa"/>
              <w:right w:w="15" w:type="dxa"/>
            </w:tcMar>
            <w:vAlign w:val="center"/>
          </w:tcPr>
          <w:p w14:paraId="2A6D43FB">
            <w:pPr>
              <w:spacing w:line="240" w:lineRule="auto"/>
              <w:jc w:val="center"/>
              <w:rPr>
                <w:color w:val="000000"/>
                <w:sz w:val="18"/>
                <w:szCs w:val="18"/>
              </w:rPr>
            </w:pPr>
            <w:r>
              <w:rPr>
                <w:color w:val="000000"/>
                <w:sz w:val="18"/>
                <w:szCs w:val="18"/>
              </w:rPr>
              <w:t>1,1,2,2-四氯乙烷</w:t>
            </w:r>
          </w:p>
        </w:tc>
        <w:tc>
          <w:tcPr>
            <w:tcW w:w="445" w:type="pct"/>
            <w:tcBorders>
              <w:tl2br w:val="nil"/>
              <w:tr2bl w:val="nil"/>
            </w:tcBorders>
            <w:tcMar>
              <w:top w:w="15" w:type="dxa"/>
              <w:left w:w="15" w:type="dxa"/>
              <w:right w:w="15" w:type="dxa"/>
            </w:tcMar>
            <w:vAlign w:val="center"/>
          </w:tcPr>
          <w:p w14:paraId="1AE3B97C">
            <w:pPr>
              <w:spacing w:line="240" w:lineRule="auto"/>
              <w:jc w:val="center"/>
              <w:rPr>
                <w:color w:val="000000"/>
                <w:sz w:val="18"/>
                <w:szCs w:val="18"/>
              </w:rPr>
            </w:pPr>
            <w:r>
              <w:rPr>
                <w:color w:val="000000"/>
                <w:sz w:val="18"/>
                <w:szCs w:val="18"/>
              </w:rPr>
              <w:t>6.8</w:t>
            </w:r>
          </w:p>
        </w:tc>
        <w:tc>
          <w:tcPr>
            <w:tcW w:w="302" w:type="pct"/>
            <w:tcBorders>
              <w:tl2br w:val="nil"/>
              <w:tr2bl w:val="nil"/>
            </w:tcBorders>
            <w:tcMar>
              <w:top w:w="15" w:type="dxa"/>
              <w:left w:w="15" w:type="dxa"/>
              <w:right w:w="15" w:type="dxa"/>
            </w:tcMar>
            <w:vAlign w:val="center"/>
          </w:tcPr>
          <w:p w14:paraId="048D9378">
            <w:pPr>
              <w:spacing w:line="240" w:lineRule="auto"/>
              <w:jc w:val="center"/>
              <w:rPr>
                <w:color w:val="000000"/>
                <w:sz w:val="18"/>
                <w:szCs w:val="18"/>
              </w:rPr>
            </w:pPr>
            <w:r>
              <w:rPr>
                <w:color w:val="000000"/>
                <w:sz w:val="18"/>
                <w:szCs w:val="18"/>
              </w:rPr>
              <w:t>35</w:t>
            </w:r>
          </w:p>
        </w:tc>
        <w:tc>
          <w:tcPr>
            <w:tcW w:w="1056" w:type="pct"/>
            <w:tcBorders>
              <w:tl2br w:val="nil"/>
              <w:tr2bl w:val="nil"/>
            </w:tcBorders>
            <w:tcMar>
              <w:top w:w="15" w:type="dxa"/>
              <w:left w:w="15" w:type="dxa"/>
              <w:right w:w="15" w:type="dxa"/>
            </w:tcMar>
            <w:vAlign w:val="center"/>
          </w:tcPr>
          <w:p w14:paraId="42ADBA75">
            <w:pPr>
              <w:spacing w:line="240" w:lineRule="auto"/>
              <w:jc w:val="center"/>
              <w:rPr>
                <w:color w:val="000000"/>
                <w:sz w:val="18"/>
                <w:szCs w:val="18"/>
              </w:rPr>
            </w:pPr>
            <w:r>
              <w:rPr>
                <w:color w:val="000000"/>
                <w:sz w:val="18"/>
                <w:szCs w:val="18"/>
              </w:rPr>
              <w:t>硝基苯</w:t>
            </w:r>
          </w:p>
        </w:tc>
        <w:tc>
          <w:tcPr>
            <w:tcW w:w="461" w:type="pct"/>
            <w:tcBorders>
              <w:tl2br w:val="nil"/>
              <w:tr2bl w:val="nil"/>
            </w:tcBorders>
            <w:tcMar>
              <w:top w:w="15" w:type="dxa"/>
              <w:left w:w="15" w:type="dxa"/>
              <w:right w:w="15" w:type="dxa"/>
            </w:tcMar>
            <w:vAlign w:val="center"/>
          </w:tcPr>
          <w:p w14:paraId="4647C65E">
            <w:pPr>
              <w:spacing w:line="240" w:lineRule="auto"/>
              <w:jc w:val="center"/>
              <w:rPr>
                <w:color w:val="000000"/>
                <w:sz w:val="18"/>
                <w:szCs w:val="18"/>
              </w:rPr>
            </w:pPr>
            <w:r>
              <w:rPr>
                <w:color w:val="000000"/>
                <w:sz w:val="18"/>
                <w:szCs w:val="18"/>
              </w:rPr>
              <w:t>76</w:t>
            </w:r>
          </w:p>
        </w:tc>
      </w:tr>
      <w:tr w14:paraId="4C229708">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48" w:hRule="atLeast"/>
          <w:jc w:val="center"/>
        </w:trPr>
        <w:tc>
          <w:tcPr>
            <w:tcW w:w="315" w:type="pct"/>
            <w:tcBorders>
              <w:tl2br w:val="nil"/>
              <w:tr2bl w:val="nil"/>
            </w:tcBorders>
            <w:tcMar>
              <w:top w:w="15" w:type="dxa"/>
              <w:left w:w="15" w:type="dxa"/>
              <w:right w:w="15" w:type="dxa"/>
            </w:tcMar>
            <w:vAlign w:val="center"/>
          </w:tcPr>
          <w:p w14:paraId="4DE78C6B">
            <w:pPr>
              <w:spacing w:line="240" w:lineRule="auto"/>
              <w:jc w:val="center"/>
              <w:rPr>
                <w:color w:val="000000"/>
                <w:sz w:val="18"/>
                <w:szCs w:val="18"/>
              </w:rPr>
            </w:pPr>
            <w:r>
              <w:rPr>
                <w:color w:val="000000"/>
                <w:sz w:val="18"/>
                <w:szCs w:val="18"/>
              </w:rPr>
              <w:t>4</w:t>
            </w:r>
          </w:p>
        </w:tc>
        <w:tc>
          <w:tcPr>
            <w:tcW w:w="813" w:type="pct"/>
            <w:tcBorders>
              <w:tl2br w:val="nil"/>
              <w:tr2bl w:val="nil"/>
            </w:tcBorders>
            <w:tcMar>
              <w:top w:w="15" w:type="dxa"/>
              <w:left w:w="15" w:type="dxa"/>
              <w:right w:w="15" w:type="dxa"/>
            </w:tcMar>
            <w:vAlign w:val="center"/>
          </w:tcPr>
          <w:p w14:paraId="0567DC20">
            <w:pPr>
              <w:spacing w:line="240" w:lineRule="auto"/>
              <w:jc w:val="center"/>
              <w:rPr>
                <w:color w:val="000000"/>
                <w:sz w:val="18"/>
                <w:szCs w:val="18"/>
              </w:rPr>
            </w:pPr>
            <w:r>
              <w:rPr>
                <w:color w:val="000000"/>
                <w:sz w:val="18"/>
                <w:szCs w:val="18"/>
              </w:rPr>
              <w:t>铜</w:t>
            </w:r>
          </w:p>
        </w:tc>
        <w:tc>
          <w:tcPr>
            <w:tcW w:w="397" w:type="pct"/>
            <w:tcBorders>
              <w:tl2br w:val="nil"/>
              <w:tr2bl w:val="nil"/>
            </w:tcBorders>
            <w:tcMar>
              <w:top w:w="15" w:type="dxa"/>
              <w:left w:w="15" w:type="dxa"/>
              <w:right w:w="15" w:type="dxa"/>
            </w:tcMar>
            <w:vAlign w:val="center"/>
          </w:tcPr>
          <w:p w14:paraId="6DE4F423">
            <w:pPr>
              <w:spacing w:line="240" w:lineRule="auto"/>
              <w:jc w:val="center"/>
              <w:rPr>
                <w:color w:val="000000"/>
                <w:sz w:val="18"/>
                <w:szCs w:val="18"/>
              </w:rPr>
            </w:pPr>
            <w:r>
              <w:rPr>
                <w:color w:val="000000"/>
                <w:sz w:val="18"/>
                <w:szCs w:val="18"/>
              </w:rPr>
              <w:t>18000</w:t>
            </w:r>
          </w:p>
        </w:tc>
        <w:tc>
          <w:tcPr>
            <w:tcW w:w="334" w:type="pct"/>
            <w:tcBorders>
              <w:tl2br w:val="nil"/>
              <w:tr2bl w:val="nil"/>
            </w:tcBorders>
            <w:tcMar>
              <w:top w:w="15" w:type="dxa"/>
              <w:left w:w="15" w:type="dxa"/>
              <w:right w:w="15" w:type="dxa"/>
            </w:tcMar>
            <w:vAlign w:val="center"/>
          </w:tcPr>
          <w:p w14:paraId="01731A6A">
            <w:pPr>
              <w:spacing w:line="240" w:lineRule="auto"/>
              <w:jc w:val="center"/>
              <w:rPr>
                <w:color w:val="000000"/>
                <w:sz w:val="18"/>
                <w:szCs w:val="18"/>
              </w:rPr>
            </w:pPr>
            <w:r>
              <w:rPr>
                <w:color w:val="000000"/>
                <w:sz w:val="18"/>
                <w:szCs w:val="18"/>
              </w:rPr>
              <w:t>20</w:t>
            </w:r>
          </w:p>
        </w:tc>
        <w:tc>
          <w:tcPr>
            <w:tcW w:w="878" w:type="pct"/>
            <w:tcBorders>
              <w:tl2br w:val="nil"/>
              <w:tr2bl w:val="nil"/>
            </w:tcBorders>
            <w:tcMar>
              <w:top w:w="15" w:type="dxa"/>
              <w:left w:w="15" w:type="dxa"/>
              <w:right w:w="15" w:type="dxa"/>
            </w:tcMar>
            <w:vAlign w:val="center"/>
          </w:tcPr>
          <w:p w14:paraId="1413D6B4">
            <w:pPr>
              <w:spacing w:line="240" w:lineRule="auto"/>
              <w:jc w:val="center"/>
              <w:rPr>
                <w:color w:val="000000"/>
                <w:sz w:val="18"/>
                <w:szCs w:val="18"/>
              </w:rPr>
            </w:pPr>
            <w:r>
              <w:rPr>
                <w:color w:val="000000"/>
                <w:sz w:val="18"/>
                <w:szCs w:val="18"/>
              </w:rPr>
              <w:t>四氯乙烯</w:t>
            </w:r>
          </w:p>
        </w:tc>
        <w:tc>
          <w:tcPr>
            <w:tcW w:w="445" w:type="pct"/>
            <w:tcBorders>
              <w:tl2br w:val="nil"/>
              <w:tr2bl w:val="nil"/>
            </w:tcBorders>
            <w:tcMar>
              <w:top w:w="15" w:type="dxa"/>
              <w:left w:w="15" w:type="dxa"/>
              <w:right w:w="15" w:type="dxa"/>
            </w:tcMar>
            <w:vAlign w:val="center"/>
          </w:tcPr>
          <w:p w14:paraId="0139E129">
            <w:pPr>
              <w:spacing w:line="240" w:lineRule="auto"/>
              <w:jc w:val="center"/>
              <w:rPr>
                <w:color w:val="000000"/>
                <w:sz w:val="18"/>
                <w:szCs w:val="18"/>
              </w:rPr>
            </w:pPr>
            <w:r>
              <w:rPr>
                <w:color w:val="000000"/>
                <w:sz w:val="18"/>
                <w:szCs w:val="18"/>
              </w:rPr>
              <w:t>53</w:t>
            </w:r>
          </w:p>
        </w:tc>
        <w:tc>
          <w:tcPr>
            <w:tcW w:w="302" w:type="pct"/>
            <w:tcBorders>
              <w:tl2br w:val="nil"/>
              <w:tr2bl w:val="nil"/>
            </w:tcBorders>
            <w:tcMar>
              <w:top w:w="15" w:type="dxa"/>
              <w:left w:w="15" w:type="dxa"/>
              <w:right w:w="15" w:type="dxa"/>
            </w:tcMar>
            <w:vAlign w:val="center"/>
          </w:tcPr>
          <w:p w14:paraId="4B6546D0">
            <w:pPr>
              <w:spacing w:line="240" w:lineRule="auto"/>
              <w:jc w:val="center"/>
              <w:rPr>
                <w:color w:val="000000"/>
                <w:sz w:val="18"/>
                <w:szCs w:val="18"/>
              </w:rPr>
            </w:pPr>
            <w:r>
              <w:rPr>
                <w:color w:val="000000"/>
                <w:sz w:val="18"/>
                <w:szCs w:val="18"/>
              </w:rPr>
              <w:t>36</w:t>
            </w:r>
          </w:p>
        </w:tc>
        <w:tc>
          <w:tcPr>
            <w:tcW w:w="1056" w:type="pct"/>
            <w:tcBorders>
              <w:tl2br w:val="nil"/>
              <w:tr2bl w:val="nil"/>
            </w:tcBorders>
            <w:tcMar>
              <w:top w:w="15" w:type="dxa"/>
              <w:left w:w="15" w:type="dxa"/>
              <w:right w:w="15" w:type="dxa"/>
            </w:tcMar>
            <w:vAlign w:val="center"/>
          </w:tcPr>
          <w:p w14:paraId="2DE425B6">
            <w:pPr>
              <w:spacing w:line="240" w:lineRule="auto"/>
              <w:jc w:val="center"/>
              <w:rPr>
                <w:color w:val="000000"/>
                <w:sz w:val="18"/>
                <w:szCs w:val="18"/>
              </w:rPr>
            </w:pPr>
            <w:r>
              <w:rPr>
                <w:color w:val="000000"/>
                <w:sz w:val="18"/>
                <w:szCs w:val="18"/>
              </w:rPr>
              <w:t>苯胺</w:t>
            </w:r>
          </w:p>
        </w:tc>
        <w:tc>
          <w:tcPr>
            <w:tcW w:w="461" w:type="pct"/>
            <w:tcBorders>
              <w:tl2br w:val="nil"/>
              <w:tr2bl w:val="nil"/>
            </w:tcBorders>
            <w:tcMar>
              <w:top w:w="15" w:type="dxa"/>
              <w:left w:w="15" w:type="dxa"/>
              <w:right w:w="15" w:type="dxa"/>
            </w:tcMar>
            <w:vAlign w:val="center"/>
          </w:tcPr>
          <w:p w14:paraId="0E942D9F">
            <w:pPr>
              <w:spacing w:line="240" w:lineRule="auto"/>
              <w:jc w:val="center"/>
              <w:rPr>
                <w:color w:val="000000"/>
                <w:sz w:val="18"/>
                <w:szCs w:val="18"/>
              </w:rPr>
            </w:pPr>
            <w:r>
              <w:rPr>
                <w:color w:val="000000"/>
                <w:sz w:val="18"/>
                <w:szCs w:val="18"/>
              </w:rPr>
              <w:t>260</w:t>
            </w:r>
          </w:p>
        </w:tc>
      </w:tr>
      <w:tr w14:paraId="7674A28B">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519908F6">
            <w:pPr>
              <w:spacing w:line="240" w:lineRule="auto"/>
              <w:jc w:val="center"/>
              <w:rPr>
                <w:color w:val="000000"/>
                <w:sz w:val="18"/>
                <w:szCs w:val="18"/>
              </w:rPr>
            </w:pPr>
            <w:r>
              <w:rPr>
                <w:color w:val="000000"/>
                <w:sz w:val="18"/>
                <w:szCs w:val="18"/>
              </w:rPr>
              <w:t>5</w:t>
            </w:r>
          </w:p>
        </w:tc>
        <w:tc>
          <w:tcPr>
            <w:tcW w:w="813" w:type="pct"/>
            <w:tcBorders>
              <w:tl2br w:val="nil"/>
              <w:tr2bl w:val="nil"/>
            </w:tcBorders>
            <w:tcMar>
              <w:top w:w="15" w:type="dxa"/>
              <w:left w:w="15" w:type="dxa"/>
              <w:right w:w="15" w:type="dxa"/>
            </w:tcMar>
            <w:vAlign w:val="center"/>
          </w:tcPr>
          <w:p w14:paraId="7EF67D9E">
            <w:pPr>
              <w:spacing w:line="240" w:lineRule="auto"/>
              <w:jc w:val="center"/>
              <w:rPr>
                <w:color w:val="000000"/>
                <w:sz w:val="18"/>
                <w:szCs w:val="18"/>
              </w:rPr>
            </w:pPr>
            <w:r>
              <w:rPr>
                <w:color w:val="000000"/>
                <w:sz w:val="18"/>
                <w:szCs w:val="18"/>
              </w:rPr>
              <w:t>铅</w:t>
            </w:r>
          </w:p>
        </w:tc>
        <w:tc>
          <w:tcPr>
            <w:tcW w:w="397" w:type="pct"/>
            <w:tcBorders>
              <w:tl2br w:val="nil"/>
              <w:tr2bl w:val="nil"/>
            </w:tcBorders>
            <w:tcMar>
              <w:top w:w="15" w:type="dxa"/>
              <w:left w:w="15" w:type="dxa"/>
              <w:right w:w="15" w:type="dxa"/>
            </w:tcMar>
            <w:vAlign w:val="center"/>
          </w:tcPr>
          <w:p w14:paraId="591F54F3">
            <w:pPr>
              <w:spacing w:line="240" w:lineRule="auto"/>
              <w:jc w:val="center"/>
              <w:rPr>
                <w:color w:val="000000"/>
                <w:sz w:val="18"/>
                <w:szCs w:val="18"/>
              </w:rPr>
            </w:pPr>
            <w:r>
              <w:rPr>
                <w:color w:val="000000"/>
                <w:sz w:val="18"/>
                <w:szCs w:val="18"/>
              </w:rPr>
              <w:t>800</w:t>
            </w:r>
          </w:p>
        </w:tc>
        <w:tc>
          <w:tcPr>
            <w:tcW w:w="334" w:type="pct"/>
            <w:tcBorders>
              <w:tl2br w:val="nil"/>
              <w:tr2bl w:val="nil"/>
            </w:tcBorders>
            <w:tcMar>
              <w:top w:w="15" w:type="dxa"/>
              <w:left w:w="15" w:type="dxa"/>
              <w:right w:w="15" w:type="dxa"/>
            </w:tcMar>
            <w:vAlign w:val="center"/>
          </w:tcPr>
          <w:p w14:paraId="144B11D5">
            <w:pPr>
              <w:spacing w:line="240" w:lineRule="auto"/>
              <w:jc w:val="center"/>
              <w:rPr>
                <w:color w:val="000000"/>
                <w:sz w:val="18"/>
                <w:szCs w:val="18"/>
              </w:rPr>
            </w:pPr>
            <w:r>
              <w:rPr>
                <w:color w:val="000000"/>
                <w:sz w:val="18"/>
                <w:szCs w:val="18"/>
              </w:rPr>
              <w:t>21</w:t>
            </w:r>
          </w:p>
        </w:tc>
        <w:tc>
          <w:tcPr>
            <w:tcW w:w="878" w:type="pct"/>
            <w:tcBorders>
              <w:tl2br w:val="nil"/>
              <w:tr2bl w:val="nil"/>
            </w:tcBorders>
            <w:tcMar>
              <w:top w:w="15" w:type="dxa"/>
              <w:left w:w="15" w:type="dxa"/>
              <w:right w:w="15" w:type="dxa"/>
            </w:tcMar>
            <w:vAlign w:val="center"/>
          </w:tcPr>
          <w:p w14:paraId="6777A11E">
            <w:pPr>
              <w:spacing w:line="240" w:lineRule="auto"/>
              <w:jc w:val="center"/>
              <w:rPr>
                <w:color w:val="000000"/>
                <w:sz w:val="18"/>
                <w:szCs w:val="18"/>
              </w:rPr>
            </w:pPr>
            <w:r>
              <w:rPr>
                <w:color w:val="000000"/>
                <w:sz w:val="18"/>
                <w:szCs w:val="18"/>
              </w:rPr>
              <w:t>1,1,1-三氯乙烷</w:t>
            </w:r>
          </w:p>
        </w:tc>
        <w:tc>
          <w:tcPr>
            <w:tcW w:w="445" w:type="pct"/>
            <w:tcBorders>
              <w:tl2br w:val="nil"/>
              <w:tr2bl w:val="nil"/>
            </w:tcBorders>
            <w:tcMar>
              <w:top w:w="15" w:type="dxa"/>
              <w:left w:w="15" w:type="dxa"/>
              <w:right w:w="15" w:type="dxa"/>
            </w:tcMar>
            <w:vAlign w:val="center"/>
          </w:tcPr>
          <w:p w14:paraId="1DBE2C23">
            <w:pPr>
              <w:spacing w:line="240" w:lineRule="auto"/>
              <w:jc w:val="center"/>
              <w:rPr>
                <w:color w:val="000000"/>
                <w:sz w:val="18"/>
                <w:szCs w:val="18"/>
              </w:rPr>
            </w:pPr>
            <w:r>
              <w:rPr>
                <w:color w:val="000000"/>
                <w:sz w:val="18"/>
                <w:szCs w:val="18"/>
              </w:rPr>
              <w:t>840</w:t>
            </w:r>
          </w:p>
        </w:tc>
        <w:tc>
          <w:tcPr>
            <w:tcW w:w="302" w:type="pct"/>
            <w:tcBorders>
              <w:tl2br w:val="nil"/>
              <w:tr2bl w:val="nil"/>
            </w:tcBorders>
            <w:tcMar>
              <w:top w:w="15" w:type="dxa"/>
              <w:left w:w="15" w:type="dxa"/>
              <w:right w:w="15" w:type="dxa"/>
            </w:tcMar>
            <w:vAlign w:val="center"/>
          </w:tcPr>
          <w:p w14:paraId="4F47A952">
            <w:pPr>
              <w:spacing w:line="240" w:lineRule="auto"/>
              <w:jc w:val="center"/>
              <w:rPr>
                <w:color w:val="000000"/>
                <w:sz w:val="18"/>
                <w:szCs w:val="18"/>
              </w:rPr>
            </w:pPr>
            <w:r>
              <w:rPr>
                <w:color w:val="000000"/>
                <w:sz w:val="18"/>
                <w:szCs w:val="18"/>
              </w:rPr>
              <w:t>37</w:t>
            </w:r>
          </w:p>
        </w:tc>
        <w:tc>
          <w:tcPr>
            <w:tcW w:w="1056" w:type="pct"/>
            <w:tcBorders>
              <w:tl2br w:val="nil"/>
              <w:tr2bl w:val="nil"/>
            </w:tcBorders>
            <w:tcMar>
              <w:top w:w="15" w:type="dxa"/>
              <w:left w:w="15" w:type="dxa"/>
              <w:right w:w="15" w:type="dxa"/>
            </w:tcMar>
            <w:vAlign w:val="center"/>
          </w:tcPr>
          <w:p w14:paraId="2DCF37A0">
            <w:pPr>
              <w:spacing w:line="240" w:lineRule="auto"/>
              <w:jc w:val="center"/>
              <w:rPr>
                <w:color w:val="000000"/>
                <w:sz w:val="18"/>
                <w:szCs w:val="18"/>
              </w:rPr>
            </w:pPr>
            <w:r>
              <w:rPr>
                <w:color w:val="000000"/>
                <w:sz w:val="18"/>
                <w:szCs w:val="18"/>
              </w:rPr>
              <w:t>2-氯酚</w:t>
            </w:r>
          </w:p>
        </w:tc>
        <w:tc>
          <w:tcPr>
            <w:tcW w:w="461" w:type="pct"/>
            <w:tcBorders>
              <w:tl2br w:val="nil"/>
              <w:tr2bl w:val="nil"/>
            </w:tcBorders>
            <w:tcMar>
              <w:top w:w="15" w:type="dxa"/>
              <w:left w:w="15" w:type="dxa"/>
              <w:right w:w="15" w:type="dxa"/>
            </w:tcMar>
            <w:vAlign w:val="center"/>
          </w:tcPr>
          <w:p w14:paraId="1EE9E04B">
            <w:pPr>
              <w:spacing w:line="240" w:lineRule="auto"/>
              <w:jc w:val="center"/>
              <w:rPr>
                <w:color w:val="000000"/>
                <w:sz w:val="18"/>
                <w:szCs w:val="18"/>
              </w:rPr>
            </w:pPr>
            <w:r>
              <w:rPr>
                <w:color w:val="000000"/>
                <w:sz w:val="18"/>
                <w:szCs w:val="18"/>
              </w:rPr>
              <w:t>2256</w:t>
            </w:r>
          </w:p>
        </w:tc>
      </w:tr>
      <w:tr w14:paraId="76D20FFB">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255097A1">
            <w:pPr>
              <w:spacing w:line="240" w:lineRule="auto"/>
              <w:jc w:val="center"/>
              <w:rPr>
                <w:color w:val="000000"/>
                <w:sz w:val="18"/>
                <w:szCs w:val="18"/>
              </w:rPr>
            </w:pPr>
            <w:r>
              <w:rPr>
                <w:color w:val="000000"/>
                <w:sz w:val="18"/>
                <w:szCs w:val="18"/>
              </w:rPr>
              <w:t>6</w:t>
            </w:r>
          </w:p>
        </w:tc>
        <w:tc>
          <w:tcPr>
            <w:tcW w:w="813" w:type="pct"/>
            <w:tcBorders>
              <w:tl2br w:val="nil"/>
              <w:tr2bl w:val="nil"/>
            </w:tcBorders>
            <w:tcMar>
              <w:top w:w="15" w:type="dxa"/>
              <w:left w:w="15" w:type="dxa"/>
              <w:right w:w="15" w:type="dxa"/>
            </w:tcMar>
            <w:vAlign w:val="center"/>
          </w:tcPr>
          <w:p w14:paraId="68219445">
            <w:pPr>
              <w:spacing w:line="240" w:lineRule="auto"/>
              <w:jc w:val="center"/>
              <w:rPr>
                <w:color w:val="000000"/>
                <w:sz w:val="18"/>
                <w:szCs w:val="18"/>
              </w:rPr>
            </w:pPr>
            <w:r>
              <w:rPr>
                <w:color w:val="000000"/>
                <w:sz w:val="18"/>
                <w:szCs w:val="18"/>
              </w:rPr>
              <w:t>汞</w:t>
            </w:r>
          </w:p>
        </w:tc>
        <w:tc>
          <w:tcPr>
            <w:tcW w:w="397" w:type="pct"/>
            <w:tcBorders>
              <w:tl2br w:val="nil"/>
              <w:tr2bl w:val="nil"/>
            </w:tcBorders>
            <w:tcMar>
              <w:top w:w="15" w:type="dxa"/>
              <w:left w:w="15" w:type="dxa"/>
              <w:right w:w="15" w:type="dxa"/>
            </w:tcMar>
            <w:vAlign w:val="center"/>
          </w:tcPr>
          <w:p w14:paraId="3916B0EE">
            <w:pPr>
              <w:spacing w:line="240" w:lineRule="auto"/>
              <w:jc w:val="center"/>
              <w:rPr>
                <w:color w:val="000000"/>
                <w:sz w:val="18"/>
                <w:szCs w:val="18"/>
              </w:rPr>
            </w:pPr>
            <w:r>
              <w:rPr>
                <w:color w:val="000000"/>
                <w:sz w:val="18"/>
                <w:szCs w:val="18"/>
              </w:rPr>
              <w:t>38</w:t>
            </w:r>
          </w:p>
        </w:tc>
        <w:tc>
          <w:tcPr>
            <w:tcW w:w="334" w:type="pct"/>
            <w:tcBorders>
              <w:tl2br w:val="nil"/>
              <w:tr2bl w:val="nil"/>
            </w:tcBorders>
            <w:tcMar>
              <w:top w:w="15" w:type="dxa"/>
              <w:left w:w="15" w:type="dxa"/>
              <w:right w:w="15" w:type="dxa"/>
            </w:tcMar>
            <w:vAlign w:val="center"/>
          </w:tcPr>
          <w:p w14:paraId="3E0C1F4D">
            <w:pPr>
              <w:spacing w:line="240" w:lineRule="auto"/>
              <w:jc w:val="center"/>
              <w:rPr>
                <w:color w:val="000000"/>
                <w:sz w:val="18"/>
                <w:szCs w:val="18"/>
              </w:rPr>
            </w:pPr>
            <w:r>
              <w:rPr>
                <w:color w:val="000000"/>
                <w:sz w:val="18"/>
                <w:szCs w:val="18"/>
              </w:rPr>
              <w:t>22</w:t>
            </w:r>
          </w:p>
        </w:tc>
        <w:tc>
          <w:tcPr>
            <w:tcW w:w="878" w:type="pct"/>
            <w:tcBorders>
              <w:tl2br w:val="nil"/>
              <w:tr2bl w:val="nil"/>
            </w:tcBorders>
            <w:tcMar>
              <w:top w:w="15" w:type="dxa"/>
              <w:left w:w="15" w:type="dxa"/>
              <w:right w:w="15" w:type="dxa"/>
            </w:tcMar>
            <w:vAlign w:val="center"/>
          </w:tcPr>
          <w:p w14:paraId="516162BE">
            <w:pPr>
              <w:spacing w:line="240" w:lineRule="auto"/>
              <w:jc w:val="center"/>
              <w:rPr>
                <w:color w:val="000000"/>
                <w:sz w:val="18"/>
                <w:szCs w:val="18"/>
              </w:rPr>
            </w:pPr>
            <w:r>
              <w:rPr>
                <w:color w:val="000000"/>
                <w:sz w:val="18"/>
                <w:szCs w:val="18"/>
              </w:rPr>
              <w:t>1,1,2-三氯乙烷</w:t>
            </w:r>
          </w:p>
        </w:tc>
        <w:tc>
          <w:tcPr>
            <w:tcW w:w="445" w:type="pct"/>
            <w:tcBorders>
              <w:tl2br w:val="nil"/>
              <w:tr2bl w:val="nil"/>
            </w:tcBorders>
            <w:tcMar>
              <w:top w:w="15" w:type="dxa"/>
              <w:left w:w="15" w:type="dxa"/>
              <w:right w:w="15" w:type="dxa"/>
            </w:tcMar>
            <w:vAlign w:val="center"/>
          </w:tcPr>
          <w:p w14:paraId="41BFBEBC">
            <w:pPr>
              <w:spacing w:line="240" w:lineRule="auto"/>
              <w:jc w:val="center"/>
              <w:rPr>
                <w:color w:val="000000"/>
                <w:sz w:val="18"/>
                <w:szCs w:val="18"/>
              </w:rPr>
            </w:pPr>
            <w:r>
              <w:rPr>
                <w:color w:val="000000"/>
                <w:sz w:val="18"/>
                <w:szCs w:val="18"/>
              </w:rPr>
              <w:t>2.8</w:t>
            </w:r>
          </w:p>
        </w:tc>
        <w:tc>
          <w:tcPr>
            <w:tcW w:w="302" w:type="pct"/>
            <w:tcBorders>
              <w:tl2br w:val="nil"/>
              <w:tr2bl w:val="nil"/>
            </w:tcBorders>
            <w:tcMar>
              <w:top w:w="15" w:type="dxa"/>
              <w:left w:w="15" w:type="dxa"/>
              <w:right w:w="15" w:type="dxa"/>
            </w:tcMar>
            <w:vAlign w:val="center"/>
          </w:tcPr>
          <w:p w14:paraId="0446603B">
            <w:pPr>
              <w:spacing w:line="240" w:lineRule="auto"/>
              <w:jc w:val="center"/>
              <w:rPr>
                <w:color w:val="000000"/>
                <w:sz w:val="18"/>
                <w:szCs w:val="18"/>
              </w:rPr>
            </w:pPr>
            <w:r>
              <w:rPr>
                <w:color w:val="000000"/>
                <w:sz w:val="18"/>
                <w:szCs w:val="18"/>
              </w:rPr>
              <w:t>38</w:t>
            </w:r>
          </w:p>
        </w:tc>
        <w:tc>
          <w:tcPr>
            <w:tcW w:w="1056" w:type="pct"/>
            <w:tcBorders>
              <w:tl2br w:val="nil"/>
              <w:tr2bl w:val="nil"/>
            </w:tcBorders>
            <w:tcMar>
              <w:top w:w="15" w:type="dxa"/>
              <w:left w:w="15" w:type="dxa"/>
              <w:right w:w="15" w:type="dxa"/>
            </w:tcMar>
            <w:vAlign w:val="center"/>
          </w:tcPr>
          <w:p w14:paraId="697E154A">
            <w:pPr>
              <w:spacing w:line="240" w:lineRule="auto"/>
              <w:jc w:val="center"/>
              <w:rPr>
                <w:color w:val="000000"/>
                <w:sz w:val="18"/>
                <w:szCs w:val="18"/>
              </w:rPr>
            </w:pPr>
            <w:r>
              <w:rPr>
                <w:color w:val="000000"/>
                <w:sz w:val="18"/>
                <w:szCs w:val="18"/>
              </w:rPr>
              <w:t>苯并[a]芘</w:t>
            </w:r>
          </w:p>
        </w:tc>
        <w:tc>
          <w:tcPr>
            <w:tcW w:w="461" w:type="pct"/>
            <w:tcBorders>
              <w:tl2br w:val="nil"/>
              <w:tr2bl w:val="nil"/>
            </w:tcBorders>
            <w:tcMar>
              <w:top w:w="15" w:type="dxa"/>
              <w:left w:w="15" w:type="dxa"/>
              <w:right w:w="15" w:type="dxa"/>
            </w:tcMar>
            <w:vAlign w:val="center"/>
          </w:tcPr>
          <w:p w14:paraId="6FF87458">
            <w:pPr>
              <w:spacing w:line="240" w:lineRule="auto"/>
              <w:jc w:val="center"/>
              <w:rPr>
                <w:color w:val="000000"/>
                <w:sz w:val="18"/>
                <w:szCs w:val="18"/>
              </w:rPr>
            </w:pPr>
            <w:r>
              <w:rPr>
                <w:color w:val="000000"/>
                <w:sz w:val="18"/>
                <w:szCs w:val="18"/>
              </w:rPr>
              <w:t>1.5</w:t>
            </w:r>
          </w:p>
        </w:tc>
      </w:tr>
      <w:tr w14:paraId="1BBC78F4">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34D38D15">
            <w:pPr>
              <w:spacing w:line="240" w:lineRule="auto"/>
              <w:jc w:val="center"/>
              <w:rPr>
                <w:color w:val="000000"/>
                <w:sz w:val="18"/>
                <w:szCs w:val="18"/>
              </w:rPr>
            </w:pPr>
            <w:r>
              <w:rPr>
                <w:color w:val="000000"/>
                <w:sz w:val="18"/>
                <w:szCs w:val="18"/>
              </w:rPr>
              <w:t>7</w:t>
            </w:r>
          </w:p>
        </w:tc>
        <w:tc>
          <w:tcPr>
            <w:tcW w:w="813" w:type="pct"/>
            <w:tcBorders>
              <w:tl2br w:val="nil"/>
              <w:tr2bl w:val="nil"/>
            </w:tcBorders>
            <w:tcMar>
              <w:top w:w="15" w:type="dxa"/>
              <w:left w:w="15" w:type="dxa"/>
              <w:right w:w="15" w:type="dxa"/>
            </w:tcMar>
            <w:vAlign w:val="center"/>
          </w:tcPr>
          <w:p w14:paraId="7380EBC9">
            <w:pPr>
              <w:spacing w:line="240" w:lineRule="auto"/>
              <w:jc w:val="center"/>
              <w:rPr>
                <w:color w:val="000000"/>
                <w:sz w:val="18"/>
                <w:szCs w:val="18"/>
              </w:rPr>
            </w:pPr>
            <w:r>
              <w:rPr>
                <w:color w:val="000000"/>
                <w:sz w:val="18"/>
                <w:szCs w:val="18"/>
              </w:rPr>
              <w:t>镍</w:t>
            </w:r>
          </w:p>
        </w:tc>
        <w:tc>
          <w:tcPr>
            <w:tcW w:w="397" w:type="pct"/>
            <w:tcBorders>
              <w:tl2br w:val="nil"/>
              <w:tr2bl w:val="nil"/>
            </w:tcBorders>
            <w:tcMar>
              <w:top w:w="15" w:type="dxa"/>
              <w:left w:w="15" w:type="dxa"/>
              <w:right w:w="15" w:type="dxa"/>
            </w:tcMar>
            <w:vAlign w:val="center"/>
          </w:tcPr>
          <w:p w14:paraId="605A8EFC">
            <w:pPr>
              <w:spacing w:line="240" w:lineRule="auto"/>
              <w:jc w:val="center"/>
              <w:rPr>
                <w:color w:val="000000"/>
                <w:sz w:val="18"/>
                <w:szCs w:val="18"/>
              </w:rPr>
            </w:pPr>
            <w:r>
              <w:rPr>
                <w:color w:val="000000"/>
                <w:sz w:val="18"/>
                <w:szCs w:val="18"/>
              </w:rPr>
              <w:t>900</w:t>
            </w:r>
          </w:p>
        </w:tc>
        <w:tc>
          <w:tcPr>
            <w:tcW w:w="334" w:type="pct"/>
            <w:tcBorders>
              <w:tl2br w:val="nil"/>
              <w:tr2bl w:val="nil"/>
            </w:tcBorders>
            <w:tcMar>
              <w:top w:w="15" w:type="dxa"/>
              <w:left w:w="15" w:type="dxa"/>
              <w:right w:w="15" w:type="dxa"/>
            </w:tcMar>
            <w:vAlign w:val="center"/>
          </w:tcPr>
          <w:p w14:paraId="45A47CB9">
            <w:pPr>
              <w:spacing w:line="240" w:lineRule="auto"/>
              <w:jc w:val="center"/>
              <w:rPr>
                <w:color w:val="000000"/>
                <w:sz w:val="18"/>
                <w:szCs w:val="18"/>
              </w:rPr>
            </w:pPr>
            <w:r>
              <w:rPr>
                <w:color w:val="000000"/>
                <w:sz w:val="18"/>
                <w:szCs w:val="18"/>
              </w:rPr>
              <w:t>23</w:t>
            </w:r>
          </w:p>
        </w:tc>
        <w:tc>
          <w:tcPr>
            <w:tcW w:w="878" w:type="pct"/>
            <w:tcBorders>
              <w:tl2br w:val="nil"/>
              <w:tr2bl w:val="nil"/>
            </w:tcBorders>
            <w:tcMar>
              <w:top w:w="15" w:type="dxa"/>
              <w:left w:w="15" w:type="dxa"/>
              <w:right w:w="15" w:type="dxa"/>
            </w:tcMar>
            <w:vAlign w:val="center"/>
          </w:tcPr>
          <w:p w14:paraId="06C10679">
            <w:pPr>
              <w:spacing w:line="240" w:lineRule="auto"/>
              <w:jc w:val="center"/>
              <w:rPr>
                <w:color w:val="000000"/>
                <w:sz w:val="18"/>
                <w:szCs w:val="18"/>
              </w:rPr>
            </w:pPr>
            <w:r>
              <w:rPr>
                <w:color w:val="000000"/>
                <w:sz w:val="18"/>
                <w:szCs w:val="18"/>
              </w:rPr>
              <w:t>三氯乙烯</w:t>
            </w:r>
          </w:p>
        </w:tc>
        <w:tc>
          <w:tcPr>
            <w:tcW w:w="445" w:type="pct"/>
            <w:tcBorders>
              <w:tl2br w:val="nil"/>
              <w:tr2bl w:val="nil"/>
            </w:tcBorders>
            <w:tcMar>
              <w:top w:w="15" w:type="dxa"/>
              <w:left w:w="15" w:type="dxa"/>
              <w:right w:w="15" w:type="dxa"/>
            </w:tcMar>
            <w:vAlign w:val="center"/>
          </w:tcPr>
          <w:p w14:paraId="3E7B3FAF">
            <w:pPr>
              <w:spacing w:line="240" w:lineRule="auto"/>
              <w:jc w:val="center"/>
              <w:rPr>
                <w:color w:val="000000"/>
                <w:sz w:val="18"/>
                <w:szCs w:val="18"/>
              </w:rPr>
            </w:pPr>
            <w:r>
              <w:rPr>
                <w:color w:val="000000"/>
                <w:sz w:val="18"/>
                <w:szCs w:val="18"/>
              </w:rPr>
              <w:t>2.8</w:t>
            </w:r>
          </w:p>
        </w:tc>
        <w:tc>
          <w:tcPr>
            <w:tcW w:w="302" w:type="pct"/>
            <w:tcBorders>
              <w:tl2br w:val="nil"/>
              <w:tr2bl w:val="nil"/>
            </w:tcBorders>
            <w:tcMar>
              <w:top w:w="15" w:type="dxa"/>
              <w:left w:w="15" w:type="dxa"/>
              <w:right w:w="15" w:type="dxa"/>
            </w:tcMar>
            <w:vAlign w:val="center"/>
          </w:tcPr>
          <w:p w14:paraId="40BE2CF6">
            <w:pPr>
              <w:spacing w:line="240" w:lineRule="auto"/>
              <w:jc w:val="center"/>
              <w:rPr>
                <w:color w:val="000000"/>
                <w:sz w:val="18"/>
                <w:szCs w:val="18"/>
              </w:rPr>
            </w:pPr>
            <w:r>
              <w:rPr>
                <w:color w:val="000000"/>
                <w:sz w:val="18"/>
                <w:szCs w:val="18"/>
              </w:rPr>
              <w:t>39</w:t>
            </w:r>
          </w:p>
        </w:tc>
        <w:tc>
          <w:tcPr>
            <w:tcW w:w="1056" w:type="pct"/>
            <w:tcBorders>
              <w:tl2br w:val="nil"/>
              <w:tr2bl w:val="nil"/>
            </w:tcBorders>
            <w:tcMar>
              <w:top w:w="15" w:type="dxa"/>
              <w:left w:w="15" w:type="dxa"/>
              <w:right w:w="15" w:type="dxa"/>
            </w:tcMar>
            <w:vAlign w:val="center"/>
          </w:tcPr>
          <w:p w14:paraId="0243AEAC">
            <w:pPr>
              <w:spacing w:line="240" w:lineRule="auto"/>
              <w:jc w:val="center"/>
              <w:rPr>
                <w:color w:val="000000"/>
                <w:sz w:val="18"/>
                <w:szCs w:val="18"/>
              </w:rPr>
            </w:pPr>
            <w:r>
              <w:rPr>
                <w:color w:val="000000"/>
                <w:sz w:val="18"/>
                <w:szCs w:val="18"/>
              </w:rPr>
              <w:t>苯并[a]蒽</w:t>
            </w:r>
          </w:p>
        </w:tc>
        <w:tc>
          <w:tcPr>
            <w:tcW w:w="461" w:type="pct"/>
            <w:tcBorders>
              <w:tl2br w:val="nil"/>
              <w:tr2bl w:val="nil"/>
            </w:tcBorders>
            <w:tcMar>
              <w:top w:w="15" w:type="dxa"/>
              <w:left w:w="15" w:type="dxa"/>
              <w:right w:w="15" w:type="dxa"/>
            </w:tcMar>
            <w:vAlign w:val="center"/>
          </w:tcPr>
          <w:p w14:paraId="0002B9B3">
            <w:pPr>
              <w:spacing w:line="240" w:lineRule="auto"/>
              <w:jc w:val="center"/>
              <w:rPr>
                <w:color w:val="000000"/>
                <w:sz w:val="18"/>
                <w:szCs w:val="18"/>
              </w:rPr>
            </w:pPr>
            <w:r>
              <w:rPr>
                <w:color w:val="000000"/>
                <w:sz w:val="18"/>
                <w:szCs w:val="18"/>
              </w:rPr>
              <w:t>15</w:t>
            </w:r>
          </w:p>
        </w:tc>
      </w:tr>
      <w:tr w14:paraId="53D68AB4">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05E9653C">
            <w:pPr>
              <w:spacing w:line="240" w:lineRule="auto"/>
              <w:jc w:val="center"/>
              <w:rPr>
                <w:color w:val="000000"/>
                <w:sz w:val="18"/>
                <w:szCs w:val="18"/>
              </w:rPr>
            </w:pPr>
            <w:r>
              <w:rPr>
                <w:color w:val="000000"/>
                <w:sz w:val="18"/>
                <w:szCs w:val="18"/>
              </w:rPr>
              <w:t>8</w:t>
            </w:r>
          </w:p>
        </w:tc>
        <w:tc>
          <w:tcPr>
            <w:tcW w:w="813" w:type="pct"/>
            <w:tcBorders>
              <w:tl2br w:val="nil"/>
              <w:tr2bl w:val="nil"/>
            </w:tcBorders>
            <w:tcMar>
              <w:top w:w="15" w:type="dxa"/>
              <w:left w:w="15" w:type="dxa"/>
              <w:right w:w="15" w:type="dxa"/>
            </w:tcMar>
            <w:vAlign w:val="center"/>
          </w:tcPr>
          <w:p w14:paraId="57495AE1">
            <w:pPr>
              <w:spacing w:line="240" w:lineRule="auto"/>
              <w:jc w:val="center"/>
              <w:rPr>
                <w:color w:val="000000"/>
                <w:sz w:val="18"/>
                <w:szCs w:val="18"/>
              </w:rPr>
            </w:pPr>
            <w:r>
              <w:rPr>
                <w:color w:val="000000"/>
                <w:sz w:val="18"/>
                <w:szCs w:val="18"/>
              </w:rPr>
              <w:t>四氯化碳</w:t>
            </w:r>
          </w:p>
        </w:tc>
        <w:tc>
          <w:tcPr>
            <w:tcW w:w="397" w:type="pct"/>
            <w:tcBorders>
              <w:tl2br w:val="nil"/>
              <w:tr2bl w:val="nil"/>
            </w:tcBorders>
            <w:tcMar>
              <w:top w:w="15" w:type="dxa"/>
              <w:left w:w="15" w:type="dxa"/>
              <w:right w:w="15" w:type="dxa"/>
            </w:tcMar>
            <w:vAlign w:val="center"/>
          </w:tcPr>
          <w:p w14:paraId="33D74336">
            <w:pPr>
              <w:spacing w:line="240" w:lineRule="auto"/>
              <w:jc w:val="center"/>
              <w:rPr>
                <w:color w:val="000000"/>
                <w:sz w:val="18"/>
                <w:szCs w:val="18"/>
              </w:rPr>
            </w:pPr>
            <w:r>
              <w:rPr>
                <w:color w:val="000000"/>
                <w:sz w:val="18"/>
                <w:szCs w:val="18"/>
              </w:rPr>
              <w:t>2.8</w:t>
            </w:r>
          </w:p>
        </w:tc>
        <w:tc>
          <w:tcPr>
            <w:tcW w:w="334" w:type="pct"/>
            <w:tcBorders>
              <w:tl2br w:val="nil"/>
              <w:tr2bl w:val="nil"/>
            </w:tcBorders>
            <w:tcMar>
              <w:top w:w="15" w:type="dxa"/>
              <w:left w:w="15" w:type="dxa"/>
              <w:right w:w="15" w:type="dxa"/>
            </w:tcMar>
            <w:vAlign w:val="center"/>
          </w:tcPr>
          <w:p w14:paraId="1DE9529C">
            <w:pPr>
              <w:spacing w:line="240" w:lineRule="auto"/>
              <w:jc w:val="center"/>
              <w:rPr>
                <w:color w:val="000000"/>
                <w:sz w:val="18"/>
                <w:szCs w:val="18"/>
              </w:rPr>
            </w:pPr>
            <w:r>
              <w:rPr>
                <w:color w:val="000000"/>
                <w:sz w:val="18"/>
                <w:szCs w:val="18"/>
              </w:rPr>
              <w:t>24</w:t>
            </w:r>
          </w:p>
        </w:tc>
        <w:tc>
          <w:tcPr>
            <w:tcW w:w="878" w:type="pct"/>
            <w:tcBorders>
              <w:tl2br w:val="nil"/>
              <w:tr2bl w:val="nil"/>
            </w:tcBorders>
            <w:tcMar>
              <w:top w:w="15" w:type="dxa"/>
              <w:left w:w="15" w:type="dxa"/>
              <w:right w:w="15" w:type="dxa"/>
            </w:tcMar>
            <w:vAlign w:val="center"/>
          </w:tcPr>
          <w:p w14:paraId="672DD7D8">
            <w:pPr>
              <w:spacing w:line="240" w:lineRule="auto"/>
              <w:jc w:val="center"/>
              <w:rPr>
                <w:color w:val="000000"/>
                <w:sz w:val="18"/>
                <w:szCs w:val="18"/>
              </w:rPr>
            </w:pPr>
            <w:r>
              <w:rPr>
                <w:color w:val="000000"/>
                <w:sz w:val="18"/>
                <w:szCs w:val="18"/>
              </w:rPr>
              <w:t>1,2,3-三氯丙烷</w:t>
            </w:r>
          </w:p>
        </w:tc>
        <w:tc>
          <w:tcPr>
            <w:tcW w:w="445" w:type="pct"/>
            <w:tcBorders>
              <w:tl2br w:val="nil"/>
              <w:tr2bl w:val="nil"/>
            </w:tcBorders>
            <w:tcMar>
              <w:top w:w="15" w:type="dxa"/>
              <w:left w:w="15" w:type="dxa"/>
              <w:right w:w="15" w:type="dxa"/>
            </w:tcMar>
            <w:vAlign w:val="center"/>
          </w:tcPr>
          <w:p w14:paraId="4B3A804B">
            <w:pPr>
              <w:spacing w:line="240" w:lineRule="auto"/>
              <w:jc w:val="center"/>
              <w:rPr>
                <w:color w:val="000000"/>
                <w:sz w:val="18"/>
                <w:szCs w:val="18"/>
              </w:rPr>
            </w:pPr>
            <w:r>
              <w:rPr>
                <w:color w:val="000000"/>
                <w:sz w:val="18"/>
                <w:szCs w:val="18"/>
              </w:rPr>
              <w:t>0.5</w:t>
            </w:r>
          </w:p>
        </w:tc>
        <w:tc>
          <w:tcPr>
            <w:tcW w:w="302" w:type="pct"/>
            <w:tcBorders>
              <w:tl2br w:val="nil"/>
              <w:tr2bl w:val="nil"/>
            </w:tcBorders>
            <w:tcMar>
              <w:top w:w="15" w:type="dxa"/>
              <w:left w:w="15" w:type="dxa"/>
              <w:right w:w="15" w:type="dxa"/>
            </w:tcMar>
            <w:vAlign w:val="center"/>
          </w:tcPr>
          <w:p w14:paraId="2A5E9790">
            <w:pPr>
              <w:spacing w:line="240" w:lineRule="auto"/>
              <w:jc w:val="center"/>
              <w:rPr>
                <w:color w:val="000000"/>
                <w:sz w:val="18"/>
                <w:szCs w:val="18"/>
              </w:rPr>
            </w:pPr>
            <w:r>
              <w:rPr>
                <w:color w:val="000000"/>
                <w:sz w:val="18"/>
                <w:szCs w:val="18"/>
              </w:rPr>
              <w:t>40</w:t>
            </w:r>
          </w:p>
        </w:tc>
        <w:tc>
          <w:tcPr>
            <w:tcW w:w="1056" w:type="pct"/>
            <w:tcBorders>
              <w:tl2br w:val="nil"/>
              <w:tr2bl w:val="nil"/>
            </w:tcBorders>
            <w:tcMar>
              <w:top w:w="15" w:type="dxa"/>
              <w:left w:w="15" w:type="dxa"/>
              <w:right w:w="15" w:type="dxa"/>
            </w:tcMar>
            <w:vAlign w:val="center"/>
          </w:tcPr>
          <w:p w14:paraId="6702726E">
            <w:pPr>
              <w:spacing w:line="240" w:lineRule="auto"/>
              <w:jc w:val="center"/>
              <w:rPr>
                <w:color w:val="000000"/>
                <w:sz w:val="18"/>
                <w:szCs w:val="18"/>
              </w:rPr>
            </w:pPr>
            <w:r>
              <w:rPr>
                <w:color w:val="000000"/>
                <w:sz w:val="18"/>
                <w:szCs w:val="18"/>
              </w:rPr>
              <w:t>苯并[b]荧蒽</w:t>
            </w:r>
          </w:p>
        </w:tc>
        <w:tc>
          <w:tcPr>
            <w:tcW w:w="461" w:type="pct"/>
            <w:tcBorders>
              <w:tl2br w:val="nil"/>
              <w:tr2bl w:val="nil"/>
            </w:tcBorders>
            <w:tcMar>
              <w:top w:w="15" w:type="dxa"/>
              <w:left w:w="15" w:type="dxa"/>
              <w:right w:w="15" w:type="dxa"/>
            </w:tcMar>
            <w:vAlign w:val="center"/>
          </w:tcPr>
          <w:p w14:paraId="293B2593">
            <w:pPr>
              <w:spacing w:line="240" w:lineRule="auto"/>
              <w:jc w:val="center"/>
              <w:rPr>
                <w:color w:val="000000"/>
                <w:sz w:val="18"/>
                <w:szCs w:val="18"/>
              </w:rPr>
            </w:pPr>
            <w:r>
              <w:rPr>
                <w:color w:val="000000"/>
                <w:sz w:val="18"/>
                <w:szCs w:val="18"/>
              </w:rPr>
              <w:t>15</w:t>
            </w:r>
          </w:p>
        </w:tc>
      </w:tr>
      <w:tr w14:paraId="69BBE0C6">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784E426B">
            <w:pPr>
              <w:spacing w:line="240" w:lineRule="auto"/>
              <w:jc w:val="center"/>
              <w:rPr>
                <w:color w:val="000000"/>
                <w:sz w:val="18"/>
                <w:szCs w:val="18"/>
              </w:rPr>
            </w:pPr>
            <w:r>
              <w:rPr>
                <w:color w:val="000000"/>
                <w:sz w:val="18"/>
                <w:szCs w:val="18"/>
              </w:rPr>
              <w:t>9</w:t>
            </w:r>
          </w:p>
        </w:tc>
        <w:tc>
          <w:tcPr>
            <w:tcW w:w="813" w:type="pct"/>
            <w:tcBorders>
              <w:tl2br w:val="nil"/>
              <w:tr2bl w:val="nil"/>
            </w:tcBorders>
            <w:tcMar>
              <w:top w:w="15" w:type="dxa"/>
              <w:left w:w="15" w:type="dxa"/>
              <w:right w:w="15" w:type="dxa"/>
            </w:tcMar>
            <w:vAlign w:val="center"/>
          </w:tcPr>
          <w:p w14:paraId="59563FC0">
            <w:pPr>
              <w:spacing w:line="240" w:lineRule="auto"/>
              <w:jc w:val="center"/>
              <w:rPr>
                <w:color w:val="000000"/>
                <w:sz w:val="18"/>
                <w:szCs w:val="18"/>
              </w:rPr>
            </w:pPr>
            <w:r>
              <w:rPr>
                <w:color w:val="000000"/>
                <w:sz w:val="18"/>
                <w:szCs w:val="18"/>
              </w:rPr>
              <w:t>氯仿</w:t>
            </w:r>
          </w:p>
        </w:tc>
        <w:tc>
          <w:tcPr>
            <w:tcW w:w="397" w:type="pct"/>
            <w:tcBorders>
              <w:tl2br w:val="nil"/>
              <w:tr2bl w:val="nil"/>
            </w:tcBorders>
            <w:tcMar>
              <w:top w:w="15" w:type="dxa"/>
              <w:left w:w="15" w:type="dxa"/>
              <w:right w:w="15" w:type="dxa"/>
            </w:tcMar>
            <w:vAlign w:val="center"/>
          </w:tcPr>
          <w:p w14:paraId="0145FE5F">
            <w:pPr>
              <w:spacing w:line="240" w:lineRule="auto"/>
              <w:jc w:val="center"/>
              <w:rPr>
                <w:color w:val="000000"/>
                <w:sz w:val="18"/>
                <w:szCs w:val="18"/>
              </w:rPr>
            </w:pPr>
            <w:r>
              <w:rPr>
                <w:color w:val="000000"/>
                <w:sz w:val="18"/>
                <w:szCs w:val="18"/>
              </w:rPr>
              <w:t>0.9</w:t>
            </w:r>
          </w:p>
        </w:tc>
        <w:tc>
          <w:tcPr>
            <w:tcW w:w="334" w:type="pct"/>
            <w:tcBorders>
              <w:tl2br w:val="nil"/>
              <w:tr2bl w:val="nil"/>
            </w:tcBorders>
            <w:tcMar>
              <w:top w:w="15" w:type="dxa"/>
              <w:left w:w="15" w:type="dxa"/>
              <w:right w:w="15" w:type="dxa"/>
            </w:tcMar>
            <w:vAlign w:val="center"/>
          </w:tcPr>
          <w:p w14:paraId="15BF3E91">
            <w:pPr>
              <w:spacing w:line="240" w:lineRule="auto"/>
              <w:jc w:val="center"/>
              <w:rPr>
                <w:color w:val="000000"/>
                <w:sz w:val="18"/>
                <w:szCs w:val="18"/>
              </w:rPr>
            </w:pPr>
            <w:r>
              <w:rPr>
                <w:color w:val="000000"/>
                <w:sz w:val="18"/>
                <w:szCs w:val="18"/>
              </w:rPr>
              <w:t>25</w:t>
            </w:r>
          </w:p>
        </w:tc>
        <w:tc>
          <w:tcPr>
            <w:tcW w:w="878" w:type="pct"/>
            <w:tcBorders>
              <w:tl2br w:val="nil"/>
              <w:tr2bl w:val="nil"/>
            </w:tcBorders>
            <w:tcMar>
              <w:top w:w="15" w:type="dxa"/>
              <w:left w:w="15" w:type="dxa"/>
              <w:right w:w="15" w:type="dxa"/>
            </w:tcMar>
            <w:vAlign w:val="center"/>
          </w:tcPr>
          <w:p w14:paraId="58B13F2F">
            <w:pPr>
              <w:spacing w:line="240" w:lineRule="auto"/>
              <w:jc w:val="center"/>
              <w:rPr>
                <w:color w:val="000000"/>
                <w:sz w:val="18"/>
                <w:szCs w:val="18"/>
              </w:rPr>
            </w:pPr>
            <w:r>
              <w:rPr>
                <w:color w:val="000000"/>
                <w:sz w:val="18"/>
                <w:szCs w:val="18"/>
              </w:rPr>
              <w:t>氯乙烯</w:t>
            </w:r>
          </w:p>
        </w:tc>
        <w:tc>
          <w:tcPr>
            <w:tcW w:w="445" w:type="pct"/>
            <w:tcBorders>
              <w:tl2br w:val="nil"/>
              <w:tr2bl w:val="nil"/>
            </w:tcBorders>
            <w:tcMar>
              <w:top w:w="15" w:type="dxa"/>
              <w:left w:w="15" w:type="dxa"/>
              <w:right w:w="15" w:type="dxa"/>
            </w:tcMar>
            <w:vAlign w:val="center"/>
          </w:tcPr>
          <w:p w14:paraId="12BFB39C">
            <w:pPr>
              <w:spacing w:line="240" w:lineRule="auto"/>
              <w:jc w:val="center"/>
              <w:rPr>
                <w:color w:val="000000"/>
                <w:sz w:val="18"/>
                <w:szCs w:val="18"/>
              </w:rPr>
            </w:pPr>
            <w:r>
              <w:rPr>
                <w:color w:val="000000"/>
                <w:sz w:val="18"/>
                <w:szCs w:val="18"/>
              </w:rPr>
              <w:t>0.43</w:t>
            </w:r>
          </w:p>
        </w:tc>
        <w:tc>
          <w:tcPr>
            <w:tcW w:w="302" w:type="pct"/>
            <w:tcBorders>
              <w:tl2br w:val="nil"/>
              <w:tr2bl w:val="nil"/>
            </w:tcBorders>
            <w:tcMar>
              <w:top w:w="15" w:type="dxa"/>
              <w:left w:w="15" w:type="dxa"/>
              <w:right w:w="15" w:type="dxa"/>
            </w:tcMar>
            <w:vAlign w:val="center"/>
          </w:tcPr>
          <w:p w14:paraId="5AE10ED8">
            <w:pPr>
              <w:spacing w:line="240" w:lineRule="auto"/>
              <w:jc w:val="center"/>
              <w:rPr>
                <w:color w:val="000000"/>
                <w:sz w:val="18"/>
                <w:szCs w:val="18"/>
              </w:rPr>
            </w:pPr>
            <w:r>
              <w:rPr>
                <w:color w:val="000000"/>
                <w:sz w:val="18"/>
                <w:szCs w:val="18"/>
              </w:rPr>
              <w:t>41</w:t>
            </w:r>
          </w:p>
        </w:tc>
        <w:tc>
          <w:tcPr>
            <w:tcW w:w="1056" w:type="pct"/>
            <w:tcBorders>
              <w:tl2br w:val="nil"/>
              <w:tr2bl w:val="nil"/>
            </w:tcBorders>
            <w:tcMar>
              <w:top w:w="15" w:type="dxa"/>
              <w:left w:w="15" w:type="dxa"/>
              <w:right w:w="15" w:type="dxa"/>
            </w:tcMar>
            <w:vAlign w:val="center"/>
          </w:tcPr>
          <w:p w14:paraId="23AF6292">
            <w:pPr>
              <w:spacing w:line="240" w:lineRule="auto"/>
              <w:jc w:val="center"/>
              <w:rPr>
                <w:color w:val="000000"/>
                <w:sz w:val="18"/>
                <w:szCs w:val="18"/>
              </w:rPr>
            </w:pPr>
            <w:r>
              <w:rPr>
                <w:color w:val="000000"/>
                <w:sz w:val="18"/>
                <w:szCs w:val="18"/>
              </w:rPr>
              <w:t>苯并[k]荧蒽</w:t>
            </w:r>
          </w:p>
        </w:tc>
        <w:tc>
          <w:tcPr>
            <w:tcW w:w="461" w:type="pct"/>
            <w:tcBorders>
              <w:tl2br w:val="nil"/>
              <w:tr2bl w:val="nil"/>
            </w:tcBorders>
            <w:tcMar>
              <w:top w:w="15" w:type="dxa"/>
              <w:left w:w="15" w:type="dxa"/>
              <w:right w:w="15" w:type="dxa"/>
            </w:tcMar>
            <w:vAlign w:val="center"/>
          </w:tcPr>
          <w:p w14:paraId="69E0A033">
            <w:pPr>
              <w:spacing w:line="240" w:lineRule="auto"/>
              <w:jc w:val="center"/>
              <w:rPr>
                <w:color w:val="000000"/>
                <w:sz w:val="18"/>
                <w:szCs w:val="18"/>
              </w:rPr>
            </w:pPr>
            <w:r>
              <w:rPr>
                <w:color w:val="000000"/>
                <w:sz w:val="18"/>
                <w:szCs w:val="18"/>
              </w:rPr>
              <w:t>151</w:t>
            </w:r>
          </w:p>
        </w:tc>
      </w:tr>
      <w:tr w14:paraId="61B05E67">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024C1C2C">
            <w:pPr>
              <w:spacing w:line="240" w:lineRule="auto"/>
              <w:jc w:val="center"/>
              <w:rPr>
                <w:color w:val="000000"/>
                <w:sz w:val="18"/>
                <w:szCs w:val="18"/>
              </w:rPr>
            </w:pPr>
            <w:r>
              <w:rPr>
                <w:color w:val="000000"/>
                <w:sz w:val="18"/>
                <w:szCs w:val="18"/>
              </w:rPr>
              <w:t>10</w:t>
            </w:r>
          </w:p>
        </w:tc>
        <w:tc>
          <w:tcPr>
            <w:tcW w:w="813" w:type="pct"/>
            <w:tcBorders>
              <w:tl2br w:val="nil"/>
              <w:tr2bl w:val="nil"/>
            </w:tcBorders>
            <w:tcMar>
              <w:top w:w="15" w:type="dxa"/>
              <w:left w:w="15" w:type="dxa"/>
              <w:right w:w="15" w:type="dxa"/>
            </w:tcMar>
            <w:vAlign w:val="center"/>
          </w:tcPr>
          <w:p w14:paraId="2AA3F3AA">
            <w:pPr>
              <w:spacing w:line="240" w:lineRule="auto"/>
              <w:jc w:val="center"/>
              <w:rPr>
                <w:color w:val="000000"/>
                <w:sz w:val="18"/>
                <w:szCs w:val="18"/>
              </w:rPr>
            </w:pPr>
            <w:r>
              <w:rPr>
                <w:color w:val="000000"/>
                <w:sz w:val="18"/>
                <w:szCs w:val="18"/>
              </w:rPr>
              <w:t>氯甲烷</w:t>
            </w:r>
          </w:p>
        </w:tc>
        <w:tc>
          <w:tcPr>
            <w:tcW w:w="397" w:type="pct"/>
            <w:tcBorders>
              <w:tl2br w:val="nil"/>
              <w:tr2bl w:val="nil"/>
            </w:tcBorders>
            <w:tcMar>
              <w:top w:w="15" w:type="dxa"/>
              <w:left w:w="15" w:type="dxa"/>
              <w:right w:w="15" w:type="dxa"/>
            </w:tcMar>
            <w:vAlign w:val="center"/>
          </w:tcPr>
          <w:p w14:paraId="7B6BA4E2">
            <w:pPr>
              <w:spacing w:line="240" w:lineRule="auto"/>
              <w:jc w:val="center"/>
              <w:rPr>
                <w:color w:val="000000"/>
                <w:sz w:val="18"/>
                <w:szCs w:val="18"/>
              </w:rPr>
            </w:pPr>
            <w:r>
              <w:rPr>
                <w:color w:val="000000"/>
                <w:sz w:val="18"/>
                <w:szCs w:val="18"/>
              </w:rPr>
              <w:t>37</w:t>
            </w:r>
          </w:p>
        </w:tc>
        <w:tc>
          <w:tcPr>
            <w:tcW w:w="334" w:type="pct"/>
            <w:tcBorders>
              <w:tl2br w:val="nil"/>
              <w:tr2bl w:val="nil"/>
            </w:tcBorders>
            <w:tcMar>
              <w:top w:w="15" w:type="dxa"/>
              <w:left w:w="15" w:type="dxa"/>
              <w:right w:w="15" w:type="dxa"/>
            </w:tcMar>
            <w:vAlign w:val="center"/>
          </w:tcPr>
          <w:p w14:paraId="3CF96B2E">
            <w:pPr>
              <w:spacing w:line="240" w:lineRule="auto"/>
              <w:jc w:val="center"/>
              <w:rPr>
                <w:color w:val="000000"/>
                <w:sz w:val="18"/>
                <w:szCs w:val="18"/>
              </w:rPr>
            </w:pPr>
            <w:r>
              <w:rPr>
                <w:color w:val="000000"/>
                <w:sz w:val="18"/>
                <w:szCs w:val="18"/>
              </w:rPr>
              <w:t>26</w:t>
            </w:r>
          </w:p>
        </w:tc>
        <w:tc>
          <w:tcPr>
            <w:tcW w:w="878" w:type="pct"/>
            <w:tcBorders>
              <w:tl2br w:val="nil"/>
              <w:tr2bl w:val="nil"/>
            </w:tcBorders>
            <w:tcMar>
              <w:top w:w="15" w:type="dxa"/>
              <w:left w:w="15" w:type="dxa"/>
              <w:right w:w="15" w:type="dxa"/>
            </w:tcMar>
            <w:vAlign w:val="center"/>
          </w:tcPr>
          <w:p w14:paraId="41C410F7">
            <w:pPr>
              <w:spacing w:line="240" w:lineRule="auto"/>
              <w:jc w:val="center"/>
              <w:rPr>
                <w:color w:val="000000"/>
                <w:sz w:val="18"/>
                <w:szCs w:val="18"/>
              </w:rPr>
            </w:pPr>
            <w:r>
              <w:rPr>
                <w:color w:val="000000"/>
                <w:sz w:val="18"/>
                <w:szCs w:val="18"/>
              </w:rPr>
              <w:t>氯苯</w:t>
            </w:r>
          </w:p>
        </w:tc>
        <w:tc>
          <w:tcPr>
            <w:tcW w:w="445" w:type="pct"/>
            <w:tcBorders>
              <w:tl2br w:val="nil"/>
              <w:tr2bl w:val="nil"/>
            </w:tcBorders>
            <w:tcMar>
              <w:top w:w="15" w:type="dxa"/>
              <w:left w:w="15" w:type="dxa"/>
              <w:right w:w="15" w:type="dxa"/>
            </w:tcMar>
            <w:vAlign w:val="center"/>
          </w:tcPr>
          <w:p w14:paraId="5A74CAE7">
            <w:pPr>
              <w:spacing w:line="240" w:lineRule="auto"/>
              <w:jc w:val="center"/>
              <w:rPr>
                <w:color w:val="000000"/>
                <w:sz w:val="18"/>
                <w:szCs w:val="18"/>
              </w:rPr>
            </w:pPr>
            <w:r>
              <w:rPr>
                <w:color w:val="000000"/>
                <w:sz w:val="18"/>
                <w:szCs w:val="18"/>
              </w:rPr>
              <w:t>270</w:t>
            </w:r>
          </w:p>
        </w:tc>
        <w:tc>
          <w:tcPr>
            <w:tcW w:w="302" w:type="pct"/>
            <w:tcBorders>
              <w:tl2br w:val="nil"/>
              <w:tr2bl w:val="nil"/>
            </w:tcBorders>
            <w:tcMar>
              <w:top w:w="15" w:type="dxa"/>
              <w:left w:w="15" w:type="dxa"/>
              <w:right w:w="15" w:type="dxa"/>
            </w:tcMar>
            <w:vAlign w:val="center"/>
          </w:tcPr>
          <w:p w14:paraId="23C18ED9">
            <w:pPr>
              <w:spacing w:line="240" w:lineRule="auto"/>
              <w:jc w:val="center"/>
              <w:rPr>
                <w:color w:val="000000"/>
                <w:sz w:val="18"/>
                <w:szCs w:val="18"/>
              </w:rPr>
            </w:pPr>
            <w:r>
              <w:rPr>
                <w:color w:val="000000"/>
                <w:sz w:val="18"/>
                <w:szCs w:val="18"/>
              </w:rPr>
              <w:t>42</w:t>
            </w:r>
          </w:p>
        </w:tc>
        <w:tc>
          <w:tcPr>
            <w:tcW w:w="1056" w:type="pct"/>
            <w:tcBorders>
              <w:tl2br w:val="nil"/>
              <w:tr2bl w:val="nil"/>
            </w:tcBorders>
            <w:tcMar>
              <w:top w:w="15" w:type="dxa"/>
              <w:left w:w="15" w:type="dxa"/>
              <w:right w:w="15" w:type="dxa"/>
            </w:tcMar>
            <w:vAlign w:val="center"/>
          </w:tcPr>
          <w:p w14:paraId="275A1567">
            <w:pPr>
              <w:spacing w:line="240" w:lineRule="auto"/>
              <w:jc w:val="center"/>
              <w:rPr>
                <w:color w:val="000000"/>
                <w:sz w:val="18"/>
                <w:szCs w:val="18"/>
              </w:rPr>
            </w:pPr>
            <w:r>
              <w:rPr>
                <w:color w:val="000000"/>
                <w:sz w:val="18"/>
                <w:szCs w:val="18"/>
              </w:rPr>
              <w:t>䓛</w:t>
            </w:r>
          </w:p>
        </w:tc>
        <w:tc>
          <w:tcPr>
            <w:tcW w:w="461" w:type="pct"/>
            <w:tcBorders>
              <w:tl2br w:val="nil"/>
              <w:tr2bl w:val="nil"/>
            </w:tcBorders>
            <w:tcMar>
              <w:top w:w="15" w:type="dxa"/>
              <w:left w:w="15" w:type="dxa"/>
              <w:right w:w="15" w:type="dxa"/>
            </w:tcMar>
            <w:vAlign w:val="center"/>
          </w:tcPr>
          <w:p w14:paraId="2D7F4699">
            <w:pPr>
              <w:spacing w:line="240" w:lineRule="auto"/>
              <w:jc w:val="center"/>
              <w:rPr>
                <w:color w:val="000000"/>
                <w:sz w:val="18"/>
                <w:szCs w:val="18"/>
              </w:rPr>
            </w:pPr>
            <w:r>
              <w:rPr>
                <w:color w:val="000000"/>
                <w:sz w:val="18"/>
                <w:szCs w:val="18"/>
              </w:rPr>
              <w:t>1293</w:t>
            </w:r>
          </w:p>
        </w:tc>
      </w:tr>
      <w:tr w14:paraId="6FF2F6B3">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223BA8BC">
            <w:pPr>
              <w:spacing w:line="240" w:lineRule="auto"/>
              <w:jc w:val="center"/>
              <w:rPr>
                <w:color w:val="000000"/>
                <w:sz w:val="18"/>
                <w:szCs w:val="18"/>
              </w:rPr>
            </w:pPr>
            <w:r>
              <w:rPr>
                <w:color w:val="000000"/>
                <w:sz w:val="18"/>
                <w:szCs w:val="18"/>
              </w:rPr>
              <w:t>11</w:t>
            </w:r>
          </w:p>
        </w:tc>
        <w:tc>
          <w:tcPr>
            <w:tcW w:w="813" w:type="pct"/>
            <w:tcBorders>
              <w:tl2br w:val="nil"/>
              <w:tr2bl w:val="nil"/>
            </w:tcBorders>
            <w:tcMar>
              <w:top w:w="15" w:type="dxa"/>
              <w:left w:w="15" w:type="dxa"/>
              <w:right w:w="15" w:type="dxa"/>
            </w:tcMar>
            <w:vAlign w:val="center"/>
          </w:tcPr>
          <w:p w14:paraId="76F20E10">
            <w:pPr>
              <w:spacing w:line="240" w:lineRule="auto"/>
              <w:jc w:val="center"/>
              <w:rPr>
                <w:color w:val="000000"/>
                <w:sz w:val="18"/>
                <w:szCs w:val="18"/>
              </w:rPr>
            </w:pPr>
            <w:r>
              <w:rPr>
                <w:color w:val="000000"/>
                <w:sz w:val="18"/>
                <w:szCs w:val="18"/>
              </w:rPr>
              <w:t>1,1-二氯乙烷</w:t>
            </w:r>
          </w:p>
        </w:tc>
        <w:tc>
          <w:tcPr>
            <w:tcW w:w="397" w:type="pct"/>
            <w:tcBorders>
              <w:tl2br w:val="nil"/>
              <w:tr2bl w:val="nil"/>
            </w:tcBorders>
            <w:tcMar>
              <w:top w:w="15" w:type="dxa"/>
              <w:left w:w="15" w:type="dxa"/>
              <w:right w:w="15" w:type="dxa"/>
            </w:tcMar>
            <w:vAlign w:val="center"/>
          </w:tcPr>
          <w:p w14:paraId="1D95B386">
            <w:pPr>
              <w:spacing w:line="240" w:lineRule="auto"/>
              <w:jc w:val="center"/>
              <w:rPr>
                <w:color w:val="000000"/>
                <w:sz w:val="18"/>
                <w:szCs w:val="18"/>
              </w:rPr>
            </w:pPr>
            <w:r>
              <w:rPr>
                <w:color w:val="000000"/>
                <w:sz w:val="18"/>
                <w:szCs w:val="18"/>
              </w:rPr>
              <w:t>9</w:t>
            </w:r>
          </w:p>
        </w:tc>
        <w:tc>
          <w:tcPr>
            <w:tcW w:w="334" w:type="pct"/>
            <w:tcBorders>
              <w:tl2br w:val="nil"/>
              <w:tr2bl w:val="nil"/>
            </w:tcBorders>
            <w:tcMar>
              <w:top w:w="15" w:type="dxa"/>
              <w:left w:w="15" w:type="dxa"/>
              <w:right w:w="15" w:type="dxa"/>
            </w:tcMar>
            <w:vAlign w:val="center"/>
          </w:tcPr>
          <w:p w14:paraId="0C9AB4FB">
            <w:pPr>
              <w:spacing w:line="240" w:lineRule="auto"/>
              <w:jc w:val="center"/>
              <w:rPr>
                <w:color w:val="000000"/>
                <w:sz w:val="18"/>
                <w:szCs w:val="18"/>
              </w:rPr>
            </w:pPr>
            <w:r>
              <w:rPr>
                <w:color w:val="000000"/>
                <w:sz w:val="18"/>
                <w:szCs w:val="18"/>
              </w:rPr>
              <w:t>27</w:t>
            </w:r>
          </w:p>
        </w:tc>
        <w:tc>
          <w:tcPr>
            <w:tcW w:w="878" w:type="pct"/>
            <w:tcBorders>
              <w:tl2br w:val="nil"/>
              <w:tr2bl w:val="nil"/>
            </w:tcBorders>
            <w:tcMar>
              <w:top w:w="15" w:type="dxa"/>
              <w:left w:w="15" w:type="dxa"/>
              <w:right w:w="15" w:type="dxa"/>
            </w:tcMar>
            <w:vAlign w:val="center"/>
          </w:tcPr>
          <w:p w14:paraId="135D4E7E">
            <w:pPr>
              <w:spacing w:line="240" w:lineRule="auto"/>
              <w:jc w:val="center"/>
              <w:rPr>
                <w:color w:val="000000"/>
                <w:sz w:val="18"/>
                <w:szCs w:val="18"/>
              </w:rPr>
            </w:pPr>
            <w:r>
              <w:rPr>
                <w:color w:val="000000"/>
                <w:sz w:val="18"/>
                <w:szCs w:val="18"/>
              </w:rPr>
              <w:t>1,2-二氯苯</w:t>
            </w:r>
          </w:p>
        </w:tc>
        <w:tc>
          <w:tcPr>
            <w:tcW w:w="445" w:type="pct"/>
            <w:tcBorders>
              <w:tl2br w:val="nil"/>
              <w:tr2bl w:val="nil"/>
            </w:tcBorders>
            <w:tcMar>
              <w:top w:w="15" w:type="dxa"/>
              <w:left w:w="15" w:type="dxa"/>
              <w:right w:w="15" w:type="dxa"/>
            </w:tcMar>
            <w:vAlign w:val="center"/>
          </w:tcPr>
          <w:p w14:paraId="3D597681">
            <w:pPr>
              <w:spacing w:line="240" w:lineRule="auto"/>
              <w:jc w:val="center"/>
              <w:rPr>
                <w:color w:val="000000"/>
                <w:sz w:val="18"/>
                <w:szCs w:val="18"/>
              </w:rPr>
            </w:pPr>
            <w:r>
              <w:rPr>
                <w:color w:val="000000"/>
                <w:sz w:val="18"/>
                <w:szCs w:val="18"/>
              </w:rPr>
              <w:t>560</w:t>
            </w:r>
          </w:p>
        </w:tc>
        <w:tc>
          <w:tcPr>
            <w:tcW w:w="302" w:type="pct"/>
            <w:tcBorders>
              <w:tl2br w:val="nil"/>
              <w:tr2bl w:val="nil"/>
            </w:tcBorders>
            <w:tcMar>
              <w:top w:w="15" w:type="dxa"/>
              <w:left w:w="15" w:type="dxa"/>
              <w:right w:w="15" w:type="dxa"/>
            </w:tcMar>
            <w:vAlign w:val="center"/>
          </w:tcPr>
          <w:p w14:paraId="5BEA27D9">
            <w:pPr>
              <w:spacing w:line="240" w:lineRule="auto"/>
              <w:jc w:val="center"/>
              <w:rPr>
                <w:color w:val="000000"/>
                <w:sz w:val="18"/>
                <w:szCs w:val="18"/>
              </w:rPr>
            </w:pPr>
            <w:r>
              <w:rPr>
                <w:color w:val="000000"/>
                <w:sz w:val="18"/>
                <w:szCs w:val="18"/>
              </w:rPr>
              <w:t>43</w:t>
            </w:r>
          </w:p>
        </w:tc>
        <w:tc>
          <w:tcPr>
            <w:tcW w:w="1056" w:type="pct"/>
            <w:tcBorders>
              <w:tl2br w:val="nil"/>
              <w:tr2bl w:val="nil"/>
            </w:tcBorders>
            <w:tcMar>
              <w:top w:w="15" w:type="dxa"/>
              <w:left w:w="15" w:type="dxa"/>
              <w:right w:w="15" w:type="dxa"/>
            </w:tcMar>
            <w:vAlign w:val="center"/>
          </w:tcPr>
          <w:p w14:paraId="2CDEDE3C">
            <w:pPr>
              <w:spacing w:line="240" w:lineRule="auto"/>
              <w:jc w:val="center"/>
              <w:rPr>
                <w:color w:val="000000"/>
                <w:sz w:val="18"/>
                <w:szCs w:val="18"/>
              </w:rPr>
            </w:pPr>
            <w:r>
              <w:rPr>
                <w:color w:val="000000"/>
                <w:sz w:val="18"/>
                <w:szCs w:val="18"/>
              </w:rPr>
              <w:t>二苯并[a，h]蒽</w:t>
            </w:r>
          </w:p>
        </w:tc>
        <w:tc>
          <w:tcPr>
            <w:tcW w:w="461" w:type="pct"/>
            <w:tcBorders>
              <w:tl2br w:val="nil"/>
              <w:tr2bl w:val="nil"/>
            </w:tcBorders>
            <w:tcMar>
              <w:top w:w="15" w:type="dxa"/>
              <w:left w:w="15" w:type="dxa"/>
              <w:right w:w="15" w:type="dxa"/>
            </w:tcMar>
            <w:vAlign w:val="center"/>
          </w:tcPr>
          <w:p w14:paraId="0A2B618B">
            <w:pPr>
              <w:spacing w:line="240" w:lineRule="auto"/>
              <w:jc w:val="center"/>
              <w:rPr>
                <w:color w:val="000000"/>
                <w:sz w:val="18"/>
                <w:szCs w:val="18"/>
              </w:rPr>
            </w:pPr>
            <w:r>
              <w:rPr>
                <w:color w:val="000000"/>
                <w:sz w:val="18"/>
                <w:szCs w:val="18"/>
              </w:rPr>
              <w:t>1.5</w:t>
            </w:r>
          </w:p>
        </w:tc>
      </w:tr>
      <w:tr w14:paraId="2943EACA">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00D19764">
            <w:pPr>
              <w:spacing w:line="240" w:lineRule="auto"/>
              <w:jc w:val="center"/>
              <w:rPr>
                <w:color w:val="000000"/>
                <w:sz w:val="18"/>
                <w:szCs w:val="18"/>
              </w:rPr>
            </w:pPr>
            <w:r>
              <w:rPr>
                <w:color w:val="000000"/>
                <w:sz w:val="18"/>
                <w:szCs w:val="18"/>
              </w:rPr>
              <w:t>12</w:t>
            </w:r>
          </w:p>
        </w:tc>
        <w:tc>
          <w:tcPr>
            <w:tcW w:w="813" w:type="pct"/>
            <w:tcBorders>
              <w:tl2br w:val="nil"/>
              <w:tr2bl w:val="nil"/>
            </w:tcBorders>
            <w:tcMar>
              <w:top w:w="15" w:type="dxa"/>
              <w:left w:w="15" w:type="dxa"/>
              <w:right w:w="15" w:type="dxa"/>
            </w:tcMar>
            <w:vAlign w:val="center"/>
          </w:tcPr>
          <w:p w14:paraId="2150DCB6">
            <w:pPr>
              <w:spacing w:line="240" w:lineRule="auto"/>
              <w:jc w:val="center"/>
              <w:rPr>
                <w:color w:val="000000"/>
                <w:sz w:val="18"/>
                <w:szCs w:val="18"/>
              </w:rPr>
            </w:pPr>
            <w:r>
              <w:rPr>
                <w:color w:val="000000"/>
                <w:sz w:val="18"/>
                <w:szCs w:val="18"/>
              </w:rPr>
              <w:t>1,2-二氯乙烷</w:t>
            </w:r>
          </w:p>
        </w:tc>
        <w:tc>
          <w:tcPr>
            <w:tcW w:w="397" w:type="pct"/>
            <w:tcBorders>
              <w:tl2br w:val="nil"/>
              <w:tr2bl w:val="nil"/>
            </w:tcBorders>
            <w:tcMar>
              <w:top w:w="15" w:type="dxa"/>
              <w:left w:w="15" w:type="dxa"/>
              <w:right w:w="15" w:type="dxa"/>
            </w:tcMar>
            <w:vAlign w:val="center"/>
          </w:tcPr>
          <w:p w14:paraId="37D82AFC">
            <w:pPr>
              <w:spacing w:line="240" w:lineRule="auto"/>
              <w:jc w:val="center"/>
              <w:rPr>
                <w:color w:val="000000"/>
                <w:sz w:val="18"/>
                <w:szCs w:val="18"/>
              </w:rPr>
            </w:pPr>
            <w:r>
              <w:rPr>
                <w:color w:val="000000"/>
                <w:sz w:val="18"/>
                <w:szCs w:val="18"/>
              </w:rPr>
              <w:t>5</w:t>
            </w:r>
          </w:p>
        </w:tc>
        <w:tc>
          <w:tcPr>
            <w:tcW w:w="334" w:type="pct"/>
            <w:tcBorders>
              <w:tl2br w:val="nil"/>
              <w:tr2bl w:val="nil"/>
            </w:tcBorders>
            <w:tcMar>
              <w:top w:w="15" w:type="dxa"/>
              <w:left w:w="15" w:type="dxa"/>
              <w:right w:w="15" w:type="dxa"/>
            </w:tcMar>
            <w:vAlign w:val="center"/>
          </w:tcPr>
          <w:p w14:paraId="1929F18B">
            <w:pPr>
              <w:spacing w:line="240" w:lineRule="auto"/>
              <w:jc w:val="center"/>
              <w:rPr>
                <w:color w:val="000000"/>
                <w:sz w:val="18"/>
                <w:szCs w:val="18"/>
              </w:rPr>
            </w:pPr>
            <w:r>
              <w:rPr>
                <w:color w:val="000000"/>
                <w:sz w:val="18"/>
                <w:szCs w:val="18"/>
              </w:rPr>
              <w:t>28</w:t>
            </w:r>
          </w:p>
        </w:tc>
        <w:tc>
          <w:tcPr>
            <w:tcW w:w="878" w:type="pct"/>
            <w:tcBorders>
              <w:tl2br w:val="nil"/>
              <w:tr2bl w:val="nil"/>
            </w:tcBorders>
            <w:tcMar>
              <w:top w:w="15" w:type="dxa"/>
              <w:left w:w="15" w:type="dxa"/>
              <w:right w:w="15" w:type="dxa"/>
            </w:tcMar>
            <w:vAlign w:val="center"/>
          </w:tcPr>
          <w:p w14:paraId="5A28C988">
            <w:pPr>
              <w:spacing w:line="240" w:lineRule="auto"/>
              <w:jc w:val="center"/>
              <w:rPr>
                <w:color w:val="000000"/>
                <w:sz w:val="18"/>
                <w:szCs w:val="18"/>
              </w:rPr>
            </w:pPr>
            <w:r>
              <w:rPr>
                <w:color w:val="000000"/>
                <w:sz w:val="18"/>
                <w:szCs w:val="18"/>
              </w:rPr>
              <w:t>1,4-二氯苯</w:t>
            </w:r>
          </w:p>
        </w:tc>
        <w:tc>
          <w:tcPr>
            <w:tcW w:w="445" w:type="pct"/>
            <w:tcBorders>
              <w:tl2br w:val="nil"/>
              <w:tr2bl w:val="nil"/>
            </w:tcBorders>
            <w:tcMar>
              <w:top w:w="15" w:type="dxa"/>
              <w:left w:w="15" w:type="dxa"/>
              <w:right w:w="15" w:type="dxa"/>
            </w:tcMar>
            <w:vAlign w:val="center"/>
          </w:tcPr>
          <w:p w14:paraId="53E10C41">
            <w:pPr>
              <w:spacing w:line="240" w:lineRule="auto"/>
              <w:jc w:val="center"/>
              <w:rPr>
                <w:color w:val="000000"/>
                <w:sz w:val="18"/>
                <w:szCs w:val="18"/>
              </w:rPr>
            </w:pPr>
            <w:r>
              <w:rPr>
                <w:color w:val="000000"/>
                <w:sz w:val="18"/>
                <w:szCs w:val="18"/>
              </w:rPr>
              <w:t>20</w:t>
            </w:r>
          </w:p>
        </w:tc>
        <w:tc>
          <w:tcPr>
            <w:tcW w:w="302" w:type="pct"/>
            <w:tcBorders>
              <w:tl2br w:val="nil"/>
              <w:tr2bl w:val="nil"/>
            </w:tcBorders>
            <w:tcMar>
              <w:top w:w="15" w:type="dxa"/>
              <w:left w:w="15" w:type="dxa"/>
              <w:right w:w="15" w:type="dxa"/>
            </w:tcMar>
            <w:vAlign w:val="center"/>
          </w:tcPr>
          <w:p w14:paraId="0D0CAE15">
            <w:pPr>
              <w:spacing w:line="240" w:lineRule="auto"/>
              <w:jc w:val="center"/>
              <w:rPr>
                <w:color w:val="000000"/>
                <w:sz w:val="18"/>
                <w:szCs w:val="18"/>
              </w:rPr>
            </w:pPr>
            <w:r>
              <w:rPr>
                <w:color w:val="000000"/>
                <w:sz w:val="18"/>
                <w:szCs w:val="18"/>
              </w:rPr>
              <w:t>44</w:t>
            </w:r>
          </w:p>
        </w:tc>
        <w:tc>
          <w:tcPr>
            <w:tcW w:w="1056" w:type="pct"/>
            <w:tcBorders>
              <w:tl2br w:val="nil"/>
              <w:tr2bl w:val="nil"/>
            </w:tcBorders>
            <w:tcMar>
              <w:top w:w="15" w:type="dxa"/>
              <w:left w:w="15" w:type="dxa"/>
              <w:right w:w="15" w:type="dxa"/>
            </w:tcMar>
            <w:vAlign w:val="center"/>
          </w:tcPr>
          <w:p w14:paraId="5A46533C">
            <w:pPr>
              <w:spacing w:line="240" w:lineRule="auto"/>
              <w:jc w:val="center"/>
              <w:rPr>
                <w:color w:val="000000"/>
                <w:sz w:val="18"/>
                <w:szCs w:val="18"/>
              </w:rPr>
            </w:pPr>
            <w:r>
              <w:rPr>
                <w:color w:val="000000"/>
                <w:sz w:val="18"/>
                <w:szCs w:val="18"/>
              </w:rPr>
              <w:t>茚并[1,2,3-cd]芘、萘）</w:t>
            </w:r>
          </w:p>
        </w:tc>
        <w:tc>
          <w:tcPr>
            <w:tcW w:w="461" w:type="pct"/>
            <w:tcBorders>
              <w:tl2br w:val="nil"/>
              <w:tr2bl w:val="nil"/>
            </w:tcBorders>
            <w:tcMar>
              <w:top w:w="15" w:type="dxa"/>
              <w:left w:w="15" w:type="dxa"/>
              <w:right w:w="15" w:type="dxa"/>
            </w:tcMar>
            <w:vAlign w:val="center"/>
          </w:tcPr>
          <w:p w14:paraId="72A8C105">
            <w:pPr>
              <w:spacing w:line="240" w:lineRule="auto"/>
              <w:jc w:val="center"/>
              <w:rPr>
                <w:color w:val="000000"/>
                <w:sz w:val="18"/>
                <w:szCs w:val="18"/>
              </w:rPr>
            </w:pPr>
            <w:r>
              <w:rPr>
                <w:color w:val="000000"/>
                <w:sz w:val="18"/>
                <w:szCs w:val="18"/>
              </w:rPr>
              <w:t>15</w:t>
            </w:r>
          </w:p>
        </w:tc>
      </w:tr>
      <w:tr w14:paraId="04A70C53">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1C85859E">
            <w:pPr>
              <w:spacing w:line="240" w:lineRule="auto"/>
              <w:jc w:val="center"/>
              <w:rPr>
                <w:color w:val="000000"/>
                <w:sz w:val="18"/>
                <w:szCs w:val="18"/>
              </w:rPr>
            </w:pPr>
            <w:r>
              <w:rPr>
                <w:color w:val="000000"/>
                <w:sz w:val="18"/>
                <w:szCs w:val="18"/>
              </w:rPr>
              <w:t>13</w:t>
            </w:r>
          </w:p>
        </w:tc>
        <w:tc>
          <w:tcPr>
            <w:tcW w:w="813" w:type="pct"/>
            <w:tcBorders>
              <w:tl2br w:val="nil"/>
              <w:tr2bl w:val="nil"/>
            </w:tcBorders>
            <w:tcMar>
              <w:top w:w="15" w:type="dxa"/>
              <w:left w:w="15" w:type="dxa"/>
              <w:right w:w="15" w:type="dxa"/>
            </w:tcMar>
            <w:vAlign w:val="center"/>
          </w:tcPr>
          <w:p w14:paraId="0DFACC8C">
            <w:pPr>
              <w:spacing w:line="240" w:lineRule="auto"/>
              <w:jc w:val="center"/>
              <w:rPr>
                <w:color w:val="000000"/>
                <w:sz w:val="18"/>
                <w:szCs w:val="18"/>
              </w:rPr>
            </w:pPr>
            <w:r>
              <w:rPr>
                <w:color w:val="000000"/>
                <w:sz w:val="18"/>
                <w:szCs w:val="18"/>
              </w:rPr>
              <w:t>1,1-二氯乙烯</w:t>
            </w:r>
          </w:p>
        </w:tc>
        <w:tc>
          <w:tcPr>
            <w:tcW w:w="397" w:type="pct"/>
            <w:tcBorders>
              <w:tl2br w:val="nil"/>
              <w:tr2bl w:val="nil"/>
            </w:tcBorders>
            <w:tcMar>
              <w:top w:w="15" w:type="dxa"/>
              <w:left w:w="15" w:type="dxa"/>
              <w:right w:w="15" w:type="dxa"/>
            </w:tcMar>
            <w:vAlign w:val="center"/>
          </w:tcPr>
          <w:p w14:paraId="4036A94A">
            <w:pPr>
              <w:spacing w:line="240" w:lineRule="auto"/>
              <w:jc w:val="center"/>
              <w:rPr>
                <w:color w:val="000000"/>
                <w:sz w:val="18"/>
                <w:szCs w:val="18"/>
              </w:rPr>
            </w:pPr>
            <w:r>
              <w:rPr>
                <w:color w:val="000000"/>
                <w:sz w:val="18"/>
                <w:szCs w:val="18"/>
              </w:rPr>
              <w:t>66</w:t>
            </w:r>
          </w:p>
        </w:tc>
        <w:tc>
          <w:tcPr>
            <w:tcW w:w="334" w:type="pct"/>
            <w:tcBorders>
              <w:tl2br w:val="nil"/>
              <w:tr2bl w:val="nil"/>
            </w:tcBorders>
            <w:tcMar>
              <w:top w:w="15" w:type="dxa"/>
              <w:left w:w="15" w:type="dxa"/>
              <w:right w:w="15" w:type="dxa"/>
            </w:tcMar>
            <w:vAlign w:val="center"/>
          </w:tcPr>
          <w:p w14:paraId="60AA4D81">
            <w:pPr>
              <w:spacing w:line="240" w:lineRule="auto"/>
              <w:jc w:val="center"/>
              <w:rPr>
                <w:color w:val="000000"/>
                <w:sz w:val="18"/>
                <w:szCs w:val="18"/>
              </w:rPr>
            </w:pPr>
            <w:r>
              <w:rPr>
                <w:color w:val="000000"/>
                <w:sz w:val="18"/>
                <w:szCs w:val="18"/>
              </w:rPr>
              <w:t>29</w:t>
            </w:r>
          </w:p>
        </w:tc>
        <w:tc>
          <w:tcPr>
            <w:tcW w:w="878" w:type="pct"/>
            <w:tcBorders>
              <w:tl2br w:val="nil"/>
              <w:tr2bl w:val="nil"/>
            </w:tcBorders>
            <w:tcMar>
              <w:top w:w="15" w:type="dxa"/>
              <w:left w:w="15" w:type="dxa"/>
              <w:right w:w="15" w:type="dxa"/>
            </w:tcMar>
            <w:vAlign w:val="center"/>
          </w:tcPr>
          <w:p w14:paraId="2E854C2F">
            <w:pPr>
              <w:spacing w:line="240" w:lineRule="auto"/>
              <w:jc w:val="center"/>
              <w:rPr>
                <w:color w:val="000000"/>
                <w:sz w:val="18"/>
                <w:szCs w:val="18"/>
              </w:rPr>
            </w:pPr>
            <w:r>
              <w:rPr>
                <w:color w:val="000000"/>
                <w:sz w:val="18"/>
                <w:szCs w:val="18"/>
              </w:rPr>
              <w:t>苯</w:t>
            </w:r>
          </w:p>
        </w:tc>
        <w:tc>
          <w:tcPr>
            <w:tcW w:w="445" w:type="pct"/>
            <w:tcBorders>
              <w:tl2br w:val="nil"/>
              <w:tr2bl w:val="nil"/>
            </w:tcBorders>
            <w:tcMar>
              <w:top w:w="15" w:type="dxa"/>
              <w:left w:w="15" w:type="dxa"/>
              <w:right w:w="15" w:type="dxa"/>
            </w:tcMar>
            <w:vAlign w:val="center"/>
          </w:tcPr>
          <w:p w14:paraId="1C868C6D">
            <w:pPr>
              <w:spacing w:line="240" w:lineRule="auto"/>
              <w:jc w:val="center"/>
              <w:rPr>
                <w:color w:val="000000"/>
                <w:sz w:val="18"/>
                <w:szCs w:val="18"/>
              </w:rPr>
            </w:pPr>
            <w:r>
              <w:rPr>
                <w:color w:val="000000"/>
                <w:sz w:val="18"/>
                <w:szCs w:val="18"/>
              </w:rPr>
              <w:t>4</w:t>
            </w:r>
          </w:p>
        </w:tc>
        <w:tc>
          <w:tcPr>
            <w:tcW w:w="302" w:type="pct"/>
            <w:tcBorders>
              <w:tl2br w:val="nil"/>
              <w:tr2bl w:val="nil"/>
            </w:tcBorders>
            <w:tcMar>
              <w:top w:w="15" w:type="dxa"/>
              <w:left w:w="15" w:type="dxa"/>
              <w:right w:w="15" w:type="dxa"/>
            </w:tcMar>
            <w:vAlign w:val="center"/>
          </w:tcPr>
          <w:p w14:paraId="71301717">
            <w:pPr>
              <w:spacing w:line="240" w:lineRule="auto"/>
              <w:jc w:val="center"/>
              <w:rPr>
                <w:color w:val="000000"/>
                <w:sz w:val="18"/>
                <w:szCs w:val="18"/>
              </w:rPr>
            </w:pPr>
            <w:r>
              <w:rPr>
                <w:color w:val="000000"/>
                <w:sz w:val="18"/>
                <w:szCs w:val="18"/>
              </w:rPr>
              <w:t>45</w:t>
            </w:r>
          </w:p>
        </w:tc>
        <w:tc>
          <w:tcPr>
            <w:tcW w:w="1056" w:type="pct"/>
            <w:tcBorders>
              <w:tl2br w:val="nil"/>
              <w:tr2bl w:val="nil"/>
            </w:tcBorders>
            <w:tcMar>
              <w:top w:w="15" w:type="dxa"/>
              <w:left w:w="15" w:type="dxa"/>
              <w:right w:w="15" w:type="dxa"/>
            </w:tcMar>
            <w:vAlign w:val="center"/>
          </w:tcPr>
          <w:p w14:paraId="6D537F3B">
            <w:pPr>
              <w:spacing w:line="240" w:lineRule="auto"/>
              <w:jc w:val="center"/>
              <w:rPr>
                <w:color w:val="000000"/>
                <w:sz w:val="18"/>
                <w:szCs w:val="18"/>
              </w:rPr>
            </w:pPr>
            <w:r>
              <w:rPr>
                <w:color w:val="000000"/>
                <w:sz w:val="18"/>
                <w:szCs w:val="18"/>
              </w:rPr>
              <w:t>萘</w:t>
            </w:r>
          </w:p>
        </w:tc>
        <w:tc>
          <w:tcPr>
            <w:tcW w:w="461" w:type="pct"/>
            <w:tcBorders>
              <w:tl2br w:val="nil"/>
              <w:tr2bl w:val="nil"/>
            </w:tcBorders>
            <w:tcMar>
              <w:top w:w="15" w:type="dxa"/>
              <w:left w:w="15" w:type="dxa"/>
              <w:right w:w="15" w:type="dxa"/>
            </w:tcMar>
            <w:vAlign w:val="center"/>
          </w:tcPr>
          <w:p w14:paraId="74F1E52F">
            <w:pPr>
              <w:spacing w:line="240" w:lineRule="auto"/>
              <w:jc w:val="center"/>
              <w:rPr>
                <w:color w:val="000000"/>
                <w:sz w:val="18"/>
                <w:szCs w:val="18"/>
              </w:rPr>
            </w:pPr>
            <w:r>
              <w:rPr>
                <w:color w:val="000000"/>
                <w:sz w:val="18"/>
                <w:szCs w:val="18"/>
              </w:rPr>
              <w:t>70</w:t>
            </w:r>
          </w:p>
        </w:tc>
      </w:tr>
      <w:tr w14:paraId="0098AE70">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60F2E3E3">
            <w:pPr>
              <w:spacing w:line="240" w:lineRule="auto"/>
              <w:jc w:val="center"/>
              <w:rPr>
                <w:color w:val="000000"/>
                <w:sz w:val="18"/>
                <w:szCs w:val="18"/>
              </w:rPr>
            </w:pPr>
            <w:r>
              <w:rPr>
                <w:color w:val="000000"/>
                <w:sz w:val="18"/>
                <w:szCs w:val="18"/>
              </w:rPr>
              <w:t>14</w:t>
            </w:r>
          </w:p>
        </w:tc>
        <w:tc>
          <w:tcPr>
            <w:tcW w:w="813" w:type="pct"/>
            <w:tcBorders>
              <w:tl2br w:val="nil"/>
              <w:tr2bl w:val="nil"/>
            </w:tcBorders>
            <w:tcMar>
              <w:top w:w="15" w:type="dxa"/>
              <w:left w:w="15" w:type="dxa"/>
              <w:right w:w="15" w:type="dxa"/>
            </w:tcMar>
            <w:vAlign w:val="center"/>
          </w:tcPr>
          <w:p w14:paraId="61384E36">
            <w:pPr>
              <w:spacing w:line="240" w:lineRule="auto"/>
              <w:jc w:val="center"/>
              <w:rPr>
                <w:color w:val="000000"/>
                <w:sz w:val="18"/>
                <w:szCs w:val="18"/>
              </w:rPr>
            </w:pPr>
            <w:r>
              <w:rPr>
                <w:color w:val="000000"/>
                <w:sz w:val="18"/>
                <w:szCs w:val="18"/>
              </w:rPr>
              <w:t>顺-1,2-二氯乙烯</w:t>
            </w:r>
          </w:p>
        </w:tc>
        <w:tc>
          <w:tcPr>
            <w:tcW w:w="397" w:type="pct"/>
            <w:tcBorders>
              <w:tl2br w:val="nil"/>
              <w:tr2bl w:val="nil"/>
            </w:tcBorders>
            <w:tcMar>
              <w:top w:w="15" w:type="dxa"/>
              <w:left w:w="15" w:type="dxa"/>
              <w:right w:w="15" w:type="dxa"/>
            </w:tcMar>
            <w:vAlign w:val="center"/>
          </w:tcPr>
          <w:p w14:paraId="71EACCE5">
            <w:pPr>
              <w:spacing w:line="240" w:lineRule="auto"/>
              <w:jc w:val="center"/>
              <w:rPr>
                <w:color w:val="000000"/>
                <w:sz w:val="18"/>
                <w:szCs w:val="18"/>
              </w:rPr>
            </w:pPr>
            <w:r>
              <w:rPr>
                <w:color w:val="000000"/>
                <w:sz w:val="18"/>
                <w:szCs w:val="18"/>
              </w:rPr>
              <w:t>596</w:t>
            </w:r>
          </w:p>
        </w:tc>
        <w:tc>
          <w:tcPr>
            <w:tcW w:w="334" w:type="pct"/>
            <w:tcBorders>
              <w:tl2br w:val="nil"/>
              <w:tr2bl w:val="nil"/>
            </w:tcBorders>
            <w:tcMar>
              <w:top w:w="15" w:type="dxa"/>
              <w:left w:w="15" w:type="dxa"/>
              <w:right w:w="15" w:type="dxa"/>
            </w:tcMar>
            <w:vAlign w:val="center"/>
          </w:tcPr>
          <w:p w14:paraId="6A454217">
            <w:pPr>
              <w:spacing w:line="240" w:lineRule="auto"/>
              <w:jc w:val="center"/>
              <w:rPr>
                <w:color w:val="000000"/>
                <w:sz w:val="18"/>
                <w:szCs w:val="18"/>
              </w:rPr>
            </w:pPr>
            <w:r>
              <w:rPr>
                <w:color w:val="000000"/>
                <w:sz w:val="18"/>
                <w:szCs w:val="18"/>
              </w:rPr>
              <w:t>30</w:t>
            </w:r>
          </w:p>
        </w:tc>
        <w:tc>
          <w:tcPr>
            <w:tcW w:w="878" w:type="pct"/>
            <w:tcBorders>
              <w:tl2br w:val="nil"/>
              <w:tr2bl w:val="nil"/>
            </w:tcBorders>
            <w:tcMar>
              <w:top w:w="15" w:type="dxa"/>
              <w:left w:w="15" w:type="dxa"/>
              <w:right w:w="15" w:type="dxa"/>
            </w:tcMar>
            <w:vAlign w:val="center"/>
          </w:tcPr>
          <w:p w14:paraId="37B6FF47">
            <w:pPr>
              <w:spacing w:line="240" w:lineRule="auto"/>
              <w:jc w:val="center"/>
              <w:rPr>
                <w:color w:val="000000"/>
                <w:sz w:val="18"/>
                <w:szCs w:val="18"/>
              </w:rPr>
            </w:pPr>
            <w:r>
              <w:rPr>
                <w:color w:val="000000"/>
                <w:sz w:val="18"/>
                <w:szCs w:val="18"/>
              </w:rPr>
              <w:t>甲苯</w:t>
            </w:r>
          </w:p>
        </w:tc>
        <w:tc>
          <w:tcPr>
            <w:tcW w:w="445" w:type="pct"/>
            <w:tcBorders>
              <w:tl2br w:val="nil"/>
              <w:tr2bl w:val="nil"/>
            </w:tcBorders>
            <w:tcMar>
              <w:top w:w="15" w:type="dxa"/>
              <w:left w:w="15" w:type="dxa"/>
              <w:right w:w="15" w:type="dxa"/>
            </w:tcMar>
            <w:vAlign w:val="center"/>
          </w:tcPr>
          <w:p w14:paraId="10F774BD">
            <w:pPr>
              <w:spacing w:line="240" w:lineRule="auto"/>
              <w:jc w:val="center"/>
              <w:rPr>
                <w:color w:val="000000"/>
                <w:sz w:val="18"/>
                <w:szCs w:val="18"/>
              </w:rPr>
            </w:pPr>
            <w:r>
              <w:rPr>
                <w:color w:val="000000"/>
                <w:sz w:val="18"/>
                <w:szCs w:val="18"/>
              </w:rPr>
              <w:t>1200</w:t>
            </w:r>
          </w:p>
        </w:tc>
        <w:tc>
          <w:tcPr>
            <w:tcW w:w="302" w:type="pct"/>
            <w:tcBorders>
              <w:tl2br w:val="nil"/>
              <w:tr2bl w:val="nil"/>
            </w:tcBorders>
            <w:tcMar>
              <w:top w:w="15" w:type="dxa"/>
              <w:left w:w="15" w:type="dxa"/>
              <w:right w:w="15" w:type="dxa"/>
            </w:tcMar>
            <w:vAlign w:val="center"/>
          </w:tcPr>
          <w:p w14:paraId="6C7595A7">
            <w:pPr>
              <w:spacing w:line="240" w:lineRule="auto"/>
              <w:jc w:val="center"/>
              <w:rPr>
                <w:color w:val="000000"/>
                <w:sz w:val="18"/>
                <w:szCs w:val="18"/>
              </w:rPr>
            </w:pPr>
            <w:r>
              <w:rPr>
                <w:color w:val="000000"/>
                <w:sz w:val="18"/>
                <w:szCs w:val="18"/>
              </w:rPr>
              <w:t>46</w:t>
            </w:r>
          </w:p>
        </w:tc>
        <w:tc>
          <w:tcPr>
            <w:tcW w:w="1056" w:type="pct"/>
            <w:tcBorders>
              <w:tl2br w:val="nil"/>
              <w:tr2bl w:val="nil"/>
            </w:tcBorders>
            <w:tcMar>
              <w:top w:w="15" w:type="dxa"/>
              <w:left w:w="15" w:type="dxa"/>
              <w:right w:w="15" w:type="dxa"/>
            </w:tcMar>
            <w:vAlign w:val="center"/>
          </w:tcPr>
          <w:p w14:paraId="06903331">
            <w:pPr>
              <w:spacing w:line="240" w:lineRule="auto"/>
              <w:jc w:val="center"/>
              <w:rPr>
                <w:color w:val="000000"/>
                <w:sz w:val="18"/>
                <w:szCs w:val="18"/>
              </w:rPr>
            </w:pPr>
            <w:r>
              <w:rPr>
                <w:color w:val="000000"/>
                <w:sz w:val="18"/>
                <w:szCs w:val="18"/>
              </w:rPr>
              <w:t>石油烃（C</w:t>
            </w:r>
            <w:r>
              <w:rPr>
                <w:color w:val="000000"/>
                <w:sz w:val="18"/>
                <w:szCs w:val="18"/>
                <w:vertAlign w:val="subscript"/>
              </w:rPr>
              <w:t>10</w:t>
            </w:r>
            <w:r>
              <w:rPr>
                <w:color w:val="000000"/>
                <w:sz w:val="18"/>
                <w:szCs w:val="18"/>
              </w:rPr>
              <w:t>-C</w:t>
            </w:r>
            <w:r>
              <w:rPr>
                <w:color w:val="000000"/>
                <w:sz w:val="18"/>
                <w:szCs w:val="18"/>
                <w:vertAlign w:val="subscript"/>
              </w:rPr>
              <w:t>40</w:t>
            </w:r>
            <w:r>
              <w:rPr>
                <w:color w:val="000000"/>
                <w:sz w:val="18"/>
                <w:szCs w:val="18"/>
              </w:rPr>
              <w:t>）</w:t>
            </w:r>
          </w:p>
        </w:tc>
        <w:tc>
          <w:tcPr>
            <w:tcW w:w="461" w:type="pct"/>
            <w:tcBorders>
              <w:tl2br w:val="nil"/>
              <w:tr2bl w:val="nil"/>
            </w:tcBorders>
            <w:tcMar>
              <w:top w:w="15" w:type="dxa"/>
              <w:left w:w="15" w:type="dxa"/>
              <w:right w:w="15" w:type="dxa"/>
            </w:tcMar>
            <w:vAlign w:val="center"/>
          </w:tcPr>
          <w:p w14:paraId="3B870512">
            <w:pPr>
              <w:spacing w:line="240" w:lineRule="auto"/>
              <w:jc w:val="center"/>
              <w:rPr>
                <w:color w:val="000000"/>
                <w:sz w:val="18"/>
                <w:szCs w:val="18"/>
              </w:rPr>
            </w:pPr>
            <w:r>
              <w:rPr>
                <w:color w:val="000000"/>
                <w:sz w:val="18"/>
                <w:szCs w:val="18"/>
              </w:rPr>
              <w:t>4500</w:t>
            </w:r>
          </w:p>
        </w:tc>
      </w:tr>
      <w:tr w14:paraId="511D49CC">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3D839A9D">
            <w:pPr>
              <w:spacing w:line="240" w:lineRule="auto"/>
              <w:jc w:val="center"/>
              <w:rPr>
                <w:color w:val="000000"/>
                <w:sz w:val="18"/>
                <w:szCs w:val="18"/>
              </w:rPr>
            </w:pPr>
            <w:r>
              <w:rPr>
                <w:color w:val="000000"/>
                <w:sz w:val="18"/>
                <w:szCs w:val="18"/>
              </w:rPr>
              <w:t>15</w:t>
            </w:r>
          </w:p>
        </w:tc>
        <w:tc>
          <w:tcPr>
            <w:tcW w:w="813" w:type="pct"/>
            <w:tcBorders>
              <w:tl2br w:val="nil"/>
              <w:tr2bl w:val="nil"/>
            </w:tcBorders>
            <w:tcMar>
              <w:top w:w="15" w:type="dxa"/>
              <w:left w:w="15" w:type="dxa"/>
              <w:right w:w="15" w:type="dxa"/>
            </w:tcMar>
            <w:vAlign w:val="center"/>
          </w:tcPr>
          <w:p w14:paraId="13FC9E45">
            <w:pPr>
              <w:spacing w:line="240" w:lineRule="auto"/>
              <w:jc w:val="center"/>
              <w:rPr>
                <w:color w:val="000000"/>
                <w:sz w:val="18"/>
                <w:szCs w:val="18"/>
              </w:rPr>
            </w:pPr>
            <w:r>
              <w:rPr>
                <w:color w:val="000000"/>
                <w:sz w:val="18"/>
                <w:szCs w:val="18"/>
              </w:rPr>
              <w:t>反-1,2-二氯乙烯</w:t>
            </w:r>
          </w:p>
        </w:tc>
        <w:tc>
          <w:tcPr>
            <w:tcW w:w="397" w:type="pct"/>
            <w:tcBorders>
              <w:tl2br w:val="nil"/>
              <w:tr2bl w:val="nil"/>
            </w:tcBorders>
            <w:tcMar>
              <w:top w:w="15" w:type="dxa"/>
              <w:left w:w="15" w:type="dxa"/>
              <w:right w:w="15" w:type="dxa"/>
            </w:tcMar>
            <w:vAlign w:val="center"/>
          </w:tcPr>
          <w:p w14:paraId="5849251E">
            <w:pPr>
              <w:spacing w:line="240" w:lineRule="auto"/>
              <w:jc w:val="center"/>
              <w:rPr>
                <w:color w:val="000000"/>
                <w:sz w:val="18"/>
                <w:szCs w:val="18"/>
              </w:rPr>
            </w:pPr>
            <w:r>
              <w:rPr>
                <w:color w:val="000000"/>
                <w:sz w:val="18"/>
                <w:szCs w:val="18"/>
              </w:rPr>
              <w:t>54</w:t>
            </w:r>
          </w:p>
        </w:tc>
        <w:tc>
          <w:tcPr>
            <w:tcW w:w="334" w:type="pct"/>
            <w:tcBorders>
              <w:tl2br w:val="nil"/>
              <w:tr2bl w:val="nil"/>
            </w:tcBorders>
            <w:tcMar>
              <w:top w:w="15" w:type="dxa"/>
              <w:left w:w="15" w:type="dxa"/>
              <w:right w:w="15" w:type="dxa"/>
            </w:tcMar>
            <w:vAlign w:val="center"/>
          </w:tcPr>
          <w:p w14:paraId="283090E7">
            <w:pPr>
              <w:spacing w:line="240" w:lineRule="auto"/>
              <w:jc w:val="center"/>
              <w:rPr>
                <w:color w:val="000000"/>
                <w:sz w:val="18"/>
                <w:szCs w:val="18"/>
              </w:rPr>
            </w:pPr>
            <w:r>
              <w:rPr>
                <w:color w:val="000000"/>
                <w:sz w:val="18"/>
                <w:szCs w:val="18"/>
              </w:rPr>
              <w:t>31</w:t>
            </w:r>
          </w:p>
        </w:tc>
        <w:tc>
          <w:tcPr>
            <w:tcW w:w="878" w:type="pct"/>
            <w:tcBorders>
              <w:tl2br w:val="nil"/>
              <w:tr2bl w:val="nil"/>
            </w:tcBorders>
            <w:tcMar>
              <w:top w:w="15" w:type="dxa"/>
              <w:left w:w="15" w:type="dxa"/>
              <w:right w:w="15" w:type="dxa"/>
            </w:tcMar>
            <w:vAlign w:val="center"/>
          </w:tcPr>
          <w:p w14:paraId="28BC18D0">
            <w:pPr>
              <w:spacing w:line="240" w:lineRule="auto"/>
              <w:jc w:val="center"/>
              <w:rPr>
                <w:color w:val="000000"/>
                <w:sz w:val="18"/>
                <w:szCs w:val="18"/>
              </w:rPr>
            </w:pPr>
            <w:r>
              <w:rPr>
                <w:color w:val="000000"/>
                <w:sz w:val="18"/>
                <w:szCs w:val="18"/>
              </w:rPr>
              <w:t>乙苯</w:t>
            </w:r>
          </w:p>
        </w:tc>
        <w:tc>
          <w:tcPr>
            <w:tcW w:w="445" w:type="pct"/>
            <w:tcBorders>
              <w:tl2br w:val="nil"/>
              <w:tr2bl w:val="nil"/>
            </w:tcBorders>
            <w:tcMar>
              <w:top w:w="15" w:type="dxa"/>
              <w:left w:w="15" w:type="dxa"/>
              <w:right w:w="15" w:type="dxa"/>
            </w:tcMar>
            <w:vAlign w:val="center"/>
          </w:tcPr>
          <w:p w14:paraId="08B3C486">
            <w:pPr>
              <w:spacing w:line="240" w:lineRule="auto"/>
              <w:jc w:val="center"/>
              <w:rPr>
                <w:color w:val="000000"/>
                <w:sz w:val="18"/>
                <w:szCs w:val="18"/>
              </w:rPr>
            </w:pPr>
            <w:r>
              <w:rPr>
                <w:color w:val="000000"/>
                <w:sz w:val="18"/>
                <w:szCs w:val="18"/>
              </w:rPr>
              <w:t>28</w:t>
            </w:r>
          </w:p>
        </w:tc>
        <w:tc>
          <w:tcPr>
            <w:tcW w:w="302" w:type="pct"/>
            <w:tcBorders>
              <w:tl2br w:val="nil"/>
              <w:tr2bl w:val="nil"/>
            </w:tcBorders>
            <w:tcMar>
              <w:top w:w="15" w:type="dxa"/>
              <w:left w:w="15" w:type="dxa"/>
              <w:right w:w="15" w:type="dxa"/>
            </w:tcMar>
            <w:vAlign w:val="center"/>
          </w:tcPr>
          <w:p w14:paraId="608EEAF0">
            <w:pPr>
              <w:spacing w:line="240" w:lineRule="auto"/>
              <w:jc w:val="center"/>
              <w:rPr>
                <w:color w:val="000000"/>
                <w:sz w:val="18"/>
                <w:szCs w:val="18"/>
              </w:rPr>
            </w:pPr>
          </w:p>
        </w:tc>
        <w:tc>
          <w:tcPr>
            <w:tcW w:w="1056" w:type="pct"/>
            <w:tcBorders>
              <w:tl2br w:val="nil"/>
              <w:tr2bl w:val="nil"/>
            </w:tcBorders>
            <w:tcMar>
              <w:top w:w="15" w:type="dxa"/>
              <w:left w:w="15" w:type="dxa"/>
              <w:right w:w="15" w:type="dxa"/>
            </w:tcMar>
            <w:vAlign w:val="center"/>
          </w:tcPr>
          <w:p w14:paraId="0705D765">
            <w:pPr>
              <w:spacing w:line="240" w:lineRule="auto"/>
              <w:jc w:val="center"/>
              <w:rPr>
                <w:color w:val="000000"/>
                <w:sz w:val="18"/>
                <w:szCs w:val="18"/>
              </w:rPr>
            </w:pPr>
          </w:p>
        </w:tc>
        <w:tc>
          <w:tcPr>
            <w:tcW w:w="461" w:type="pct"/>
            <w:tcBorders>
              <w:tl2br w:val="nil"/>
              <w:tr2bl w:val="nil"/>
            </w:tcBorders>
            <w:tcMar>
              <w:top w:w="15" w:type="dxa"/>
              <w:left w:w="15" w:type="dxa"/>
              <w:right w:w="15" w:type="dxa"/>
            </w:tcMar>
            <w:vAlign w:val="center"/>
          </w:tcPr>
          <w:p w14:paraId="004ED92C">
            <w:pPr>
              <w:spacing w:line="240" w:lineRule="auto"/>
              <w:jc w:val="center"/>
              <w:rPr>
                <w:color w:val="000000"/>
                <w:sz w:val="18"/>
                <w:szCs w:val="18"/>
              </w:rPr>
            </w:pPr>
          </w:p>
        </w:tc>
      </w:tr>
      <w:tr w14:paraId="5AC96658">
        <w:tblPrEx>
          <w:tblBorders>
            <w:top w:val="single" w:color="000000" w:sz="6" w:space="0"/>
            <w:left w:val="single" w:color="000000" w:sz="6" w:space="0"/>
            <w:bottom w:val="single" w:color="000000" w:sz="6"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15" w:type="pct"/>
            <w:tcBorders>
              <w:tl2br w:val="nil"/>
              <w:tr2bl w:val="nil"/>
            </w:tcBorders>
            <w:tcMar>
              <w:top w:w="15" w:type="dxa"/>
              <w:left w:w="15" w:type="dxa"/>
              <w:right w:w="15" w:type="dxa"/>
            </w:tcMar>
            <w:vAlign w:val="center"/>
          </w:tcPr>
          <w:p w14:paraId="141CFDA5">
            <w:pPr>
              <w:spacing w:line="240" w:lineRule="auto"/>
              <w:jc w:val="center"/>
              <w:rPr>
                <w:color w:val="000000"/>
                <w:sz w:val="18"/>
                <w:szCs w:val="18"/>
              </w:rPr>
            </w:pPr>
            <w:r>
              <w:rPr>
                <w:color w:val="000000"/>
                <w:sz w:val="18"/>
                <w:szCs w:val="18"/>
              </w:rPr>
              <w:t>16</w:t>
            </w:r>
          </w:p>
        </w:tc>
        <w:tc>
          <w:tcPr>
            <w:tcW w:w="813" w:type="pct"/>
            <w:tcBorders>
              <w:tl2br w:val="nil"/>
              <w:tr2bl w:val="nil"/>
            </w:tcBorders>
            <w:tcMar>
              <w:top w:w="15" w:type="dxa"/>
              <w:left w:w="15" w:type="dxa"/>
              <w:right w:w="15" w:type="dxa"/>
            </w:tcMar>
            <w:vAlign w:val="center"/>
          </w:tcPr>
          <w:p w14:paraId="363535CB">
            <w:pPr>
              <w:spacing w:line="240" w:lineRule="auto"/>
              <w:jc w:val="center"/>
              <w:rPr>
                <w:color w:val="000000"/>
                <w:sz w:val="18"/>
                <w:szCs w:val="18"/>
              </w:rPr>
            </w:pPr>
            <w:r>
              <w:rPr>
                <w:color w:val="000000"/>
                <w:sz w:val="18"/>
                <w:szCs w:val="18"/>
              </w:rPr>
              <w:t>二氯甲烷</w:t>
            </w:r>
          </w:p>
        </w:tc>
        <w:tc>
          <w:tcPr>
            <w:tcW w:w="397" w:type="pct"/>
            <w:tcBorders>
              <w:tl2br w:val="nil"/>
              <w:tr2bl w:val="nil"/>
            </w:tcBorders>
            <w:tcMar>
              <w:top w:w="15" w:type="dxa"/>
              <w:left w:w="15" w:type="dxa"/>
              <w:right w:w="15" w:type="dxa"/>
            </w:tcMar>
            <w:vAlign w:val="center"/>
          </w:tcPr>
          <w:p w14:paraId="5A9C428F">
            <w:pPr>
              <w:spacing w:line="240" w:lineRule="auto"/>
              <w:jc w:val="center"/>
              <w:rPr>
                <w:color w:val="000000"/>
                <w:sz w:val="18"/>
                <w:szCs w:val="18"/>
              </w:rPr>
            </w:pPr>
            <w:r>
              <w:rPr>
                <w:color w:val="000000"/>
                <w:sz w:val="18"/>
                <w:szCs w:val="18"/>
              </w:rPr>
              <w:t>616</w:t>
            </w:r>
          </w:p>
        </w:tc>
        <w:tc>
          <w:tcPr>
            <w:tcW w:w="334" w:type="pct"/>
            <w:tcBorders>
              <w:tl2br w:val="nil"/>
              <w:tr2bl w:val="nil"/>
            </w:tcBorders>
            <w:tcMar>
              <w:top w:w="15" w:type="dxa"/>
              <w:left w:w="15" w:type="dxa"/>
              <w:right w:w="15" w:type="dxa"/>
            </w:tcMar>
            <w:vAlign w:val="center"/>
          </w:tcPr>
          <w:p w14:paraId="00114720">
            <w:pPr>
              <w:spacing w:line="240" w:lineRule="auto"/>
              <w:jc w:val="center"/>
              <w:rPr>
                <w:color w:val="000000"/>
                <w:sz w:val="18"/>
                <w:szCs w:val="18"/>
              </w:rPr>
            </w:pPr>
            <w:r>
              <w:rPr>
                <w:color w:val="000000"/>
                <w:sz w:val="18"/>
                <w:szCs w:val="18"/>
              </w:rPr>
              <w:t>32</w:t>
            </w:r>
          </w:p>
        </w:tc>
        <w:tc>
          <w:tcPr>
            <w:tcW w:w="878" w:type="pct"/>
            <w:tcBorders>
              <w:tl2br w:val="nil"/>
              <w:tr2bl w:val="nil"/>
            </w:tcBorders>
            <w:tcMar>
              <w:top w:w="15" w:type="dxa"/>
              <w:left w:w="15" w:type="dxa"/>
              <w:right w:w="15" w:type="dxa"/>
            </w:tcMar>
            <w:vAlign w:val="center"/>
          </w:tcPr>
          <w:p w14:paraId="02726186">
            <w:pPr>
              <w:spacing w:line="240" w:lineRule="auto"/>
              <w:jc w:val="center"/>
              <w:rPr>
                <w:color w:val="000000"/>
                <w:sz w:val="18"/>
                <w:szCs w:val="18"/>
              </w:rPr>
            </w:pPr>
            <w:r>
              <w:rPr>
                <w:color w:val="000000"/>
                <w:sz w:val="18"/>
                <w:szCs w:val="18"/>
              </w:rPr>
              <w:t>苯乙烯</w:t>
            </w:r>
          </w:p>
        </w:tc>
        <w:tc>
          <w:tcPr>
            <w:tcW w:w="445" w:type="pct"/>
            <w:tcBorders>
              <w:tl2br w:val="nil"/>
              <w:tr2bl w:val="nil"/>
            </w:tcBorders>
            <w:tcMar>
              <w:top w:w="15" w:type="dxa"/>
              <w:left w:w="15" w:type="dxa"/>
              <w:right w:w="15" w:type="dxa"/>
            </w:tcMar>
            <w:vAlign w:val="center"/>
          </w:tcPr>
          <w:p w14:paraId="4CCAC996">
            <w:pPr>
              <w:spacing w:line="240" w:lineRule="auto"/>
              <w:jc w:val="center"/>
              <w:rPr>
                <w:color w:val="000000"/>
                <w:sz w:val="18"/>
                <w:szCs w:val="18"/>
              </w:rPr>
            </w:pPr>
            <w:r>
              <w:rPr>
                <w:color w:val="000000"/>
                <w:sz w:val="18"/>
                <w:szCs w:val="18"/>
              </w:rPr>
              <w:t>1290</w:t>
            </w:r>
          </w:p>
        </w:tc>
        <w:tc>
          <w:tcPr>
            <w:tcW w:w="302" w:type="pct"/>
            <w:tcBorders>
              <w:tl2br w:val="nil"/>
              <w:tr2bl w:val="nil"/>
            </w:tcBorders>
            <w:tcMar>
              <w:top w:w="15" w:type="dxa"/>
              <w:left w:w="15" w:type="dxa"/>
              <w:right w:w="15" w:type="dxa"/>
            </w:tcMar>
            <w:vAlign w:val="center"/>
          </w:tcPr>
          <w:p w14:paraId="1CBAD717">
            <w:pPr>
              <w:spacing w:line="240" w:lineRule="auto"/>
              <w:jc w:val="center"/>
              <w:rPr>
                <w:color w:val="000000"/>
                <w:sz w:val="18"/>
                <w:szCs w:val="18"/>
              </w:rPr>
            </w:pPr>
          </w:p>
        </w:tc>
        <w:tc>
          <w:tcPr>
            <w:tcW w:w="1056" w:type="pct"/>
            <w:tcBorders>
              <w:tl2br w:val="nil"/>
              <w:tr2bl w:val="nil"/>
            </w:tcBorders>
            <w:tcMar>
              <w:top w:w="15" w:type="dxa"/>
              <w:left w:w="15" w:type="dxa"/>
              <w:right w:w="15" w:type="dxa"/>
            </w:tcMar>
            <w:vAlign w:val="center"/>
          </w:tcPr>
          <w:p w14:paraId="5E87E277">
            <w:pPr>
              <w:spacing w:line="240" w:lineRule="auto"/>
              <w:jc w:val="center"/>
              <w:rPr>
                <w:color w:val="000000"/>
                <w:sz w:val="18"/>
                <w:szCs w:val="18"/>
              </w:rPr>
            </w:pPr>
          </w:p>
        </w:tc>
        <w:tc>
          <w:tcPr>
            <w:tcW w:w="461" w:type="pct"/>
            <w:tcBorders>
              <w:tl2br w:val="nil"/>
              <w:tr2bl w:val="nil"/>
            </w:tcBorders>
            <w:tcMar>
              <w:top w:w="15" w:type="dxa"/>
              <w:left w:w="15" w:type="dxa"/>
              <w:right w:w="15" w:type="dxa"/>
            </w:tcMar>
            <w:vAlign w:val="center"/>
          </w:tcPr>
          <w:p w14:paraId="02D15943">
            <w:pPr>
              <w:spacing w:line="240" w:lineRule="auto"/>
              <w:jc w:val="center"/>
              <w:rPr>
                <w:color w:val="000000"/>
                <w:sz w:val="18"/>
                <w:szCs w:val="18"/>
              </w:rPr>
            </w:pPr>
          </w:p>
        </w:tc>
      </w:tr>
    </w:tbl>
    <w:p w14:paraId="1AFCC58F">
      <w:pPr>
        <w:pStyle w:val="785"/>
        <w:outlineLvl w:val="9"/>
        <w:rPr>
          <w:color w:val="000000"/>
          <w:szCs w:val="24"/>
        </w:rPr>
      </w:pPr>
      <w:r>
        <w:rPr>
          <w:color w:val="000000"/>
          <w:szCs w:val="24"/>
        </w:rPr>
        <w:t>1.3.5.2 排放标准</w:t>
      </w:r>
    </w:p>
    <w:p w14:paraId="1FDEA627">
      <w:pPr>
        <w:ind w:firstLine="480"/>
        <w:rPr>
          <w:color w:val="000000"/>
        </w:rPr>
      </w:pPr>
      <w:r>
        <w:rPr>
          <w:color w:val="000000"/>
        </w:rPr>
        <w:t>（1）废气污染物排放标准</w:t>
      </w:r>
    </w:p>
    <w:p w14:paraId="382FF47B">
      <w:pPr>
        <w:ind w:firstLine="480"/>
        <w:rPr>
          <w:color w:val="000000"/>
          <w:szCs w:val="24"/>
        </w:rPr>
      </w:pPr>
      <w:r>
        <w:rPr>
          <w:color w:val="000000"/>
        </w:rPr>
        <w:t>本项目废气主要包括压缩脱碳干燥再生尾气、深冷分离尾气、吸附脱氢再生尾气、脱碳干燥再生尾气。其中，吸附脱氢再生尾气、脱碳干燥再生尾气主要成分为氮气及少量的氧气、水和二氧化碳，直接放空；压缩脱碳干燥再生尾气及部分深冷分离尾气主要含甲烷、氮气等，依托现有火炬燃烧后排放，火炬烟气执行《重庆市大气污染物综合排放标准》（DB50/418-2016），标准值详见表1.3.5.2-1。</w:t>
      </w:r>
    </w:p>
    <w:p w14:paraId="233E3090">
      <w:pPr>
        <w:jc w:val="center"/>
        <w:rPr>
          <w:color w:val="000000"/>
        </w:rPr>
      </w:pPr>
      <w:r>
        <w:rPr>
          <w:color w:val="000000"/>
          <w:sz w:val="21"/>
        </w:rPr>
        <w:t>表1.3.5.2-1  《重庆市大气污染物综合排放标准》（DB50/418-2016）</w:t>
      </w:r>
    </w:p>
    <w:tbl>
      <w:tblPr>
        <w:tblStyle w:val="7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975"/>
        <w:gridCol w:w="3319"/>
        <w:gridCol w:w="1649"/>
        <w:gridCol w:w="1652"/>
      </w:tblGrid>
      <w:tr w14:paraId="0746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06" w:type="pct"/>
            <w:vMerge w:val="restart"/>
            <w:vAlign w:val="center"/>
          </w:tcPr>
          <w:p w14:paraId="59D178E6">
            <w:pPr>
              <w:widowControl w:val="0"/>
              <w:spacing w:line="280" w:lineRule="atLeast"/>
              <w:jc w:val="center"/>
              <w:rPr>
                <w:color w:val="000000"/>
                <w:sz w:val="21"/>
              </w:rPr>
            </w:pPr>
            <w:r>
              <w:rPr>
                <w:color w:val="000000"/>
                <w:sz w:val="21"/>
              </w:rPr>
              <w:t>大气污染源</w:t>
            </w:r>
          </w:p>
        </w:tc>
        <w:tc>
          <w:tcPr>
            <w:tcW w:w="538" w:type="pct"/>
            <w:vMerge w:val="restart"/>
            <w:vAlign w:val="center"/>
          </w:tcPr>
          <w:p w14:paraId="002754BB">
            <w:pPr>
              <w:widowControl w:val="0"/>
              <w:spacing w:line="280" w:lineRule="atLeast"/>
              <w:jc w:val="center"/>
              <w:rPr>
                <w:color w:val="000000"/>
                <w:sz w:val="21"/>
              </w:rPr>
            </w:pPr>
            <w:r>
              <w:rPr>
                <w:color w:val="000000"/>
                <w:sz w:val="21"/>
              </w:rPr>
              <w:t>污染物</w:t>
            </w:r>
          </w:p>
        </w:tc>
        <w:tc>
          <w:tcPr>
            <w:tcW w:w="1832" w:type="pct"/>
            <w:vMerge w:val="restart"/>
            <w:vAlign w:val="center"/>
          </w:tcPr>
          <w:p w14:paraId="6D6470CF">
            <w:pPr>
              <w:widowControl w:val="0"/>
              <w:spacing w:line="280" w:lineRule="atLeast"/>
              <w:jc w:val="center"/>
              <w:rPr>
                <w:color w:val="000000"/>
                <w:sz w:val="21"/>
              </w:rPr>
            </w:pPr>
            <w:r>
              <w:rPr>
                <w:color w:val="000000"/>
                <w:sz w:val="21"/>
              </w:rPr>
              <w:t>最高允许排放浓度（mg/m</w:t>
            </w:r>
            <w:r>
              <w:rPr>
                <w:color w:val="000000"/>
                <w:sz w:val="21"/>
                <w:vertAlign w:val="superscript"/>
              </w:rPr>
              <w:t>3</w:t>
            </w:r>
            <w:r>
              <w:rPr>
                <w:color w:val="000000"/>
                <w:sz w:val="21"/>
              </w:rPr>
              <w:t>）</w:t>
            </w:r>
          </w:p>
        </w:tc>
        <w:tc>
          <w:tcPr>
            <w:tcW w:w="1822" w:type="pct"/>
            <w:gridSpan w:val="2"/>
          </w:tcPr>
          <w:p w14:paraId="5A54567A">
            <w:pPr>
              <w:pStyle w:val="2"/>
              <w:widowControl w:val="0"/>
              <w:ind w:left="0" w:leftChars="0" w:firstLine="0" w:firstLineChars="0"/>
              <w:jc w:val="center"/>
              <w:rPr>
                <w:rFonts w:ascii="Times New Roman" w:hAnsi="Times New Roman" w:cs="Times New Roman"/>
                <w:color w:val="000000"/>
              </w:rPr>
            </w:pPr>
            <w:r>
              <w:rPr>
                <w:rFonts w:ascii="Times New Roman" w:hAnsi="Times New Roman" w:cs="Times New Roman"/>
                <w:color w:val="000000"/>
                <w:kern w:val="2"/>
                <w:szCs w:val="21"/>
              </w:rPr>
              <w:t>最高允许排放速率</w:t>
            </w:r>
          </w:p>
        </w:tc>
      </w:tr>
      <w:tr w14:paraId="18A3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806" w:type="pct"/>
            <w:vMerge w:val="continue"/>
            <w:vAlign w:val="center"/>
          </w:tcPr>
          <w:p w14:paraId="0E3CAF94">
            <w:pPr>
              <w:widowControl w:val="0"/>
              <w:spacing w:line="280" w:lineRule="atLeast"/>
              <w:jc w:val="center"/>
              <w:rPr>
                <w:color w:val="000000"/>
                <w:sz w:val="21"/>
              </w:rPr>
            </w:pPr>
          </w:p>
        </w:tc>
        <w:tc>
          <w:tcPr>
            <w:tcW w:w="538" w:type="pct"/>
            <w:vMerge w:val="continue"/>
            <w:vAlign w:val="center"/>
          </w:tcPr>
          <w:p w14:paraId="6F223029">
            <w:pPr>
              <w:widowControl w:val="0"/>
              <w:spacing w:line="280" w:lineRule="atLeast"/>
              <w:jc w:val="center"/>
              <w:rPr>
                <w:color w:val="000000"/>
                <w:sz w:val="21"/>
              </w:rPr>
            </w:pPr>
          </w:p>
        </w:tc>
        <w:tc>
          <w:tcPr>
            <w:tcW w:w="1832" w:type="pct"/>
            <w:vMerge w:val="continue"/>
            <w:vAlign w:val="center"/>
          </w:tcPr>
          <w:p w14:paraId="3ED1F666">
            <w:pPr>
              <w:widowControl w:val="0"/>
              <w:spacing w:line="280" w:lineRule="atLeast"/>
              <w:jc w:val="center"/>
              <w:rPr>
                <w:color w:val="000000"/>
                <w:sz w:val="21"/>
              </w:rPr>
            </w:pPr>
          </w:p>
        </w:tc>
        <w:tc>
          <w:tcPr>
            <w:tcW w:w="910" w:type="pct"/>
            <w:vAlign w:val="center"/>
          </w:tcPr>
          <w:p w14:paraId="6D0AE4AE">
            <w:pPr>
              <w:widowControl w:val="0"/>
              <w:spacing w:line="280" w:lineRule="atLeast"/>
              <w:jc w:val="center"/>
              <w:rPr>
                <w:color w:val="000000"/>
                <w:sz w:val="21"/>
              </w:rPr>
            </w:pPr>
            <w:r>
              <w:rPr>
                <w:color w:val="000000"/>
                <w:sz w:val="21"/>
              </w:rPr>
              <w:t>排气筒（m）</w:t>
            </w:r>
          </w:p>
        </w:tc>
        <w:tc>
          <w:tcPr>
            <w:tcW w:w="911" w:type="pct"/>
            <w:vAlign w:val="center"/>
          </w:tcPr>
          <w:p w14:paraId="3875788A">
            <w:pPr>
              <w:widowControl w:val="0"/>
              <w:spacing w:line="280" w:lineRule="atLeast"/>
              <w:jc w:val="center"/>
              <w:rPr>
                <w:color w:val="000000"/>
                <w:sz w:val="21"/>
              </w:rPr>
            </w:pPr>
            <w:r>
              <w:rPr>
                <w:color w:val="000000"/>
                <w:sz w:val="21"/>
              </w:rPr>
              <w:t>二级（kg/h）</w:t>
            </w:r>
          </w:p>
        </w:tc>
      </w:tr>
      <w:tr w14:paraId="6938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pct"/>
            <w:vMerge w:val="restart"/>
            <w:vAlign w:val="center"/>
          </w:tcPr>
          <w:p w14:paraId="6E7D55B0">
            <w:pPr>
              <w:widowControl w:val="0"/>
              <w:spacing w:line="280" w:lineRule="atLeast"/>
              <w:jc w:val="center"/>
              <w:rPr>
                <w:color w:val="000000"/>
                <w:sz w:val="21"/>
              </w:rPr>
            </w:pPr>
            <w:r>
              <w:rPr>
                <w:color w:val="000000"/>
                <w:sz w:val="21"/>
              </w:rPr>
              <w:t>高架火炬</w:t>
            </w:r>
          </w:p>
        </w:tc>
        <w:tc>
          <w:tcPr>
            <w:tcW w:w="538" w:type="pct"/>
            <w:vAlign w:val="center"/>
          </w:tcPr>
          <w:p w14:paraId="168A28BB">
            <w:pPr>
              <w:widowControl w:val="0"/>
              <w:spacing w:line="280" w:lineRule="atLeast"/>
              <w:jc w:val="center"/>
              <w:rPr>
                <w:color w:val="000000"/>
                <w:sz w:val="21"/>
              </w:rPr>
            </w:pPr>
            <w:r>
              <w:rPr>
                <w:color w:val="000000"/>
                <w:sz w:val="21"/>
              </w:rPr>
              <w:t>颗粒物</w:t>
            </w:r>
          </w:p>
        </w:tc>
        <w:tc>
          <w:tcPr>
            <w:tcW w:w="1832" w:type="pct"/>
            <w:vAlign w:val="center"/>
          </w:tcPr>
          <w:p w14:paraId="69D1CB79">
            <w:pPr>
              <w:widowControl w:val="0"/>
              <w:spacing w:line="280" w:lineRule="atLeast"/>
              <w:jc w:val="center"/>
              <w:rPr>
                <w:color w:val="000000"/>
                <w:sz w:val="21"/>
              </w:rPr>
            </w:pPr>
            <w:r>
              <w:rPr>
                <w:color w:val="000000"/>
                <w:sz w:val="21"/>
              </w:rPr>
              <w:t>120</w:t>
            </w:r>
          </w:p>
        </w:tc>
        <w:tc>
          <w:tcPr>
            <w:tcW w:w="910" w:type="pct"/>
            <w:vAlign w:val="center"/>
          </w:tcPr>
          <w:p w14:paraId="576127E2">
            <w:pPr>
              <w:widowControl w:val="0"/>
              <w:spacing w:line="280" w:lineRule="atLeast"/>
              <w:jc w:val="center"/>
              <w:rPr>
                <w:color w:val="000000"/>
              </w:rPr>
            </w:pPr>
            <w:r>
              <w:rPr>
                <w:color w:val="000000"/>
                <w:sz w:val="21"/>
              </w:rPr>
              <w:t>80</w:t>
            </w:r>
          </w:p>
        </w:tc>
        <w:tc>
          <w:tcPr>
            <w:tcW w:w="911" w:type="pct"/>
            <w:vAlign w:val="center"/>
          </w:tcPr>
          <w:p w14:paraId="7C48F1A0">
            <w:pPr>
              <w:widowControl w:val="0"/>
              <w:spacing w:line="280" w:lineRule="atLeast"/>
              <w:jc w:val="center"/>
              <w:rPr>
                <w:color w:val="000000"/>
              </w:rPr>
            </w:pPr>
            <w:r>
              <w:rPr>
                <w:color w:val="000000"/>
                <w:sz w:val="21"/>
              </w:rPr>
              <w:t>153.6</w:t>
            </w:r>
          </w:p>
        </w:tc>
      </w:tr>
      <w:tr w14:paraId="53B6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pct"/>
            <w:vMerge w:val="continue"/>
            <w:vAlign w:val="center"/>
          </w:tcPr>
          <w:p w14:paraId="5A5D1BBF">
            <w:pPr>
              <w:widowControl w:val="0"/>
              <w:spacing w:line="280" w:lineRule="atLeast"/>
              <w:jc w:val="center"/>
              <w:rPr>
                <w:color w:val="000000"/>
                <w:sz w:val="21"/>
              </w:rPr>
            </w:pPr>
          </w:p>
        </w:tc>
        <w:tc>
          <w:tcPr>
            <w:tcW w:w="538" w:type="pct"/>
            <w:vAlign w:val="center"/>
          </w:tcPr>
          <w:p w14:paraId="59D99C55">
            <w:pPr>
              <w:widowControl w:val="0"/>
              <w:spacing w:line="280" w:lineRule="atLeast"/>
              <w:jc w:val="center"/>
              <w:rPr>
                <w:color w:val="000000"/>
                <w:sz w:val="21"/>
              </w:rPr>
            </w:pPr>
            <w:r>
              <w:rPr>
                <w:color w:val="000000"/>
                <w:sz w:val="21"/>
              </w:rPr>
              <w:t>NOx</w:t>
            </w:r>
          </w:p>
        </w:tc>
        <w:tc>
          <w:tcPr>
            <w:tcW w:w="1832" w:type="pct"/>
            <w:vAlign w:val="center"/>
          </w:tcPr>
          <w:p w14:paraId="5555F11A">
            <w:pPr>
              <w:widowControl w:val="0"/>
              <w:spacing w:line="280" w:lineRule="atLeast"/>
              <w:jc w:val="center"/>
              <w:rPr>
                <w:color w:val="000000"/>
                <w:sz w:val="21"/>
              </w:rPr>
            </w:pPr>
            <w:r>
              <w:rPr>
                <w:color w:val="000000"/>
                <w:sz w:val="21"/>
              </w:rPr>
              <w:t>240</w:t>
            </w:r>
          </w:p>
        </w:tc>
        <w:tc>
          <w:tcPr>
            <w:tcW w:w="910" w:type="pct"/>
            <w:vAlign w:val="center"/>
          </w:tcPr>
          <w:p w14:paraId="07C6A3A0">
            <w:pPr>
              <w:widowControl w:val="0"/>
              <w:spacing w:line="280" w:lineRule="atLeast"/>
              <w:jc w:val="center"/>
              <w:rPr>
                <w:color w:val="000000"/>
              </w:rPr>
            </w:pPr>
            <w:r>
              <w:rPr>
                <w:color w:val="000000"/>
                <w:sz w:val="21"/>
              </w:rPr>
              <w:t>80</w:t>
            </w:r>
          </w:p>
        </w:tc>
        <w:tc>
          <w:tcPr>
            <w:tcW w:w="911" w:type="pct"/>
            <w:vAlign w:val="center"/>
          </w:tcPr>
          <w:p w14:paraId="745D9979">
            <w:pPr>
              <w:widowControl w:val="0"/>
              <w:spacing w:line="280" w:lineRule="atLeast"/>
              <w:jc w:val="center"/>
              <w:rPr>
                <w:color w:val="000000"/>
              </w:rPr>
            </w:pPr>
            <w:r>
              <w:rPr>
                <w:color w:val="000000"/>
                <w:sz w:val="21"/>
              </w:rPr>
              <w:t>30.72</w:t>
            </w:r>
          </w:p>
        </w:tc>
      </w:tr>
      <w:tr w14:paraId="6D68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pct"/>
            <w:vMerge w:val="continue"/>
            <w:vAlign w:val="center"/>
          </w:tcPr>
          <w:p w14:paraId="6D678FF2">
            <w:pPr>
              <w:widowControl w:val="0"/>
              <w:spacing w:line="280" w:lineRule="atLeast"/>
              <w:jc w:val="center"/>
              <w:rPr>
                <w:color w:val="000000"/>
                <w:sz w:val="21"/>
              </w:rPr>
            </w:pPr>
          </w:p>
        </w:tc>
        <w:tc>
          <w:tcPr>
            <w:tcW w:w="538" w:type="pct"/>
            <w:vAlign w:val="center"/>
          </w:tcPr>
          <w:p w14:paraId="139B0827">
            <w:pPr>
              <w:widowControl w:val="0"/>
              <w:spacing w:line="280" w:lineRule="atLeast"/>
              <w:jc w:val="center"/>
              <w:rPr>
                <w:color w:val="000000"/>
                <w:sz w:val="21"/>
              </w:rPr>
            </w:pPr>
            <w:r>
              <w:rPr>
                <w:color w:val="000000"/>
                <w:sz w:val="21"/>
              </w:rPr>
              <w:t>SO</w:t>
            </w:r>
            <w:r>
              <w:rPr>
                <w:color w:val="000000"/>
                <w:sz w:val="21"/>
                <w:vertAlign w:val="subscript"/>
              </w:rPr>
              <w:t>2</w:t>
            </w:r>
          </w:p>
        </w:tc>
        <w:tc>
          <w:tcPr>
            <w:tcW w:w="1832" w:type="pct"/>
            <w:vAlign w:val="center"/>
          </w:tcPr>
          <w:p w14:paraId="3FB5A80B">
            <w:pPr>
              <w:widowControl w:val="0"/>
              <w:spacing w:line="280" w:lineRule="atLeast"/>
              <w:jc w:val="center"/>
              <w:rPr>
                <w:color w:val="000000"/>
                <w:sz w:val="21"/>
              </w:rPr>
            </w:pPr>
            <w:r>
              <w:rPr>
                <w:color w:val="000000"/>
                <w:sz w:val="21"/>
              </w:rPr>
              <w:t>550</w:t>
            </w:r>
          </w:p>
        </w:tc>
        <w:tc>
          <w:tcPr>
            <w:tcW w:w="910" w:type="pct"/>
            <w:vAlign w:val="center"/>
          </w:tcPr>
          <w:p w14:paraId="4898CB3C">
            <w:pPr>
              <w:widowControl w:val="0"/>
              <w:spacing w:line="280" w:lineRule="atLeast"/>
              <w:jc w:val="center"/>
              <w:rPr>
                <w:color w:val="000000"/>
              </w:rPr>
            </w:pPr>
            <w:r>
              <w:rPr>
                <w:color w:val="000000"/>
                <w:sz w:val="21"/>
              </w:rPr>
              <w:t>80</w:t>
            </w:r>
          </w:p>
        </w:tc>
        <w:tc>
          <w:tcPr>
            <w:tcW w:w="911" w:type="pct"/>
            <w:vAlign w:val="center"/>
          </w:tcPr>
          <w:p w14:paraId="7FF3277B">
            <w:pPr>
              <w:widowControl w:val="0"/>
              <w:spacing w:line="280" w:lineRule="atLeast"/>
              <w:jc w:val="center"/>
              <w:rPr>
                <w:color w:val="000000"/>
              </w:rPr>
            </w:pPr>
            <w:r>
              <w:rPr>
                <w:color w:val="000000"/>
                <w:sz w:val="21"/>
              </w:rPr>
              <w:t>99.84</w:t>
            </w:r>
          </w:p>
        </w:tc>
      </w:tr>
    </w:tbl>
    <w:p w14:paraId="45C022F4">
      <w:pPr>
        <w:ind w:firstLine="480"/>
        <w:rPr>
          <w:color w:val="000000"/>
        </w:rPr>
      </w:pPr>
      <w:r>
        <w:rPr>
          <w:color w:val="000000"/>
        </w:rPr>
        <w:t>（2）废水污染物排放标准</w:t>
      </w:r>
    </w:p>
    <w:p w14:paraId="728ED309">
      <w:pPr>
        <w:ind w:firstLine="480"/>
        <w:rPr>
          <w:color w:val="000000"/>
        </w:rPr>
      </w:pPr>
      <w:r>
        <w:rPr>
          <w:color w:val="000000"/>
        </w:rPr>
        <w:t>本项目生活污水和生产废水分别经场内污水处理装置处理汇合后达重庆市涪陵区拓源污水治理有限公司白涛化工园区潘家坝污水处理厂进水水质标准及《污水综合排放标准》（GB8978－1996）三级标准后进入园区污水管网，最后排入园区潘家坝污水处理厂集中处理达到《化工园区主要水污染物排放标准》（DB50/457-2012）中表1的规定。标准值详见表1.3.5.2-2、1.3.5.2-3。</w:t>
      </w:r>
    </w:p>
    <w:p w14:paraId="0DC88DB5">
      <w:pPr>
        <w:pStyle w:val="133"/>
        <w:outlineLvl w:val="9"/>
        <w:rPr>
          <w:rFonts w:ascii="Times New Roman" w:hAnsi="Times New Roman"/>
          <w:color w:val="000000"/>
        </w:rPr>
      </w:pPr>
      <w:r>
        <w:rPr>
          <w:rFonts w:ascii="Times New Roman" w:hAnsi="Times New Roman"/>
          <w:color w:val="000000"/>
        </w:rPr>
        <w:t>表1.3.5.2-</w:t>
      </w:r>
      <w:r>
        <w:rPr>
          <w:rFonts w:ascii="Times New Roman" w:hAnsi="Times New Roman"/>
          <w:color w:val="000000"/>
          <w:lang w:val="en-US"/>
        </w:rPr>
        <w:t>2</w:t>
      </w:r>
      <w:r>
        <w:rPr>
          <w:rFonts w:ascii="Times New Roman" w:hAnsi="Times New Roman"/>
          <w:color w:val="000000"/>
        </w:rPr>
        <w:t xml:space="preserve">   废水排放执行标准</w:t>
      </w:r>
    </w:p>
    <w:tbl>
      <w:tblPr>
        <w:tblStyle w:val="73"/>
        <w:tblW w:w="4997"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108" w:type="dxa"/>
          <w:bottom w:w="0" w:type="dxa"/>
          <w:right w:w="108" w:type="dxa"/>
        </w:tblCellMar>
      </w:tblPr>
      <w:tblGrid>
        <w:gridCol w:w="4175"/>
        <w:gridCol w:w="785"/>
        <w:gridCol w:w="875"/>
        <w:gridCol w:w="698"/>
        <w:gridCol w:w="625"/>
        <w:gridCol w:w="948"/>
        <w:gridCol w:w="948"/>
      </w:tblGrid>
      <w:tr w14:paraId="328DB90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304" w:type="pct"/>
            <w:tcBorders>
              <w:tl2br w:val="nil"/>
              <w:tr2bl w:val="nil"/>
            </w:tcBorders>
            <w:vAlign w:val="center"/>
          </w:tcPr>
          <w:p w14:paraId="4A553B2E">
            <w:pPr>
              <w:spacing w:line="240" w:lineRule="auto"/>
              <w:jc w:val="center"/>
              <w:rPr>
                <w:color w:val="000000"/>
                <w:sz w:val="21"/>
              </w:rPr>
            </w:pPr>
            <w:r>
              <w:rPr>
                <w:color w:val="000000"/>
                <w:sz w:val="21"/>
              </w:rPr>
              <w:t>排放标准</w:t>
            </w:r>
          </w:p>
        </w:tc>
        <w:tc>
          <w:tcPr>
            <w:tcW w:w="433" w:type="pct"/>
            <w:tcBorders>
              <w:tl2br w:val="nil"/>
              <w:tr2bl w:val="nil"/>
            </w:tcBorders>
            <w:vAlign w:val="center"/>
          </w:tcPr>
          <w:p w14:paraId="429595A4">
            <w:pPr>
              <w:spacing w:line="240" w:lineRule="auto"/>
              <w:jc w:val="center"/>
              <w:rPr>
                <w:color w:val="000000"/>
                <w:sz w:val="21"/>
              </w:rPr>
            </w:pPr>
            <w:r>
              <w:rPr>
                <w:color w:val="000000"/>
                <w:sz w:val="21"/>
              </w:rPr>
              <w:t>COD</w:t>
            </w:r>
          </w:p>
        </w:tc>
        <w:tc>
          <w:tcPr>
            <w:tcW w:w="483" w:type="pct"/>
            <w:tcBorders>
              <w:tl2br w:val="nil"/>
              <w:tr2bl w:val="nil"/>
            </w:tcBorders>
            <w:vAlign w:val="center"/>
          </w:tcPr>
          <w:p w14:paraId="52ECA26F">
            <w:pPr>
              <w:pStyle w:val="12"/>
              <w:spacing w:line="240" w:lineRule="auto"/>
              <w:rPr>
                <w:color w:val="000000"/>
                <w:sz w:val="21"/>
                <w:szCs w:val="21"/>
              </w:rPr>
            </w:pPr>
            <w:r>
              <w:rPr>
                <w:color w:val="000000"/>
                <w:sz w:val="21"/>
                <w:szCs w:val="21"/>
              </w:rPr>
              <w:t>BOD</w:t>
            </w:r>
            <w:r>
              <w:rPr>
                <w:color w:val="000000"/>
                <w:sz w:val="21"/>
                <w:szCs w:val="21"/>
                <w:vertAlign w:val="subscript"/>
              </w:rPr>
              <w:t>5</w:t>
            </w:r>
          </w:p>
        </w:tc>
        <w:tc>
          <w:tcPr>
            <w:tcW w:w="385" w:type="pct"/>
            <w:tcBorders>
              <w:tl2br w:val="nil"/>
              <w:tr2bl w:val="nil"/>
            </w:tcBorders>
            <w:vAlign w:val="center"/>
          </w:tcPr>
          <w:p w14:paraId="769E646F">
            <w:pPr>
              <w:pStyle w:val="12"/>
              <w:spacing w:line="240" w:lineRule="auto"/>
              <w:rPr>
                <w:color w:val="000000"/>
                <w:sz w:val="21"/>
                <w:szCs w:val="21"/>
              </w:rPr>
            </w:pPr>
            <w:r>
              <w:rPr>
                <w:color w:val="000000"/>
                <w:sz w:val="21"/>
                <w:szCs w:val="21"/>
              </w:rPr>
              <w:t>氨氮</w:t>
            </w:r>
          </w:p>
        </w:tc>
        <w:tc>
          <w:tcPr>
            <w:tcW w:w="345" w:type="pct"/>
            <w:tcBorders>
              <w:tl2br w:val="nil"/>
              <w:tr2bl w:val="nil"/>
            </w:tcBorders>
            <w:vAlign w:val="center"/>
          </w:tcPr>
          <w:p w14:paraId="163CFA25">
            <w:pPr>
              <w:pStyle w:val="12"/>
              <w:spacing w:line="240" w:lineRule="auto"/>
              <w:rPr>
                <w:color w:val="000000"/>
                <w:sz w:val="21"/>
                <w:szCs w:val="21"/>
              </w:rPr>
            </w:pPr>
            <w:r>
              <w:rPr>
                <w:color w:val="000000"/>
                <w:sz w:val="21"/>
                <w:szCs w:val="21"/>
              </w:rPr>
              <w:t>SS</w:t>
            </w:r>
          </w:p>
        </w:tc>
        <w:tc>
          <w:tcPr>
            <w:tcW w:w="523" w:type="pct"/>
            <w:tcBorders>
              <w:tl2br w:val="nil"/>
              <w:tr2bl w:val="nil"/>
            </w:tcBorders>
            <w:vAlign w:val="center"/>
          </w:tcPr>
          <w:p w14:paraId="073F73C4">
            <w:pPr>
              <w:pStyle w:val="12"/>
              <w:spacing w:line="240" w:lineRule="auto"/>
              <w:rPr>
                <w:color w:val="000000"/>
                <w:sz w:val="21"/>
                <w:szCs w:val="21"/>
              </w:rPr>
            </w:pPr>
            <w:r>
              <w:rPr>
                <w:color w:val="000000"/>
                <w:sz w:val="21"/>
                <w:szCs w:val="21"/>
              </w:rPr>
              <w:t>石油类</w:t>
            </w:r>
          </w:p>
        </w:tc>
        <w:tc>
          <w:tcPr>
            <w:tcW w:w="523" w:type="pct"/>
            <w:tcBorders>
              <w:tl2br w:val="nil"/>
              <w:tr2bl w:val="nil"/>
            </w:tcBorders>
            <w:vAlign w:val="center"/>
          </w:tcPr>
          <w:p w14:paraId="7867CC7F">
            <w:pPr>
              <w:pStyle w:val="12"/>
              <w:spacing w:line="240" w:lineRule="auto"/>
              <w:rPr>
                <w:color w:val="000000"/>
                <w:sz w:val="21"/>
                <w:szCs w:val="21"/>
              </w:rPr>
            </w:pPr>
            <w:r>
              <w:rPr>
                <w:color w:val="000000"/>
                <w:sz w:val="21"/>
                <w:szCs w:val="21"/>
              </w:rPr>
              <w:t>TP</w:t>
            </w:r>
          </w:p>
        </w:tc>
      </w:tr>
      <w:tr w14:paraId="5128DA1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616" w:hRule="atLeast"/>
          <w:jc w:val="center"/>
        </w:trPr>
        <w:tc>
          <w:tcPr>
            <w:tcW w:w="2304" w:type="pct"/>
            <w:tcBorders>
              <w:tl2br w:val="nil"/>
              <w:tr2bl w:val="nil"/>
            </w:tcBorders>
            <w:vAlign w:val="center"/>
          </w:tcPr>
          <w:p w14:paraId="1A703494">
            <w:pPr>
              <w:spacing w:line="240" w:lineRule="auto"/>
              <w:jc w:val="center"/>
              <w:rPr>
                <w:color w:val="000000"/>
                <w:sz w:val="21"/>
              </w:rPr>
            </w:pPr>
            <w:r>
              <w:rPr>
                <w:color w:val="000000"/>
                <w:sz w:val="21"/>
              </w:rPr>
              <w:t>《污水综合排放标准》（GB8978－1996）三级标准</w:t>
            </w:r>
          </w:p>
        </w:tc>
        <w:tc>
          <w:tcPr>
            <w:tcW w:w="433" w:type="pct"/>
            <w:tcBorders>
              <w:tl2br w:val="nil"/>
              <w:tr2bl w:val="nil"/>
            </w:tcBorders>
            <w:vAlign w:val="center"/>
          </w:tcPr>
          <w:p w14:paraId="1499A123">
            <w:pPr>
              <w:spacing w:line="240" w:lineRule="auto"/>
              <w:jc w:val="center"/>
              <w:rPr>
                <w:color w:val="000000"/>
                <w:sz w:val="21"/>
              </w:rPr>
            </w:pPr>
            <w:r>
              <w:rPr>
                <w:color w:val="000000"/>
                <w:sz w:val="21"/>
              </w:rPr>
              <w:t>500</w:t>
            </w:r>
          </w:p>
        </w:tc>
        <w:tc>
          <w:tcPr>
            <w:tcW w:w="483" w:type="pct"/>
            <w:tcBorders>
              <w:tl2br w:val="nil"/>
              <w:tr2bl w:val="nil"/>
            </w:tcBorders>
            <w:vAlign w:val="center"/>
          </w:tcPr>
          <w:p w14:paraId="15809913">
            <w:pPr>
              <w:spacing w:line="240" w:lineRule="auto"/>
              <w:jc w:val="center"/>
              <w:rPr>
                <w:color w:val="000000"/>
                <w:sz w:val="21"/>
              </w:rPr>
            </w:pPr>
            <w:r>
              <w:rPr>
                <w:color w:val="000000"/>
                <w:sz w:val="21"/>
              </w:rPr>
              <w:t>300</w:t>
            </w:r>
          </w:p>
        </w:tc>
        <w:tc>
          <w:tcPr>
            <w:tcW w:w="385" w:type="pct"/>
            <w:tcBorders>
              <w:tl2br w:val="nil"/>
              <w:tr2bl w:val="nil"/>
            </w:tcBorders>
            <w:vAlign w:val="center"/>
          </w:tcPr>
          <w:p w14:paraId="0658F924">
            <w:pPr>
              <w:spacing w:line="240" w:lineRule="auto"/>
              <w:jc w:val="center"/>
              <w:rPr>
                <w:color w:val="000000"/>
                <w:sz w:val="21"/>
              </w:rPr>
            </w:pPr>
            <w:r>
              <w:rPr>
                <w:color w:val="000000"/>
                <w:sz w:val="21"/>
              </w:rPr>
              <w:t>/</w:t>
            </w:r>
          </w:p>
        </w:tc>
        <w:tc>
          <w:tcPr>
            <w:tcW w:w="345" w:type="pct"/>
            <w:tcBorders>
              <w:tl2br w:val="nil"/>
              <w:tr2bl w:val="nil"/>
            </w:tcBorders>
            <w:vAlign w:val="center"/>
          </w:tcPr>
          <w:p w14:paraId="00F92DEE">
            <w:pPr>
              <w:spacing w:line="240" w:lineRule="auto"/>
              <w:jc w:val="center"/>
              <w:rPr>
                <w:color w:val="000000"/>
                <w:sz w:val="21"/>
              </w:rPr>
            </w:pPr>
            <w:r>
              <w:rPr>
                <w:color w:val="000000"/>
                <w:sz w:val="21"/>
              </w:rPr>
              <w:t>400</w:t>
            </w:r>
          </w:p>
        </w:tc>
        <w:tc>
          <w:tcPr>
            <w:tcW w:w="523" w:type="pct"/>
            <w:tcBorders>
              <w:tl2br w:val="nil"/>
              <w:tr2bl w:val="nil"/>
            </w:tcBorders>
            <w:vAlign w:val="center"/>
          </w:tcPr>
          <w:p w14:paraId="70124BFE">
            <w:pPr>
              <w:spacing w:line="240" w:lineRule="auto"/>
              <w:jc w:val="center"/>
              <w:rPr>
                <w:color w:val="000000"/>
                <w:sz w:val="21"/>
              </w:rPr>
            </w:pPr>
            <w:r>
              <w:rPr>
                <w:color w:val="000000"/>
                <w:sz w:val="21"/>
              </w:rPr>
              <w:t>20</w:t>
            </w:r>
          </w:p>
        </w:tc>
        <w:tc>
          <w:tcPr>
            <w:tcW w:w="523" w:type="pct"/>
            <w:tcBorders>
              <w:tl2br w:val="nil"/>
              <w:tr2bl w:val="nil"/>
            </w:tcBorders>
            <w:vAlign w:val="center"/>
          </w:tcPr>
          <w:p w14:paraId="4DEE0961">
            <w:pPr>
              <w:spacing w:line="240" w:lineRule="auto"/>
              <w:jc w:val="center"/>
              <w:rPr>
                <w:color w:val="000000"/>
                <w:sz w:val="21"/>
              </w:rPr>
            </w:pPr>
            <w:r>
              <w:rPr>
                <w:color w:val="000000"/>
                <w:sz w:val="21"/>
              </w:rPr>
              <w:t>/</w:t>
            </w:r>
          </w:p>
        </w:tc>
      </w:tr>
      <w:tr w14:paraId="0C01C11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2304" w:type="pct"/>
            <w:tcBorders>
              <w:tl2br w:val="nil"/>
              <w:tr2bl w:val="nil"/>
            </w:tcBorders>
            <w:vAlign w:val="center"/>
          </w:tcPr>
          <w:p w14:paraId="23B084FC">
            <w:pPr>
              <w:spacing w:line="240" w:lineRule="auto"/>
              <w:jc w:val="center"/>
              <w:rPr>
                <w:color w:val="000000"/>
                <w:sz w:val="21"/>
              </w:rPr>
            </w:pPr>
            <w:r>
              <w:rPr>
                <w:color w:val="000000"/>
                <w:sz w:val="21"/>
              </w:rPr>
              <w:t>潘家坝污水处理厂进水水质设计要求</w:t>
            </w:r>
          </w:p>
        </w:tc>
        <w:tc>
          <w:tcPr>
            <w:tcW w:w="433" w:type="pct"/>
            <w:tcBorders>
              <w:tl2br w:val="nil"/>
              <w:tr2bl w:val="nil"/>
            </w:tcBorders>
            <w:vAlign w:val="center"/>
          </w:tcPr>
          <w:p w14:paraId="6988F493">
            <w:pPr>
              <w:spacing w:line="240" w:lineRule="auto"/>
              <w:jc w:val="center"/>
              <w:rPr>
                <w:color w:val="000000"/>
                <w:sz w:val="21"/>
              </w:rPr>
            </w:pPr>
            <w:r>
              <w:rPr>
                <w:color w:val="000000"/>
                <w:sz w:val="21"/>
              </w:rPr>
              <w:t>590</w:t>
            </w:r>
          </w:p>
        </w:tc>
        <w:tc>
          <w:tcPr>
            <w:tcW w:w="483" w:type="pct"/>
            <w:tcBorders>
              <w:tl2br w:val="nil"/>
              <w:tr2bl w:val="nil"/>
            </w:tcBorders>
            <w:vAlign w:val="center"/>
          </w:tcPr>
          <w:p w14:paraId="50C8EF03">
            <w:pPr>
              <w:spacing w:line="240" w:lineRule="auto"/>
              <w:jc w:val="center"/>
              <w:rPr>
                <w:color w:val="000000"/>
                <w:sz w:val="21"/>
              </w:rPr>
            </w:pPr>
            <w:r>
              <w:rPr>
                <w:color w:val="000000"/>
                <w:sz w:val="21"/>
              </w:rPr>
              <w:t>236</w:t>
            </w:r>
          </w:p>
        </w:tc>
        <w:tc>
          <w:tcPr>
            <w:tcW w:w="385" w:type="pct"/>
            <w:tcBorders>
              <w:tl2br w:val="nil"/>
              <w:tr2bl w:val="nil"/>
            </w:tcBorders>
            <w:vAlign w:val="center"/>
          </w:tcPr>
          <w:p w14:paraId="493F5C4D">
            <w:pPr>
              <w:spacing w:line="240" w:lineRule="auto"/>
              <w:jc w:val="center"/>
              <w:rPr>
                <w:color w:val="000000"/>
                <w:sz w:val="21"/>
              </w:rPr>
            </w:pPr>
            <w:r>
              <w:rPr>
                <w:color w:val="000000"/>
                <w:sz w:val="21"/>
              </w:rPr>
              <w:t>56</w:t>
            </w:r>
          </w:p>
        </w:tc>
        <w:tc>
          <w:tcPr>
            <w:tcW w:w="345" w:type="pct"/>
            <w:tcBorders>
              <w:tl2br w:val="nil"/>
              <w:tr2bl w:val="nil"/>
            </w:tcBorders>
            <w:vAlign w:val="center"/>
          </w:tcPr>
          <w:p w14:paraId="4FBA817C">
            <w:pPr>
              <w:spacing w:line="240" w:lineRule="auto"/>
              <w:jc w:val="center"/>
              <w:rPr>
                <w:color w:val="000000"/>
                <w:sz w:val="21"/>
              </w:rPr>
            </w:pPr>
            <w:r>
              <w:rPr>
                <w:color w:val="000000"/>
                <w:sz w:val="21"/>
              </w:rPr>
              <w:t>470</w:t>
            </w:r>
          </w:p>
        </w:tc>
        <w:tc>
          <w:tcPr>
            <w:tcW w:w="523" w:type="pct"/>
            <w:tcBorders>
              <w:tl2br w:val="nil"/>
              <w:tr2bl w:val="nil"/>
            </w:tcBorders>
            <w:vAlign w:val="center"/>
          </w:tcPr>
          <w:p w14:paraId="4EEEBE53">
            <w:pPr>
              <w:spacing w:line="240" w:lineRule="auto"/>
              <w:jc w:val="center"/>
              <w:rPr>
                <w:color w:val="000000"/>
                <w:sz w:val="21"/>
              </w:rPr>
            </w:pPr>
            <w:r>
              <w:rPr>
                <w:color w:val="000000"/>
                <w:sz w:val="21"/>
              </w:rPr>
              <w:t>/</w:t>
            </w:r>
          </w:p>
        </w:tc>
        <w:tc>
          <w:tcPr>
            <w:tcW w:w="523" w:type="pct"/>
            <w:tcBorders>
              <w:tl2br w:val="nil"/>
              <w:tr2bl w:val="nil"/>
            </w:tcBorders>
            <w:vAlign w:val="center"/>
          </w:tcPr>
          <w:p w14:paraId="46D4D332">
            <w:pPr>
              <w:spacing w:line="240" w:lineRule="auto"/>
              <w:jc w:val="center"/>
              <w:rPr>
                <w:color w:val="000000"/>
                <w:sz w:val="21"/>
              </w:rPr>
            </w:pPr>
            <w:r>
              <w:rPr>
                <w:color w:val="000000"/>
                <w:sz w:val="21"/>
              </w:rPr>
              <w:t>5.6</w:t>
            </w:r>
          </w:p>
        </w:tc>
      </w:tr>
      <w:tr w14:paraId="099892D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749" w:hRule="atLeast"/>
          <w:jc w:val="center"/>
        </w:trPr>
        <w:tc>
          <w:tcPr>
            <w:tcW w:w="2304" w:type="pct"/>
            <w:tcBorders>
              <w:tl2br w:val="nil"/>
              <w:tr2bl w:val="nil"/>
            </w:tcBorders>
            <w:vAlign w:val="center"/>
          </w:tcPr>
          <w:p w14:paraId="5311F651">
            <w:pPr>
              <w:spacing w:line="240" w:lineRule="auto"/>
              <w:jc w:val="center"/>
              <w:rPr>
                <w:color w:val="000000"/>
                <w:sz w:val="21"/>
              </w:rPr>
            </w:pPr>
            <w:r>
              <w:rPr>
                <w:color w:val="000000"/>
                <w:sz w:val="21"/>
              </w:rPr>
              <w:t>本项目取值</w:t>
            </w:r>
          </w:p>
        </w:tc>
        <w:tc>
          <w:tcPr>
            <w:tcW w:w="433" w:type="pct"/>
            <w:tcBorders>
              <w:tl2br w:val="nil"/>
              <w:tr2bl w:val="nil"/>
            </w:tcBorders>
            <w:vAlign w:val="center"/>
          </w:tcPr>
          <w:p w14:paraId="523CCD00">
            <w:pPr>
              <w:spacing w:line="240" w:lineRule="auto"/>
              <w:jc w:val="center"/>
              <w:rPr>
                <w:color w:val="000000"/>
                <w:sz w:val="21"/>
              </w:rPr>
            </w:pPr>
            <w:r>
              <w:rPr>
                <w:color w:val="000000"/>
                <w:sz w:val="21"/>
              </w:rPr>
              <w:t>500</w:t>
            </w:r>
          </w:p>
        </w:tc>
        <w:tc>
          <w:tcPr>
            <w:tcW w:w="483" w:type="pct"/>
            <w:tcBorders>
              <w:tl2br w:val="nil"/>
              <w:tr2bl w:val="nil"/>
            </w:tcBorders>
            <w:vAlign w:val="center"/>
          </w:tcPr>
          <w:p w14:paraId="1BA8747C">
            <w:pPr>
              <w:spacing w:line="240" w:lineRule="auto"/>
              <w:jc w:val="center"/>
              <w:rPr>
                <w:color w:val="000000"/>
                <w:sz w:val="21"/>
              </w:rPr>
            </w:pPr>
            <w:r>
              <w:rPr>
                <w:color w:val="000000"/>
                <w:sz w:val="21"/>
              </w:rPr>
              <w:t>236</w:t>
            </w:r>
          </w:p>
        </w:tc>
        <w:tc>
          <w:tcPr>
            <w:tcW w:w="385" w:type="pct"/>
            <w:tcBorders>
              <w:tl2br w:val="nil"/>
              <w:tr2bl w:val="nil"/>
            </w:tcBorders>
            <w:vAlign w:val="center"/>
          </w:tcPr>
          <w:p w14:paraId="6334BED5">
            <w:pPr>
              <w:spacing w:line="240" w:lineRule="auto"/>
              <w:jc w:val="center"/>
              <w:rPr>
                <w:color w:val="000000"/>
                <w:sz w:val="21"/>
              </w:rPr>
            </w:pPr>
            <w:r>
              <w:rPr>
                <w:color w:val="000000"/>
                <w:sz w:val="21"/>
              </w:rPr>
              <w:t>56</w:t>
            </w:r>
          </w:p>
        </w:tc>
        <w:tc>
          <w:tcPr>
            <w:tcW w:w="345" w:type="pct"/>
            <w:tcBorders>
              <w:tl2br w:val="nil"/>
              <w:tr2bl w:val="nil"/>
            </w:tcBorders>
            <w:vAlign w:val="center"/>
          </w:tcPr>
          <w:p w14:paraId="631CF48B">
            <w:pPr>
              <w:spacing w:line="240" w:lineRule="auto"/>
              <w:jc w:val="center"/>
              <w:rPr>
                <w:color w:val="000000"/>
                <w:sz w:val="21"/>
              </w:rPr>
            </w:pPr>
            <w:r>
              <w:rPr>
                <w:color w:val="000000"/>
                <w:sz w:val="21"/>
              </w:rPr>
              <w:t>400</w:t>
            </w:r>
          </w:p>
        </w:tc>
        <w:tc>
          <w:tcPr>
            <w:tcW w:w="523" w:type="pct"/>
            <w:tcBorders>
              <w:tl2br w:val="nil"/>
              <w:tr2bl w:val="nil"/>
            </w:tcBorders>
            <w:vAlign w:val="center"/>
          </w:tcPr>
          <w:p w14:paraId="2B43E1BD">
            <w:pPr>
              <w:spacing w:line="240" w:lineRule="auto"/>
              <w:jc w:val="center"/>
              <w:rPr>
                <w:color w:val="000000"/>
                <w:sz w:val="21"/>
              </w:rPr>
            </w:pPr>
            <w:r>
              <w:rPr>
                <w:color w:val="000000"/>
                <w:sz w:val="21"/>
              </w:rPr>
              <w:t>20</w:t>
            </w:r>
          </w:p>
        </w:tc>
        <w:tc>
          <w:tcPr>
            <w:tcW w:w="523" w:type="pct"/>
            <w:tcBorders>
              <w:tl2br w:val="nil"/>
              <w:tr2bl w:val="nil"/>
            </w:tcBorders>
            <w:vAlign w:val="center"/>
          </w:tcPr>
          <w:p w14:paraId="2A9CD431">
            <w:pPr>
              <w:spacing w:line="240" w:lineRule="auto"/>
              <w:jc w:val="center"/>
              <w:rPr>
                <w:color w:val="000000"/>
                <w:sz w:val="21"/>
              </w:rPr>
            </w:pPr>
            <w:r>
              <w:rPr>
                <w:color w:val="000000"/>
                <w:sz w:val="21"/>
              </w:rPr>
              <w:t>5.6</w:t>
            </w:r>
          </w:p>
        </w:tc>
      </w:tr>
    </w:tbl>
    <w:p w14:paraId="028AEBD7">
      <w:pPr>
        <w:pStyle w:val="133"/>
        <w:outlineLvl w:val="9"/>
        <w:rPr>
          <w:rFonts w:ascii="Times New Roman" w:hAnsi="Times New Roman"/>
          <w:color w:val="000000"/>
        </w:rPr>
      </w:pPr>
      <w:r>
        <w:rPr>
          <w:rFonts w:ascii="Times New Roman" w:hAnsi="Times New Roman"/>
          <w:color w:val="000000"/>
        </w:rPr>
        <w:t>表1.3.5.2-</w:t>
      </w:r>
      <w:r>
        <w:rPr>
          <w:rFonts w:ascii="Times New Roman" w:hAnsi="Times New Roman"/>
          <w:color w:val="000000"/>
          <w:lang w:val="en-US"/>
        </w:rPr>
        <w:t>3</w:t>
      </w:r>
      <w:r>
        <w:rPr>
          <w:rFonts w:ascii="Times New Roman" w:hAnsi="Times New Roman"/>
          <w:color w:val="000000"/>
        </w:rPr>
        <w:t xml:space="preserve">   废水排放执行标准</w:t>
      </w:r>
    </w:p>
    <w:tbl>
      <w:tblPr>
        <w:tblStyle w:val="73"/>
        <w:tblW w:w="4997" w:type="pct"/>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108" w:type="dxa"/>
          <w:bottom w:w="0" w:type="dxa"/>
          <w:right w:w="108" w:type="dxa"/>
        </w:tblCellMar>
      </w:tblPr>
      <w:tblGrid>
        <w:gridCol w:w="4175"/>
        <w:gridCol w:w="785"/>
        <w:gridCol w:w="875"/>
        <w:gridCol w:w="698"/>
        <w:gridCol w:w="625"/>
        <w:gridCol w:w="948"/>
        <w:gridCol w:w="948"/>
      </w:tblGrid>
      <w:tr w14:paraId="5DC3E53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305" w:type="pct"/>
            <w:tcBorders>
              <w:tl2br w:val="nil"/>
              <w:tr2bl w:val="nil"/>
            </w:tcBorders>
            <w:vAlign w:val="center"/>
          </w:tcPr>
          <w:p w14:paraId="08CBE621">
            <w:pPr>
              <w:spacing w:line="240" w:lineRule="auto"/>
              <w:jc w:val="center"/>
              <w:rPr>
                <w:color w:val="000000"/>
                <w:sz w:val="21"/>
              </w:rPr>
            </w:pPr>
            <w:r>
              <w:rPr>
                <w:color w:val="000000"/>
                <w:sz w:val="21"/>
              </w:rPr>
              <w:t>排放标准</w:t>
            </w:r>
          </w:p>
        </w:tc>
        <w:tc>
          <w:tcPr>
            <w:tcW w:w="433" w:type="pct"/>
            <w:tcBorders>
              <w:tl2br w:val="nil"/>
              <w:tr2bl w:val="nil"/>
            </w:tcBorders>
            <w:vAlign w:val="center"/>
          </w:tcPr>
          <w:p w14:paraId="4D21D6B8">
            <w:pPr>
              <w:spacing w:line="240" w:lineRule="auto"/>
              <w:jc w:val="center"/>
              <w:rPr>
                <w:color w:val="000000"/>
                <w:sz w:val="21"/>
              </w:rPr>
            </w:pPr>
            <w:r>
              <w:rPr>
                <w:color w:val="000000"/>
                <w:sz w:val="21"/>
              </w:rPr>
              <w:t>COD</w:t>
            </w:r>
          </w:p>
        </w:tc>
        <w:tc>
          <w:tcPr>
            <w:tcW w:w="483" w:type="pct"/>
            <w:tcBorders>
              <w:tl2br w:val="nil"/>
              <w:tr2bl w:val="nil"/>
            </w:tcBorders>
            <w:vAlign w:val="center"/>
          </w:tcPr>
          <w:p w14:paraId="2F903FDD">
            <w:pPr>
              <w:pStyle w:val="12"/>
              <w:spacing w:line="240" w:lineRule="auto"/>
              <w:rPr>
                <w:color w:val="000000"/>
                <w:sz w:val="21"/>
                <w:szCs w:val="21"/>
              </w:rPr>
            </w:pPr>
            <w:r>
              <w:rPr>
                <w:color w:val="000000"/>
                <w:sz w:val="21"/>
                <w:szCs w:val="21"/>
              </w:rPr>
              <w:t>BOD</w:t>
            </w:r>
            <w:r>
              <w:rPr>
                <w:color w:val="000000"/>
                <w:sz w:val="21"/>
                <w:szCs w:val="21"/>
                <w:vertAlign w:val="subscript"/>
              </w:rPr>
              <w:t>5</w:t>
            </w:r>
          </w:p>
        </w:tc>
        <w:tc>
          <w:tcPr>
            <w:tcW w:w="385" w:type="pct"/>
            <w:tcBorders>
              <w:tl2br w:val="nil"/>
              <w:tr2bl w:val="nil"/>
            </w:tcBorders>
            <w:vAlign w:val="center"/>
          </w:tcPr>
          <w:p w14:paraId="382F0DF9">
            <w:pPr>
              <w:pStyle w:val="12"/>
              <w:spacing w:line="240" w:lineRule="auto"/>
              <w:rPr>
                <w:color w:val="000000"/>
                <w:sz w:val="21"/>
                <w:szCs w:val="21"/>
              </w:rPr>
            </w:pPr>
            <w:r>
              <w:rPr>
                <w:color w:val="000000"/>
                <w:sz w:val="21"/>
                <w:szCs w:val="21"/>
              </w:rPr>
              <w:t>氨氮</w:t>
            </w:r>
          </w:p>
        </w:tc>
        <w:tc>
          <w:tcPr>
            <w:tcW w:w="345" w:type="pct"/>
            <w:tcBorders>
              <w:tl2br w:val="nil"/>
              <w:tr2bl w:val="nil"/>
            </w:tcBorders>
            <w:vAlign w:val="center"/>
          </w:tcPr>
          <w:p w14:paraId="2B0654FA">
            <w:pPr>
              <w:pStyle w:val="12"/>
              <w:spacing w:line="240" w:lineRule="auto"/>
              <w:rPr>
                <w:color w:val="000000"/>
                <w:sz w:val="21"/>
                <w:szCs w:val="21"/>
              </w:rPr>
            </w:pPr>
            <w:r>
              <w:rPr>
                <w:color w:val="000000"/>
                <w:sz w:val="21"/>
                <w:szCs w:val="21"/>
              </w:rPr>
              <w:t>SS</w:t>
            </w:r>
          </w:p>
        </w:tc>
        <w:tc>
          <w:tcPr>
            <w:tcW w:w="523" w:type="pct"/>
            <w:tcBorders>
              <w:tl2br w:val="nil"/>
              <w:tr2bl w:val="nil"/>
            </w:tcBorders>
            <w:vAlign w:val="center"/>
          </w:tcPr>
          <w:p w14:paraId="5925A569">
            <w:pPr>
              <w:pStyle w:val="12"/>
              <w:spacing w:line="240" w:lineRule="auto"/>
              <w:rPr>
                <w:color w:val="000000"/>
                <w:sz w:val="21"/>
                <w:szCs w:val="21"/>
              </w:rPr>
            </w:pPr>
            <w:r>
              <w:rPr>
                <w:color w:val="000000"/>
                <w:sz w:val="21"/>
                <w:szCs w:val="21"/>
              </w:rPr>
              <w:t>石油类</w:t>
            </w:r>
          </w:p>
        </w:tc>
        <w:tc>
          <w:tcPr>
            <w:tcW w:w="523" w:type="pct"/>
            <w:tcBorders>
              <w:tl2br w:val="nil"/>
              <w:tr2bl w:val="nil"/>
            </w:tcBorders>
            <w:vAlign w:val="center"/>
          </w:tcPr>
          <w:p w14:paraId="5A123DDF">
            <w:pPr>
              <w:pStyle w:val="12"/>
              <w:spacing w:line="240" w:lineRule="auto"/>
              <w:rPr>
                <w:color w:val="000000"/>
                <w:sz w:val="21"/>
                <w:szCs w:val="21"/>
              </w:rPr>
            </w:pPr>
            <w:r>
              <w:rPr>
                <w:color w:val="000000"/>
                <w:sz w:val="21"/>
                <w:szCs w:val="21"/>
              </w:rPr>
              <w:t>TP</w:t>
            </w:r>
          </w:p>
        </w:tc>
      </w:tr>
      <w:tr w14:paraId="5E61705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749" w:hRule="atLeast"/>
          <w:jc w:val="center"/>
        </w:trPr>
        <w:tc>
          <w:tcPr>
            <w:tcW w:w="2305" w:type="pct"/>
            <w:tcBorders>
              <w:tl2br w:val="nil"/>
              <w:tr2bl w:val="nil"/>
            </w:tcBorders>
            <w:vAlign w:val="center"/>
          </w:tcPr>
          <w:p w14:paraId="08167263">
            <w:pPr>
              <w:spacing w:line="240" w:lineRule="auto"/>
              <w:jc w:val="center"/>
              <w:rPr>
                <w:color w:val="000000"/>
                <w:sz w:val="21"/>
              </w:rPr>
            </w:pPr>
            <w:r>
              <w:rPr>
                <w:color w:val="000000"/>
                <w:sz w:val="21"/>
              </w:rPr>
              <w:t>《化工园区主要水污染物排放标准》（DB50/457-2012）表1排放标准</w:t>
            </w:r>
          </w:p>
        </w:tc>
        <w:tc>
          <w:tcPr>
            <w:tcW w:w="433" w:type="pct"/>
            <w:tcBorders>
              <w:tl2br w:val="nil"/>
              <w:tr2bl w:val="nil"/>
            </w:tcBorders>
            <w:vAlign w:val="center"/>
          </w:tcPr>
          <w:p w14:paraId="7083B234">
            <w:pPr>
              <w:spacing w:line="240" w:lineRule="auto"/>
              <w:jc w:val="center"/>
              <w:rPr>
                <w:color w:val="000000"/>
                <w:sz w:val="21"/>
              </w:rPr>
            </w:pPr>
            <w:r>
              <w:rPr>
                <w:color w:val="000000"/>
                <w:sz w:val="21"/>
              </w:rPr>
              <w:t>80</w:t>
            </w:r>
          </w:p>
        </w:tc>
        <w:tc>
          <w:tcPr>
            <w:tcW w:w="483" w:type="pct"/>
            <w:tcBorders>
              <w:tl2br w:val="nil"/>
              <w:tr2bl w:val="nil"/>
            </w:tcBorders>
            <w:vAlign w:val="center"/>
          </w:tcPr>
          <w:p w14:paraId="18C1B82A">
            <w:pPr>
              <w:spacing w:line="240" w:lineRule="auto"/>
              <w:jc w:val="center"/>
              <w:rPr>
                <w:color w:val="000000"/>
                <w:sz w:val="21"/>
              </w:rPr>
            </w:pPr>
            <w:r>
              <w:rPr>
                <w:color w:val="000000"/>
                <w:sz w:val="21"/>
              </w:rPr>
              <w:t>20</w:t>
            </w:r>
          </w:p>
        </w:tc>
        <w:tc>
          <w:tcPr>
            <w:tcW w:w="385" w:type="pct"/>
            <w:tcBorders>
              <w:tl2br w:val="nil"/>
              <w:tr2bl w:val="nil"/>
            </w:tcBorders>
            <w:vAlign w:val="center"/>
          </w:tcPr>
          <w:p w14:paraId="15D1ED32">
            <w:pPr>
              <w:spacing w:line="240" w:lineRule="auto"/>
              <w:jc w:val="center"/>
              <w:rPr>
                <w:color w:val="000000"/>
                <w:sz w:val="21"/>
              </w:rPr>
            </w:pPr>
            <w:r>
              <w:rPr>
                <w:color w:val="000000"/>
                <w:sz w:val="21"/>
              </w:rPr>
              <w:t>10</w:t>
            </w:r>
          </w:p>
        </w:tc>
        <w:tc>
          <w:tcPr>
            <w:tcW w:w="345" w:type="pct"/>
            <w:tcBorders>
              <w:tl2br w:val="nil"/>
              <w:tr2bl w:val="nil"/>
            </w:tcBorders>
            <w:vAlign w:val="center"/>
          </w:tcPr>
          <w:p w14:paraId="2405902A">
            <w:pPr>
              <w:spacing w:line="240" w:lineRule="auto"/>
              <w:jc w:val="center"/>
              <w:rPr>
                <w:color w:val="000000"/>
                <w:sz w:val="21"/>
              </w:rPr>
            </w:pPr>
            <w:r>
              <w:rPr>
                <w:color w:val="000000"/>
                <w:sz w:val="21"/>
              </w:rPr>
              <w:t>70*</w:t>
            </w:r>
          </w:p>
        </w:tc>
        <w:tc>
          <w:tcPr>
            <w:tcW w:w="523" w:type="pct"/>
            <w:tcBorders>
              <w:tl2br w:val="nil"/>
              <w:tr2bl w:val="nil"/>
            </w:tcBorders>
            <w:vAlign w:val="center"/>
          </w:tcPr>
          <w:p w14:paraId="53557815">
            <w:pPr>
              <w:spacing w:line="240" w:lineRule="auto"/>
              <w:jc w:val="center"/>
              <w:rPr>
                <w:color w:val="000000"/>
                <w:sz w:val="21"/>
              </w:rPr>
            </w:pPr>
            <w:r>
              <w:rPr>
                <w:color w:val="000000"/>
                <w:sz w:val="21"/>
              </w:rPr>
              <w:t>3</w:t>
            </w:r>
          </w:p>
        </w:tc>
        <w:tc>
          <w:tcPr>
            <w:tcW w:w="523" w:type="pct"/>
            <w:tcBorders>
              <w:tl2br w:val="nil"/>
              <w:tr2bl w:val="nil"/>
            </w:tcBorders>
            <w:vAlign w:val="center"/>
          </w:tcPr>
          <w:p w14:paraId="46C15D70">
            <w:pPr>
              <w:spacing w:line="240" w:lineRule="auto"/>
              <w:jc w:val="center"/>
              <w:rPr>
                <w:color w:val="000000"/>
                <w:sz w:val="21"/>
              </w:rPr>
            </w:pPr>
            <w:r>
              <w:rPr>
                <w:color w:val="000000"/>
                <w:sz w:val="21"/>
              </w:rPr>
              <w:t>0.5</w:t>
            </w:r>
          </w:p>
        </w:tc>
      </w:tr>
    </w:tbl>
    <w:p w14:paraId="33E9CC61">
      <w:pPr>
        <w:ind w:firstLine="480"/>
        <w:rPr>
          <w:color w:val="000000"/>
          <w:sz w:val="21"/>
        </w:rPr>
      </w:pPr>
      <w:r>
        <w:rPr>
          <w:color w:val="000000"/>
          <w:sz w:val="21"/>
        </w:rPr>
        <w:t>*DB50/457-2012标准中未规定的指标执行GB8978-1996 的一级标准。</w:t>
      </w:r>
    </w:p>
    <w:p w14:paraId="7F3CD1E3">
      <w:pPr>
        <w:ind w:firstLine="480"/>
        <w:rPr>
          <w:color w:val="000000"/>
        </w:rPr>
      </w:pPr>
      <w:r>
        <w:rPr>
          <w:color w:val="000000"/>
        </w:rPr>
        <w:t>（3）噪声控制标准</w:t>
      </w:r>
    </w:p>
    <w:p w14:paraId="4980AF8C">
      <w:pPr>
        <w:tabs>
          <w:tab w:val="left" w:pos="993"/>
        </w:tabs>
        <w:ind w:firstLine="480"/>
        <w:rPr>
          <w:color w:val="000000"/>
        </w:rPr>
      </w:pPr>
      <w:r>
        <w:rPr>
          <w:color w:val="000000"/>
        </w:rPr>
        <w:t>施工期执行《建筑施工场界环境噪声排放标准》（GB12523-2011）限值，即昼间70 dB(A)、夜间55 dB(A)。</w:t>
      </w:r>
    </w:p>
    <w:p w14:paraId="0A4A3FA4">
      <w:pPr>
        <w:ind w:firstLine="480"/>
        <w:rPr>
          <w:color w:val="000000"/>
        </w:rPr>
      </w:pPr>
      <w:r>
        <w:rPr>
          <w:color w:val="000000"/>
        </w:rPr>
        <w:t>运营期厂界噪声执行《工业企业厂界环境噪声排放标准》（GB 12348-2008）3类标准，标准限值详见表1.3.5.2-3。</w:t>
      </w:r>
    </w:p>
    <w:p w14:paraId="14589E67">
      <w:pPr>
        <w:pStyle w:val="133"/>
        <w:outlineLvl w:val="9"/>
        <w:rPr>
          <w:rFonts w:ascii="Times New Roman" w:hAnsi="Times New Roman"/>
          <w:color w:val="000000"/>
        </w:rPr>
      </w:pPr>
      <w:r>
        <w:rPr>
          <w:rFonts w:ascii="Times New Roman" w:hAnsi="Times New Roman"/>
          <w:color w:val="000000"/>
        </w:rPr>
        <w:t>表1.3.5.2-</w:t>
      </w:r>
      <w:r>
        <w:rPr>
          <w:rFonts w:ascii="Times New Roman" w:hAnsi="Times New Roman"/>
          <w:color w:val="000000"/>
          <w:lang w:val="en-US"/>
        </w:rPr>
        <w:t>3</w:t>
      </w:r>
      <w:r>
        <w:rPr>
          <w:rFonts w:ascii="Times New Roman" w:hAnsi="Times New Roman"/>
          <w:color w:val="000000"/>
        </w:rPr>
        <w:t xml:space="preserve">  噪声控制标准限值</w:t>
      </w:r>
    </w:p>
    <w:tbl>
      <w:tblPr>
        <w:tblStyle w:val="73"/>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254"/>
        <w:gridCol w:w="3533"/>
        <w:gridCol w:w="2134"/>
        <w:gridCol w:w="2134"/>
      </w:tblGrid>
      <w:tr w14:paraId="71EDB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atLeast"/>
        </w:trPr>
        <w:tc>
          <w:tcPr>
            <w:tcW w:w="692" w:type="pct"/>
            <w:vMerge w:val="restart"/>
            <w:tcBorders>
              <w:tl2br w:val="nil"/>
              <w:tr2bl w:val="nil"/>
            </w:tcBorders>
            <w:vAlign w:val="center"/>
          </w:tcPr>
          <w:p w14:paraId="6227EB9B">
            <w:pPr>
              <w:spacing w:line="240" w:lineRule="auto"/>
              <w:jc w:val="center"/>
              <w:rPr>
                <w:color w:val="000000"/>
                <w:sz w:val="21"/>
              </w:rPr>
            </w:pPr>
            <w:r>
              <w:rPr>
                <w:color w:val="000000"/>
                <w:sz w:val="21"/>
              </w:rPr>
              <w:t>时段</w:t>
            </w:r>
          </w:p>
        </w:tc>
        <w:tc>
          <w:tcPr>
            <w:tcW w:w="1950" w:type="pct"/>
            <w:vMerge w:val="restart"/>
            <w:tcBorders>
              <w:tl2br w:val="nil"/>
              <w:tr2bl w:val="nil"/>
            </w:tcBorders>
            <w:vAlign w:val="center"/>
          </w:tcPr>
          <w:p w14:paraId="1244F1E9">
            <w:pPr>
              <w:spacing w:line="240" w:lineRule="auto"/>
              <w:jc w:val="center"/>
              <w:rPr>
                <w:color w:val="000000"/>
                <w:sz w:val="21"/>
              </w:rPr>
            </w:pPr>
            <w:r>
              <w:rPr>
                <w:color w:val="000000"/>
                <w:sz w:val="21"/>
              </w:rPr>
              <w:t>执行标准</w:t>
            </w:r>
          </w:p>
        </w:tc>
        <w:tc>
          <w:tcPr>
            <w:tcW w:w="2356" w:type="pct"/>
            <w:gridSpan w:val="2"/>
            <w:tcBorders>
              <w:tl2br w:val="nil"/>
              <w:tr2bl w:val="nil"/>
            </w:tcBorders>
            <w:vAlign w:val="center"/>
          </w:tcPr>
          <w:p w14:paraId="64DBD88C">
            <w:pPr>
              <w:spacing w:line="240" w:lineRule="auto"/>
              <w:jc w:val="center"/>
              <w:rPr>
                <w:color w:val="000000"/>
                <w:sz w:val="21"/>
              </w:rPr>
            </w:pPr>
            <w:r>
              <w:rPr>
                <w:color w:val="000000"/>
                <w:sz w:val="21"/>
              </w:rPr>
              <w:t>标准限值（dB（A））</w:t>
            </w:r>
          </w:p>
        </w:tc>
      </w:tr>
      <w:tr w14:paraId="3FA2D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5" w:hRule="atLeast"/>
        </w:trPr>
        <w:tc>
          <w:tcPr>
            <w:tcW w:w="692" w:type="pct"/>
            <w:vMerge w:val="continue"/>
            <w:tcBorders>
              <w:tl2br w:val="nil"/>
              <w:tr2bl w:val="nil"/>
            </w:tcBorders>
            <w:vAlign w:val="center"/>
          </w:tcPr>
          <w:p w14:paraId="36AE1EE5">
            <w:pPr>
              <w:spacing w:line="240" w:lineRule="auto"/>
              <w:jc w:val="center"/>
              <w:rPr>
                <w:color w:val="000000"/>
                <w:sz w:val="21"/>
              </w:rPr>
            </w:pPr>
          </w:p>
        </w:tc>
        <w:tc>
          <w:tcPr>
            <w:tcW w:w="1950" w:type="pct"/>
            <w:vMerge w:val="continue"/>
            <w:tcBorders>
              <w:tl2br w:val="nil"/>
              <w:tr2bl w:val="nil"/>
            </w:tcBorders>
            <w:vAlign w:val="center"/>
          </w:tcPr>
          <w:p w14:paraId="24D7CC31">
            <w:pPr>
              <w:spacing w:line="240" w:lineRule="auto"/>
              <w:jc w:val="center"/>
              <w:rPr>
                <w:color w:val="000000"/>
                <w:sz w:val="21"/>
              </w:rPr>
            </w:pPr>
          </w:p>
        </w:tc>
        <w:tc>
          <w:tcPr>
            <w:tcW w:w="1178" w:type="pct"/>
            <w:tcBorders>
              <w:tl2br w:val="nil"/>
              <w:tr2bl w:val="nil"/>
            </w:tcBorders>
            <w:vAlign w:val="center"/>
          </w:tcPr>
          <w:p w14:paraId="53754214">
            <w:pPr>
              <w:spacing w:line="240" w:lineRule="auto"/>
              <w:jc w:val="center"/>
              <w:rPr>
                <w:color w:val="000000"/>
                <w:sz w:val="21"/>
              </w:rPr>
            </w:pPr>
            <w:r>
              <w:rPr>
                <w:color w:val="000000"/>
                <w:sz w:val="21"/>
              </w:rPr>
              <w:t>昼间</w:t>
            </w:r>
          </w:p>
        </w:tc>
        <w:tc>
          <w:tcPr>
            <w:tcW w:w="1178" w:type="pct"/>
            <w:tcBorders>
              <w:tl2br w:val="nil"/>
              <w:tr2bl w:val="nil"/>
            </w:tcBorders>
            <w:vAlign w:val="center"/>
          </w:tcPr>
          <w:p w14:paraId="1C7EF041">
            <w:pPr>
              <w:spacing w:line="240" w:lineRule="auto"/>
              <w:jc w:val="center"/>
              <w:rPr>
                <w:color w:val="000000"/>
                <w:sz w:val="21"/>
              </w:rPr>
            </w:pPr>
            <w:r>
              <w:rPr>
                <w:color w:val="000000"/>
                <w:sz w:val="21"/>
              </w:rPr>
              <w:t>夜间</w:t>
            </w:r>
          </w:p>
        </w:tc>
      </w:tr>
      <w:tr w14:paraId="1C841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trPr>
        <w:tc>
          <w:tcPr>
            <w:tcW w:w="692" w:type="pct"/>
            <w:tcBorders>
              <w:tl2br w:val="nil"/>
              <w:tr2bl w:val="nil"/>
            </w:tcBorders>
            <w:vAlign w:val="center"/>
          </w:tcPr>
          <w:p w14:paraId="3228406B">
            <w:pPr>
              <w:spacing w:line="240" w:lineRule="auto"/>
              <w:jc w:val="center"/>
              <w:rPr>
                <w:color w:val="000000"/>
                <w:sz w:val="21"/>
              </w:rPr>
            </w:pPr>
            <w:r>
              <w:rPr>
                <w:color w:val="000000"/>
                <w:sz w:val="21"/>
              </w:rPr>
              <w:t>营运期</w:t>
            </w:r>
          </w:p>
        </w:tc>
        <w:tc>
          <w:tcPr>
            <w:tcW w:w="1950" w:type="pct"/>
            <w:tcBorders>
              <w:tl2br w:val="nil"/>
              <w:tr2bl w:val="nil"/>
            </w:tcBorders>
            <w:vAlign w:val="center"/>
          </w:tcPr>
          <w:p w14:paraId="4241D0D9">
            <w:pPr>
              <w:spacing w:line="240" w:lineRule="auto"/>
              <w:jc w:val="center"/>
              <w:rPr>
                <w:color w:val="000000"/>
                <w:sz w:val="21"/>
              </w:rPr>
            </w:pPr>
            <w:r>
              <w:rPr>
                <w:color w:val="000000"/>
                <w:sz w:val="21"/>
              </w:rPr>
              <w:t>GB12348-2008中3类标准限值</w:t>
            </w:r>
          </w:p>
        </w:tc>
        <w:tc>
          <w:tcPr>
            <w:tcW w:w="1178" w:type="pct"/>
            <w:tcBorders>
              <w:tl2br w:val="nil"/>
              <w:tr2bl w:val="nil"/>
            </w:tcBorders>
            <w:vAlign w:val="center"/>
          </w:tcPr>
          <w:p w14:paraId="59C8009B">
            <w:pPr>
              <w:spacing w:line="240" w:lineRule="auto"/>
              <w:jc w:val="center"/>
              <w:rPr>
                <w:color w:val="000000"/>
                <w:sz w:val="21"/>
              </w:rPr>
            </w:pPr>
            <w:r>
              <w:rPr>
                <w:color w:val="000000"/>
                <w:sz w:val="21"/>
              </w:rPr>
              <w:t>65</w:t>
            </w:r>
          </w:p>
        </w:tc>
        <w:tc>
          <w:tcPr>
            <w:tcW w:w="1178" w:type="pct"/>
            <w:tcBorders>
              <w:tl2br w:val="nil"/>
              <w:tr2bl w:val="nil"/>
            </w:tcBorders>
            <w:vAlign w:val="center"/>
          </w:tcPr>
          <w:p w14:paraId="2CC2EC31">
            <w:pPr>
              <w:spacing w:line="240" w:lineRule="auto"/>
              <w:jc w:val="center"/>
              <w:rPr>
                <w:color w:val="000000"/>
                <w:sz w:val="21"/>
              </w:rPr>
            </w:pPr>
            <w:r>
              <w:rPr>
                <w:color w:val="000000"/>
                <w:sz w:val="21"/>
              </w:rPr>
              <w:t>55</w:t>
            </w:r>
          </w:p>
        </w:tc>
      </w:tr>
    </w:tbl>
    <w:p w14:paraId="31D2D987">
      <w:pPr>
        <w:ind w:firstLine="480"/>
        <w:rPr>
          <w:color w:val="000000"/>
        </w:rPr>
      </w:pPr>
      <w:r>
        <w:rPr>
          <w:color w:val="000000"/>
        </w:rPr>
        <w:t>（4）固体废弃物贮存污染控制标准</w:t>
      </w:r>
    </w:p>
    <w:p w14:paraId="3827B973">
      <w:pPr>
        <w:tabs>
          <w:tab w:val="left" w:pos="980"/>
        </w:tabs>
        <w:ind w:firstLine="480" w:firstLineChars="200"/>
        <w:rPr>
          <w:color w:val="000000"/>
        </w:rPr>
      </w:pPr>
      <w:r>
        <w:rPr>
          <w:color w:val="000000"/>
        </w:rPr>
        <w:t>本项目一般固体废物执行《一般工业固体废物贮存和填埋污染物控制标准》（GB18599-2020）中“采用库房、包装工具（罐、桶、包装袋等）贮存一般工业固体废物过程的污染控制，不适用本标准，其贮存过程应满足相应防渗漏、防雨淋、防扬尘等环境保护要求”。</w:t>
      </w:r>
    </w:p>
    <w:p w14:paraId="513F4220">
      <w:pPr>
        <w:ind w:firstLine="480"/>
        <w:rPr>
          <w:color w:val="000000"/>
        </w:rPr>
      </w:pPr>
      <w:r>
        <w:rPr>
          <w:color w:val="000000"/>
        </w:rPr>
        <w:t>危险废物暂存执行《危险废物贮存污染控制标准》（GB18597-2001）以及2013年修改单中相关要求，危险废物转移执行《危险废物转移联单管理办法》中相关要求。</w:t>
      </w:r>
    </w:p>
    <w:p w14:paraId="61075C19">
      <w:pPr>
        <w:pStyle w:val="770"/>
        <w:rPr>
          <w:bCs w:val="0"/>
          <w:color w:val="000000"/>
        </w:rPr>
      </w:pPr>
      <w:bookmarkStart w:id="148" w:name="_Toc407830723"/>
      <w:bookmarkStart w:id="149" w:name="_Toc407830807"/>
      <w:bookmarkStart w:id="150" w:name="_Toc408334036"/>
      <w:bookmarkStart w:id="151" w:name="_Toc408345145"/>
      <w:bookmarkStart w:id="152" w:name="_Toc407830682"/>
      <w:bookmarkStart w:id="153" w:name="_Toc489922438"/>
      <w:bookmarkStart w:id="154" w:name="_Toc440766264"/>
      <w:bookmarkStart w:id="155" w:name="_Toc440766068"/>
      <w:bookmarkStart w:id="156" w:name="_Toc19093_WPSOffice_Level3"/>
      <w:bookmarkStart w:id="157" w:name="_Toc500375979"/>
      <w:bookmarkStart w:id="158" w:name="_Toc477144589"/>
      <w:bookmarkStart w:id="159" w:name="_Toc12476"/>
      <w:bookmarkStart w:id="160" w:name="_Toc440766265"/>
      <w:bookmarkStart w:id="161" w:name="_Toc424636403"/>
      <w:bookmarkStart w:id="162" w:name="_Toc440766069"/>
      <w:bookmarkStart w:id="163" w:name="_Toc500375980"/>
      <w:bookmarkStart w:id="164" w:name="_Toc489922439"/>
      <w:r>
        <w:rPr>
          <w:bCs w:val="0"/>
          <w:color w:val="000000"/>
        </w:rPr>
        <w:t xml:space="preserve">1.4 </w:t>
      </w:r>
      <w:bookmarkEnd w:id="148"/>
      <w:bookmarkEnd w:id="149"/>
      <w:bookmarkEnd w:id="150"/>
      <w:bookmarkEnd w:id="151"/>
      <w:bookmarkEnd w:id="152"/>
      <w:r>
        <w:rPr>
          <w:bCs w:val="0"/>
          <w:color w:val="000000"/>
        </w:rPr>
        <w:t>评价工作等级和</w:t>
      </w:r>
      <w:bookmarkEnd w:id="153"/>
      <w:bookmarkEnd w:id="154"/>
      <w:bookmarkEnd w:id="155"/>
      <w:bookmarkEnd w:id="156"/>
      <w:bookmarkEnd w:id="157"/>
      <w:bookmarkEnd w:id="158"/>
      <w:r>
        <w:rPr>
          <w:bCs w:val="0"/>
          <w:color w:val="000000"/>
        </w:rPr>
        <w:t>范围</w:t>
      </w:r>
      <w:bookmarkEnd w:id="159"/>
    </w:p>
    <w:p w14:paraId="38B9F7E2">
      <w:pPr>
        <w:pStyle w:val="771"/>
        <w:adjustRightInd/>
        <w:snapToGrid/>
        <w:rPr>
          <w:color w:val="000000"/>
        </w:rPr>
      </w:pPr>
      <w:r>
        <w:rPr>
          <w:color w:val="000000"/>
        </w:rPr>
        <w:t>1.4.1</w:t>
      </w:r>
      <w:bookmarkEnd w:id="160"/>
      <w:bookmarkEnd w:id="161"/>
      <w:bookmarkEnd w:id="162"/>
      <w:bookmarkEnd w:id="163"/>
      <w:bookmarkEnd w:id="164"/>
      <w:r>
        <w:rPr>
          <w:color w:val="000000"/>
        </w:rPr>
        <w:t>大气环境</w:t>
      </w:r>
    </w:p>
    <w:p w14:paraId="2BC28B64">
      <w:pPr>
        <w:ind w:firstLine="480"/>
        <w:rPr>
          <w:color w:val="000000"/>
        </w:rPr>
      </w:pPr>
      <w:r>
        <w:rPr>
          <w:color w:val="000000"/>
        </w:rPr>
        <w:t>本项目废气主要包括压缩脱碳干燥再生尾气、深冷分离尾气、吸附脱氢再生尾气、脱碳干燥再生尾气，其中压缩脱碳干燥尾气和吸附脱氢再生尾气主要成分为氮气及少量氧气、水和二氧化碳，直接放空。压缩脱碳干燥再生尾气和部分深冷分离尾气依托现有火炬燃烧后排放，其燃烧后主要污染因子有NO</w:t>
      </w:r>
      <w:r>
        <w:rPr>
          <w:rFonts w:hint="eastAsia"/>
          <w:color w:val="000000"/>
          <w:vertAlign w:val="subscript"/>
        </w:rPr>
        <w:t>x</w:t>
      </w:r>
      <w:r>
        <w:rPr>
          <w:color w:val="000000"/>
        </w:rPr>
        <w:t>、SO</w:t>
      </w:r>
      <w:r>
        <w:rPr>
          <w:color w:val="000000"/>
          <w:vertAlign w:val="subscript"/>
        </w:rPr>
        <w:t>2</w:t>
      </w:r>
      <w:r>
        <w:rPr>
          <w:color w:val="000000"/>
        </w:rPr>
        <w:t>、PM</w:t>
      </w:r>
      <w:r>
        <w:rPr>
          <w:color w:val="000000"/>
          <w:vertAlign w:val="subscript"/>
        </w:rPr>
        <w:t>10</w:t>
      </w:r>
      <w:r>
        <w:rPr>
          <w:color w:val="000000"/>
        </w:rPr>
        <w:t>。</w:t>
      </w:r>
    </w:p>
    <w:p w14:paraId="5417B14D">
      <w:pPr>
        <w:pStyle w:val="68"/>
        <w:widowControl w:val="0"/>
        <w:spacing w:before="0" w:beforeAutospacing="0" w:after="0" w:afterAutospacing="0" w:line="360" w:lineRule="auto"/>
        <w:ind w:firstLine="480" w:firstLineChars="200"/>
        <w:jc w:val="both"/>
        <w:rPr>
          <w:rFonts w:ascii="Times New Roman" w:hAnsi="Times New Roman"/>
          <w:color w:val="000000"/>
        </w:rPr>
      </w:pPr>
      <w:r>
        <w:rPr>
          <w:rFonts w:ascii="Times New Roman" w:hAnsi="Times New Roman"/>
          <w:color w:val="000000"/>
        </w:rPr>
        <w:t>根据《环境影响评价技术导则 大气环境》（HJ2.2-2018）中相关要求，结合项目工程分析结果，选择正常排放的主要污染物及排放参数，采用附录A推荐模型中的AERSCREEN模式计算项目污染源的最大环境影响，然后按评价工作分级判据进行分级。</w:t>
      </w:r>
    </w:p>
    <w:p w14:paraId="4412FF3C">
      <w:pPr>
        <w:ind w:firstLine="480" w:firstLineChars="200"/>
        <w:rPr>
          <w:color w:val="000000"/>
        </w:rPr>
      </w:pPr>
      <w:r>
        <w:rPr>
          <w:color w:val="000000"/>
          <w:szCs w:val="24"/>
        </w:rPr>
        <w:t>依据《环境影响评价技术导则 大气环境》(HJ2.2-2018)中最大地面浓度占标率P</w:t>
      </w:r>
      <w:r>
        <w:rPr>
          <w:i/>
          <w:color w:val="000000"/>
          <w:szCs w:val="24"/>
        </w:rPr>
        <w:t>i</w:t>
      </w:r>
      <w:r>
        <w:rPr>
          <w:color w:val="000000"/>
          <w:szCs w:val="24"/>
        </w:rPr>
        <w:t>定义如下：</w:t>
      </w:r>
      <w:r>
        <w:rPr>
          <w:color w:val="000000"/>
        </w:rPr>
        <w:t>：</w:t>
      </w:r>
    </w:p>
    <w:p w14:paraId="710A3D78">
      <w:pPr>
        <w:pStyle w:val="31"/>
        <w:spacing w:after="0"/>
        <w:jc w:val="center"/>
        <w:rPr>
          <w:color w:val="000000"/>
          <w:vertAlign w:val="subscript"/>
        </w:rPr>
      </w:pPr>
      <w:r>
        <w:rPr>
          <w:color w:val="000000"/>
        </w:rPr>
        <w:t>P</w:t>
      </w:r>
      <w:r>
        <w:rPr>
          <w:color w:val="000000"/>
          <w:vertAlign w:val="subscript"/>
        </w:rPr>
        <w:t>i</w:t>
      </w:r>
      <w:r>
        <w:rPr>
          <w:color w:val="000000"/>
        </w:rPr>
        <w:t xml:space="preserve"> =C</w:t>
      </w:r>
      <w:r>
        <w:rPr>
          <w:color w:val="000000"/>
          <w:vertAlign w:val="subscript"/>
        </w:rPr>
        <w:t>i</w:t>
      </w:r>
      <w:r>
        <w:rPr>
          <w:color w:val="000000"/>
        </w:rPr>
        <w:t>/C</w:t>
      </w:r>
      <w:r>
        <w:rPr>
          <w:color w:val="000000"/>
          <w:vertAlign w:val="subscript"/>
        </w:rPr>
        <w:t>0i</w:t>
      </w:r>
    </w:p>
    <w:p w14:paraId="71FAFFE6">
      <w:pPr>
        <w:pStyle w:val="31"/>
        <w:spacing w:after="0"/>
        <w:ind w:firstLine="482"/>
        <w:rPr>
          <w:color w:val="000000"/>
        </w:rPr>
      </w:pPr>
      <w:r>
        <w:rPr>
          <w:color w:val="000000"/>
        </w:rPr>
        <w:t>P</w:t>
      </w:r>
      <w:r>
        <w:rPr>
          <w:color w:val="000000"/>
          <w:vertAlign w:val="subscript"/>
        </w:rPr>
        <w:t>i</w:t>
      </w:r>
      <w:r>
        <w:rPr>
          <w:color w:val="000000"/>
        </w:rPr>
        <w:t>——第i个污染物的最大地面浓度占标率，%；</w:t>
      </w:r>
    </w:p>
    <w:p w14:paraId="4ABA55CF">
      <w:pPr>
        <w:pStyle w:val="31"/>
        <w:spacing w:after="0"/>
        <w:ind w:firstLine="482"/>
        <w:rPr>
          <w:color w:val="000000"/>
        </w:rPr>
      </w:pPr>
      <w:r>
        <w:rPr>
          <w:color w:val="000000"/>
        </w:rPr>
        <w:t>C</w:t>
      </w:r>
      <w:r>
        <w:rPr>
          <w:color w:val="000000"/>
          <w:vertAlign w:val="subscript"/>
        </w:rPr>
        <w:t>i</w:t>
      </w:r>
      <w:r>
        <w:rPr>
          <w:color w:val="000000"/>
        </w:rPr>
        <w:t>——采用估算模式计算出的第i个污染物的最大1h地面空气质量浓度，µg/m</w:t>
      </w:r>
      <w:r>
        <w:rPr>
          <w:color w:val="000000"/>
          <w:vertAlign w:val="superscript"/>
        </w:rPr>
        <w:t>3</w:t>
      </w:r>
      <w:r>
        <w:rPr>
          <w:color w:val="000000"/>
        </w:rPr>
        <w:t>；</w:t>
      </w:r>
    </w:p>
    <w:p w14:paraId="255DF577">
      <w:pPr>
        <w:pStyle w:val="31"/>
        <w:spacing w:after="0"/>
        <w:ind w:firstLine="482"/>
        <w:rPr>
          <w:color w:val="000000"/>
        </w:rPr>
      </w:pPr>
      <w:r>
        <w:rPr>
          <w:color w:val="000000"/>
        </w:rPr>
        <w:t>C</w:t>
      </w:r>
      <w:r>
        <w:rPr>
          <w:color w:val="000000"/>
          <w:vertAlign w:val="subscript"/>
        </w:rPr>
        <w:t>0i</w:t>
      </w:r>
      <w:r>
        <w:rPr>
          <w:color w:val="000000"/>
        </w:rPr>
        <w:t>——第i个污染物的环境空气质量浓度标准，µg/m</w:t>
      </w:r>
      <w:r>
        <w:rPr>
          <w:color w:val="000000"/>
          <w:vertAlign w:val="superscript"/>
        </w:rPr>
        <w:t>3</w:t>
      </w:r>
      <w:r>
        <w:rPr>
          <w:color w:val="000000"/>
        </w:rPr>
        <w:t>；</w:t>
      </w:r>
    </w:p>
    <w:p w14:paraId="475BDBF9">
      <w:pPr>
        <w:widowControl w:val="0"/>
        <w:numPr>
          <w:ilvl w:val="0"/>
          <w:numId w:val="2"/>
        </w:numPr>
        <w:ind w:firstLine="480"/>
        <w:jc w:val="both"/>
        <w:rPr>
          <w:bCs/>
          <w:color w:val="000000"/>
          <w:szCs w:val="24"/>
        </w:rPr>
      </w:pPr>
      <w:r>
        <w:rPr>
          <w:color w:val="000000"/>
          <w:szCs w:val="24"/>
        </w:rPr>
        <w:t>污染源及污染物排放参数情况见</w:t>
      </w:r>
      <w:r>
        <w:rPr>
          <w:color w:val="000000"/>
        </w:rPr>
        <w:t>表1.4.1-1。</w:t>
      </w:r>
    </w:p>
    <w:p w14:paraId="1E038BA7">
      <w:pPr>
        <w:jc w:val="center"/>
        <w:rPr>
          <w:color w:val="000000"/>
          <w:szCs w:val="24"/>
        </w:rPr>
      </w:pPr>
    </w:p>
    <w:p w14:paraId="6FC77C45">
      <w:pPr>
        <w:jc w:val="center"/>
        <w:rPr>
          <w:color w:val="000000"/>
          <w:szCs w:val="24"/>
        </w:rPr>
      </w:pPr>
    </w:p>
    <w:p w14:paraId="6AD41FD8">
      <w:pPr>
        <w:pStyle w:val="2"/>
        <w:ind w:left="480"/>
        <w:rPr>
          <w:rFonts w:ascii="Times New Roman" w:hAnsi="Times New Roman" w:cs="Times New Roman"/>
          <w:color w:val="000000"/>
        </w:rPr>
      </w:pPr>
    </w:p>
    <w:p w14:paraId="7BFEBB2D">
      <w:pPr>
        <w:jc w:val="center"/>
        <w:rPr>
          <w:color w:val="000000"/>
          <w:szCs w:val="24"/>
        </w:rPr>
      </w:pPr>
      <w:r>
        <w:rPr>
          <w:color w:val="000000"/>
          <w:szCs w:val="24"/>
        </w:rPr>
        <w:t>表1.4.1-1 点源相关参数</w:t>
      </w:r>
    </w:p>
    <w:tbl>
      <w:tblPr>
        <w:tblStyle w:val="73"/>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92"/>
        <w:gridCol w:w="939"/>
        <w:gridCol w:w="635"/>
        <w:gridCol w:w="625"/>
        <w:gridCol w:w="627"/>
        <w:gridCol w:w="627"/>
        <w:gridCol w:w="626"/>
        <w:gridCol w:w="698"/>
        <w:gridCol w:w="455"/>
        <w:gridCol w:w="1296"/>
        <w:gridCol w:w="1389"/>
      </w:tblGrid>
      <w:tr w14:paraId="5625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 w:hRule="atLeast"/>
          <w:jc w:val="center"/>
        </w:trPr>
        <w:tc>
          <w:tcPr>
            <w:tcW w:w="392" w:type="dxa"/>
            <w:vMerge w:val="restart"/>
            <w:vAlign w:val="center"/>
          </w:tcPr>
          <w:p w14:paraId="17985511">
            <w:pPr>
              <w:pStyle w:val="541"/>
              <w:spacing w:line="240" w:lineRule="auto"/>
              <w:rPr>
                <w:rFonts w:eastAsia="宋体"/>
                <w:color w:val="000000"/>
                <w:sz w:val="18"/>
                <w:szCs w:val="18"/>
              </w:rPr>
            </w:pPr>
            <w:r>
              <w:rPr>
                <w:rFonts w:eastAsia="宋体"/>
                <w:color w:val="000000"/>
                <w:sz w:val="18"/>
                <w:szCs w:val="18"/>
              </w:rPr>
              <w:t>点源</w:t>
            </w:r>
          </w:p>
          <w:p w14:paraId="2DDE7B3C">
            <w:pPr>
              <w:pStyle w:val="541"/>
              <w:spacing w:line="240" w:lineRule="auto"/>
              <w:rPr>
                <w:rFonts w:eastAsia="宋体"/>
                <w:color w:val="000000"/>
                <w:sz w:val="18"/>
                <w:szCs w:val="18"/>
              </w:rPr>
            </w:pPr>
            <w:r>
              <w:rPr>
                <w:rFonts w:eastAsia="宋体"/>
                <w:color w:val="000000"/>
                <w:sz w:val="18"/>
                <w:szCs w:val="18"/>
              </w:rPr>
              <w:t>编号</w:t>
            </w:r>
          </w:p>
        </w:tc>
        <w:tc>
          <w:tcPr>
            <w:tcW w:w="939" w:type="dxa"/>
            <w:vMerge w:val="restart"/>
            <w:vAlign w:val="center"/>
          </w:tcPr>
          <w:p w14:paraId="563F6889">
            <w:pPr>
              <w:pStyle w:val="541"/>
              <w:spacing w:line="240" w:lineRule="auto"/>
              <w:rPr>
                <w:rFonts w:eastAsia="宋体"/>
                <w:color w:val="000000"/>
                <w:sz w:val="18"/>
                <w:szCs w:val="18"/>
              </w:rPr>
            </w:pPr>
            <w:r>
              <w:rPr>
                <w:rFonts w:eastAsia="宋体"/>
                <w:color w:val="000000"/>
                <w:sz w:val="18"/>
                <w:szCs w:val="18"/>
              </w:rPr>
              <w:t>点源</w:t>
            </w:r>
          </w:p>
          <w:p w14:paraId="71408293">
            <w:pPr>
              <w:pStyle w:val="541"/>
              <w:spacing w:line="240" w:lineRule="auto"/>
              <w:rPr>
                <w:rFonts w:eastAsia="宋体"/>
                <w:color w:val="000000"/>
                <w:sz w:val="18"/>
                <w:szCs w:val="18"/>
              </w:rPr>
            </w:pPr>
            <w:r>
              <w:rPr>
                <w:rFonts w:eastAsia="宋体"/>
                <w:color w:val="000000"/>
                <w:sz w:val="18"/>
                <w:szCs w:val="18"/>
              </w:rPr>
              <w:t>名称</w:t>
            </w:r>
          </w:p>
        </w:tc>
        <w:tc>
          <w:tcPr>
            <w:tcW w:w="635" w:type="dxa"/>
            <w:vAlign w:val="center"/>
          </w:tcPr>
          <w:p w14:paraId="68432179">
            <w:pPr>
              <w:pStyle w:val="541"/>
              <w:spacing w:line="240" w:lineRule="auto"/>
              <w:rPr>
                <w:rFonts w:eastAsia="宋体"/>
                <w:color w:val="000000"/>
                <w:sz w:val="18"/>
                <w:szCs w:val="18"/>
              </w:rPr>
            </w:pPr>
            <w:r>
              <w:rPr>
                <w:rFonts w:eastAsia="宋体"/>
                <w:color w:val="000000"/>
                <w:sz w:val="18"/>
                <w:szCs w:val="18"/>
              </w:rPr>
              <w:t>排气筒高度</w:t>
            </w:r>
          </w:p>
        </w:tc>
        <w:tc>
          <w:tcPr>
            <w:tcW w:w="625" w:type="dxa"/>
            <w:vAlign w:val="center"/>
          </w:tcPr>
          <w:p w14:paraId="2D5433AB">
            <w:pPr>
              <w:pStyle w:val="541"/>
              <w:spacing w:line="240" w:lineRule="auto"/>
              <w:rPr>
                <w:rFonts w:eastAsia="宋体"/>
                <w:color w:val="000000"/>
                <w:sz w:val="18"/>
                <w:szCs w:val="18"/>
              </w:rPr>
            </w:pPr>
            <w:r>
              <w:rPr>
                <w:rFonts w:eastAsia="宋体"/>
                <w:color w:val="000000"/>
                <w:sz w:val="18"/>
                <w:szCs w:val="18"/>
              </w:rPr>
              <w:t>排气筒内径</w:t>
            </w:r>
          </w:p>
        </w:tc>
        <w:tc>
          <w:tcPr>
            <w:tcW w:w="627" w:type="dxa"/>
            <w:vAlign w:val="center"/>
          </w:tcPr>
          <w:p w14:paraId="527D2E2C">
            <w:pPr>
              <w:pStyle w:val="541"/>
              <w:spacing w:line="240" w:lineRule="auto"/>
              <w:rPr>
                <w:rFonts w:eastAsia="宋体"/>
                <w:color w:val="000000"/>
                <w:sz w:val="18"/>
                <w:szCs w:val="18"/>
              </w:rPr>
            </w:pPr>
            <w:r>
              <w:rPr>
                <w:rFonts w:eastAsia="宋体"/>
                <w:color w:val="000000"/>
                <w:sz w:val="18"/>
                <w:szCs w:val="18"/>
              </w:rPr>
              <w:t>烟气出口流量</w:t>
            </w:r>
          </w:p>
        </w:tc>
        <w:tc>
          <w:tcPr>
            <w:tcW w:w="627" w:type="dxa"/>
            <w:vAlign w:val="center"/>
          </w:tcPr>
          <w:p w14:paraId="46EF84A0">
            <w:pPr>
              <w:pStyle w:val="541"/>
              <w:spacing w:line="240" w:lineRule="auto"/>
              <w:rPr>
                <w:rFonts w:eastAsia="宋体"/>
                <w:color w:val="000000"/>
                <w:sz w:val="18"/>
                <w:szCs w:val="18"/>
              </w:rPr>
            </w:pPr>
            <w:r>
              <w:rPr>
                <w:rFonts w:eastAsia="宋体"/>
                <w:color w:val="000000"/>
                <w:sz w:val="18"/>
                <w:szCs w:val="18"/>
              </w:rPr>
              <w:t>烟气流速/</w:t>
            </w:r>
          </w:p>
        </w:tc>
        <w:tc>
          <w:tcPr>
            <w:tcW w:w="626" w:type="dxa"/>
            <w:vAlign w:val="center"/>
          </w:tcPr>
          <w:p w14:paraId="7724CCEE">
            <w:pPr>
              <w:pStyle w:val="541"/>
              <w:spacing w:line="240" w:lineRule="auto"/>
              <w:rPr>
                <w:rFonts w:eastAsia="宋体"/>
                <w:color w:val="000000"/>
                <w:sz w:val="18"/>
                <w:szCs w:val="18"/>
              </w:rPr>
            </w:pPr>
            <w:r>
              <w:rPr>
                <w:rFonts w:eastAsia="宋体"/>
                <w:color w:val="000000"/>
                <w:sz w:val="18"/>
                <w:szCs w:val="18"/>
              </w:rPr>
              <w:t>烟气出口温度</w:t>
            </w:r>
          </w:p>
        </w:tc>
        <w:tc>
          <w:tcPr>
            <w:tcW w:w="698" w:type="dxa"/>
            <w:vAlign w:val="center"/>
          </w:tcPr>
          <w:p w14:paraId="3D056DF6">
            <w:pPr>
              <w:pStyle w:val="541"/>
              <w:spacing w:line="240" w:lineRule="auto"/>
              <w:rPr>
                <w:rFonts w:eastAsia="宋体"/>
                <w:color w:val="000000"/>
                <w:sz w:val="18"/>
                <w:szCs w:val="18"/>
              </w:rPr>
            </w:pPr>
            <w:r>
              <w:rPr>
                <w:rFonts w:eastAsia="宋体"/>
                <w:color w:val="000000"/>
                <w:sz w:val="18"/>
                <w:szCs w:val="18"/>
              </w:rPr>
              <w:t>年排放小时数</w:t>
            </w:r>
          </w:p>
        </w:tc>
        <w:tc>
          <w:tcPr>
            <w:tcW w:w="455" w:type="dxa"/>
            <w:vMerge w:val="restart"/>
            <w:vAlign w:val="center"/>
          </w:tcPr>
          <w:p w14:paraId="5777DFA1">
            <w:pPr>
              <w:pStyle w:val="541"/>
              <w:spacing w:line="240" w:lineRule="auto"/>
              <w:rPr>
                <w:rFonts w:eastAsia="宋体"/>
                <w:color w:val="000000"/>
                <w:sz w:val="18"/>
                <w:szCs w:val="18"/>
              </w:rPr>
            </w:pPr>
            <w:r>
              <w:rPr>
                <w:rFonts w:eastAsia="宋体"/>
                <w:color w:val="000000"/>
                <w:sz w:val="18"/>
                <w:szCs w:val="18"/>
              </w:rPr>
              <w:t>排放</w:t>
            </w:r>
          </w:p>
          <w:p w14:paraId="3539D990">
            <w:pPr>
              <w:pStyle w:val="541"/>
              <w:spacing w:line="240" w:lineRule="auto"/>
              <w:rPr>
                <w:rFonts w:eastAsia="宋体"/>
                <w:color w:val="000000"/>
                <w:sz w:val="18"/>
                <w:szCs w:val="18"/>
              </w:rPr>
            </w:pPr>
            <w:r>
              <w:rPr>
                <w:rFonts w:eastAsia="宋体"/>
                <w:color w:val="000000"/>
                <w:sz w:val="18"/>
                <w:szCs w:val="18"/>
              </w:rPr>
              <w:t>工况</w:t>
            </w:r>
          </w:p>
        </w:tc>
        <w:tc>
          <w:tcPr>
            <w:tcW w:w="2685" w:type="dxa"/>
            <w:gridSpan w:val="2"/>
            <w:vAlign w:val="center"/>
          </w:tcPr>
          <w:p w14:paraId="69998A98">
            <w:pPr>
              <w:pStyle w:val="541"/>
              <w:spacing w:line="240" w:lineRule="auto"/>
              <w:rPr>
                <w:rFonts w:eastAsia="宋体"/>
                <w:color w:val="000000"/>
                <w:sz w:val="18"/>
                <w:szCs w:val="18"/>
              </w:rPr>
            </w:pPr>
            <w:r>
              <w:rPr>
                <w:rFonts w:eastAsia="宋体"/>
                <w:color w:val="000000"/>
                <w:sz w:val="18"/>
                <w:szCs w:val="18"/>
              </w:rPr>
              <w:t>评价因子源强</w:t>
            </w:r>
          </w:p>
        </w:tc>
      </w:tr>
      <w:tr w14:paraId="5BE0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392" w:type="dxa"/>
            <w:vMerge w:val="continue"/>
            <w:vAlign w:val="center"/>
          </w:tcPr>
          <w:p w14:paraId="4D2829C7">
            <w:pPr>
              <w:pStyle w:val="541"/>
              <w:spacing w:line="240" w:lineRule="auto"/>
              <w:rPr>
                <w:rFonts w:eastAsia="宋体"/>
                <w:color w:val="000000"/>
                <w:sz w:val="18"/>
                <w:szCs w:val="18"/>
              </w:rPr>
            </w:pPr>
          </w:p>
        </w:tc>
        <w:tc>
          <w:tcPr>
            <w:tcW w:w="939" w:type="dxa"/>
            <w:vMerge w:val="continue"/>
            <w:vAlign w:val="center"/>
          </w:tcPr>
          <w:p w14:paraId="2CF3AD5D">
            <w:pPr>
              <w:pStyle w:val="541"/>
              <w:spacing w:line="240" w:lineRule="auto"/>
              <w:rPr>
                <w:rFonts w:eastAsia="宋体"/>
                <w:color w:val="000000"/>
                <w:sz w:val="18"/>
                <w:szCs w:val="18"/>
              </w:rPr>
            </w:pPr>
          </w:p>
        </w:tc>
        <w:tc>
          <w:tcPr>
            <w:tcW w:w="635" w:type="dxa"/>
            <w:vAlign w:val="center"/>
          </w:tcPr>
          <w:p w14:paraId="7055B437">
            <w:pPr>
              <w:pStyle w:val="541"/>
              <w:spacing w:line="240" w:lineRule="auto"/>
              <w:rPr>
                <w:rFonts w:eastAsia="宋体"/>
                <w:color w:val="000000"/>
                <w:sz w:val="18"/>
                <w:szCs w:val="18"/>
              </w:rPr>
            </w:pPr>
            <w:r>
              <w:rPr>
                <w:rFonts w:eastAsia="宋体"/>
                <w:color w:val="000000"/>
                <w:sz w:val="18"/>
                <w:szCs w:val="18"/>
              </w:rPr>
              <w:t>m</w:t>
            </w:r>
          </w:p>
        </w:tc>
        <w:tc>
          <w:tcPr>
            <w:tcW w:w="625" w:type="dxa"/>
            <w:vAlign w:val="center"/>
          </w:tcPr>
          <w:p w14:paraId="6FC2B690">
            <w:pPr>
              <w:pStyle w:val="541"/>
              <w:spacing w:line="240" w:lineRule="auto"/>
              <w:rPr>
                <w:rFonts w:eastAsia="宋体"/>
                <w:color w:val="000000"/>
                <w:sz w:val="18"/>
                <w:szCs w:val="18"/>
              </w:rPr>
            </w:pPr>
            <w:r>
              <w:rPr>
                <w:rFonts w:eastAsia="宋体"/>
                <w:color w:val="000000"/>
                <w:sz w:val="18"/>
                <w:szCs w:val="18"/>
              </w:rPr>
              <w:t>m</w:t>
            </w:r>
          </w:p>
        </w:tc>
        <w:tc>
          <w:tcPr>
            <w:tcW w:w="627" w:type="dxa"/>
            <w:vAlign w:val="center"/>
          </w:tcPr>
          <w:p w14:paraId="4A6C2DFF">
            <w:pPr>
              <w:pStyle w:val="541"/>
              <w:spacing w:line="240" w:lineRule="auto"/>
              <w:rPr>
                <w:rFonts w:eastAsia="宋体"/>
                <w:color w:val="000000"/>
                <w:sz w:val="18"/>
                <w:szCs w:val="18"/>
              </w:rPr>
            </w:pPr>
            <w:r>
              <w:rPr>
                <w:rFonts w:eastAsia="宋体"/>
                <w:color w:val="000000"/>
                <w:sz w:val="18"/>
                <w:szCs w:val="18"/>
              </w:rPr>
              <w:t>Nm</w:t>
            </w:r>
            <w:r>
              <w:rPr>
                <w:rFonts w:eastAsia="宋体"/>
                <w:color w:val="000000"/>
                <w:sz w:val="18"/>
                <w:szCs w:val="18"/>
                <w:vertAlign w:val="superscript"/>
              </w:rPr>
              <w:t>3</w:t>
            </w:r>
            <w:r>
              <w:rPr>
                <w:rFonts w:eastAsia="宋体"/>
                <w:color w:val="000000"/>
                <w:sz w:val="18"/>
                <w:szCs w:val="18"/>
              </w:rPr>
              <w:t>/h</w:t>
            </w:r>
          </w:p>
        </w:tc>
        <w:tc>
          <w:tcPr>
            <w:tcW w:w="627" w:type="dxa"/>
            <w:vAlign w:val="center"/>
          </w:tcPr>
          <w:p w14:paraId="0D86B395">
            <w:pPr>
              <w:pStyle w:val="541"/>
              <w:spacing w:line="240" w:lineRule="auto"/>
              <w:rPr>
                <w:rFonts w:eastAsia="宋体"/>
                <w:color w:val="000000"/>
                <w:sz w:val="18"/>
                <w:szCs w:val="18"/>
              </w:rPr>
            </w:pPr>
            <w:r>
              <w:rPr>
                <w:rFonts w:eastAsia="宋体"/>
                <w:color w:val="000000"/>
                <w:sz w:val="18"/>
                <w:szCs w:val="18"/>
              </w:rPr>
              <w:t>m/s</w:t>
            </w:r>
          </w:p>
        </w:tc>
        <w:tc>
          <w:tcPr>
            <w:tcW w:w="626" w:type="dxa"/>
            <w:vAlign w:val="center"/>
          </w:tcPr>
          <w:p w14:paraId="6FB1B92B">
            <w:pPr>
              <w:pStyle w:val="541"/>
              <w:spacing w:line="240" w:lineRule="auto"/>
              <w:rPr>
                <w:rFonts w:eastAsia="宋体"/>
                <w:color w:val="000000"/>
                <w:sz w:val="18"/>
                <w:szCs w:val="18"/>
              </w:rPr>
            </w:pPr>
            <w:r>
              <w:rPr>
                <w:rFonts w:eastAsia="宋体"/>
                <w:color w:val="000000"/>
                <w:sz w:val="18"/>
                <w:szCs w:val="18"/>
              </w:rPr>
              <w:t>K</w:t>
            </w:r>
          </w:p>
        </w:tc>
        <w:tc>
          <w:tcPr>
            <w:tcW w:w="698" w:type="dxa"/>
            <w:vAlign w:val="center"/>
          </w:tcPr>
          <w:p w14:paraId="0C527222">
            <w:pPr>
              <w:pStyle w:val="541"/>
              <w:spacing w:line="240" w:lineRule="auto"/>
              <w:rPr>
                <w:rFonts w:eastAsia="宋体"/>
                <w:color w:val="000000"/>
                <w:sz w:val="18"/>
                <w:szCs w:val="18"/>
              </w:rPr>
            </w:pPr>
            <w:r>
              <w:rPr>
                <w:rFonts w:eastAsia="宋体"/>
                <w:color w:val="000000"/>
                <w:sz w:val="18"/>
                <w:szCs w:val="18"/>
              </w:rPr>
              <w:t>h</w:t>
            </w:r>
          </w:p>
        </w:tc>
        <w:tc>
          <w:tcPr>
            <w:tcW w:w="455" w:type="dxa"/>
            <w:vMerge w:val="continue"/>
            <w:vAlign w:val="center"/>
          </w:tcPr>
          <w:p w14:paraId="018512A7">
            <w:pPr>
              <w:pStyle w:val="541"/>
              <w:spacing w:line="240" w:lineRule="auto"/>
              <w:rPr>
                <w:rFonts w:eastAsia="宋体"/>
                <w:color w:val="000000"/>
                <w:sz w:val="18"/>
                <w:szCs w:val="18"/>
              </w:rPr>
            </w:pPr>
          </w:p>
        </w:tc>
        <w:tc>
          <w:tcPr>
            <w:tcW w:w="1296" w:type="dxa"/>
            <w:vAlign w:val="center"/>
          </w:tcPr>
          <w:p w14:paraId="5F1699CD">
            <w:pPr>
              <w:pStyle w:val="541"/>
              <w:spacing w:line="240" w:lineRule="auto"/>
              <w:rPr>
                <w:rFonts w:eastAsia="宋体"/>
                <w:color w:val="000000"/>
                <w:sz w:val="18"/>
                <w:szCs w:val="18"/>
              </w:rPr>
            </w:pPr>
            <w:r>
              <w:rPr>
                <w:rFonts w:eastAsia="宋体"/>
                <w:color w:val="000000"/>
                <w:sz w:val="18"/>
                <w:szCs w:val="18"/>
              </w:rPr>
              <w:t>污染物</w:t>
            </w:r>
          </w:p>
        </w:tc>
        <w:tc>
          <w:tcPr>
            <w:tcW w:w="1389" w:type="dxa"/>
            <w:vAlign w:val="center"/>
          </w:tcPr>
          <w:p w14:paraId="2C764EEE">
            <w:pPr>
              <w:pStyle w:val="541"/>
              <w:spacing w:line="240" w:lineRule="auto"/>
              <w:rPr>
                <w:rFonts w:eastAsia="宋体"/>
                <w:color w:val="000000"/>
                <w:sz w:val="18"/>
                <w:szCs w:val="18"/>
              </w:rPr>
            </w:pPr>
            <w:r>
              <w:rPr>
                <w:rFonts w:eastAsia="宋体"/>
                <w:color w:val="000000"/>
                <w:sz w:val="18"/>
                <w:szCs w:val="18"/>
              </w:rPr>
              <w:t>kg/h</w:t>
            </w:r>
          </w:p>
        </w:tc>
      </w:tr>
      <w:tr w14:paraId="17E8F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392" w:type="dxa"/>
            <w:vMerge w:val="restart"/>
            <w:vAlign w:val="center"/>
          </w:tcPr>
          <w:p w14:paraId="779B411B">
            <w:pPr>
              <w:pStyle w:val="541"/>
              <w:spacing w:line="240" w:lineRule="auto"/>
              <w:rPr>
                <w:rFonts w:eastAsia="宋体"/>
                <w:color w:val="000000"/>
                <w:sz w:val="18"/>
                <w:szCs w:val="18"/>
              </w:rPr>
            </w:pPr>
            <w:r>
              <w:rPr>
                <w:rFonts w:eastAsia="宋体"/>
                <w:color w:val="000000"/>
                <w:sz w:val="18"/>
                <w:szCs w:val="18"/>
              </w:rPr>
              <w:t>1</w:t>
            </w:r>
          </w:p>
        </w:tc>
        <w:tc>
          <w:tcPr>
            <w:tcW w:w="939" w:type="dxa"/>
            <w:vMerge w:val="restart"/>
            <w:vAlign w:val="center"/>
          </w:tcPr>
          <w:p w14:paraId="088FB28D">
            <w:pPr>
              <w:pStyle w:val="541"/>
              <w:spacing w:line="240" w:lineRule="auto"/>
              <w:rPr>
                <w:rFonts w:eastAsia="宋体"/>
                <w:color w:val="000000"/>
                <w:sz w:val="18"/>
                <w:szCs w:val="18"/>
              </w:rPr>
            </w:pPr>
            <w:r>
              <w:rPr>
                <w:rFonts w:eastAsia="宋体"/>
                <w:color w:val="000000"/>
                <w:sz w:val="18"/>
                <w:szCs w:val="18"/>
              </w:rPr>
              <w:t>火炬</w:t>
            </w:r>
          </w:p>
        </w:tc>
        <w:tc>
          <w:tcPr>
            <w:tcW w:w="635" w:type="dxa"/>
            <w:vMerge w:val="restart"/>
            <w:vAlign w:val="center"/>
          </w:tcPr>
          <w:p w14:paraId="3719195D">
            <w:pPr>
              <w:pStyle w:val="541"/>
              <w:spacing w:line="240" w:lineRule="auto"/>
              <w:rPr>
                <w:rFonts w:eastAsia="宋体"/>
                <w:color w:val="000000"/>
                <w:sz w:val="18"/>
                <w:szCs w:val="18"/>
              </w:rPr>
            </w:pPr>
            <w:r>
              <w:rPr>
                <w:rFonts w:eastAsia="宋体"/>
                <w:color w:val="000000"/>
                <w:sz w:val="18"/>
                <w:szCs w:val="18"/>
              </w:rPr>
              <w:t>80</w:t>
            </w:r>
          </w:p>
        </w:tc>
        <w:tc>
          <w:tcPr>
            <w:tcW w:w="625" w:type="dxa"/>
            <w:vMerge w:val="restart"/>
            <w:vAlign w:val="center"/>
          </w:tcPr>
          <w:p w14:paraId="1F08135B">
            <w:pPr>
              <w:pStyle w:val="541"/>
              <w:spacing w:line="240" w:lineRule="auto"/>
              <w:rPr>
                <w:rFonts w:eastAsia="宋体"/>
                <w:color w:val="000000"/>
                <w:sz w:val="18"/>
                <w:szCs w:val="18"/>
              </w:rPr>
            </w:pPr>
            <w:r>
              <w:rPr>
                <w:rFonts w:eastAsia="宋体"/>
                <w:color w:val="000000"/>
                <w:sz w:val="18"/>
                <w:szCs w:val="18"/>
              </w:rPr>
              <w:t>1</w:t>
            </w:r>
          </w:p>
        </w:tc>
        <w:tc>
          <w:tcPr>
            <w:tcW w:w="627" w:type="dxa"/>
            <w:vMerge w:val="restart"/>
            <w:vAlign w:val="center"/>
          </w:tcPr>
          <w:p w14:paraId="288A683D">
            <w:pPr>
              <w:pStyle w:val="541"/>
              <w:spacing w:line="240" w:lineRule="auto"/>
              <w:rPr>
                <w:rFonts w:eastAsia="宋体"/>
                <w:color w:val="000000"/>
                <w:sz w:val="18"/>
                <w:szCs w:val="18"/>
              </w:rPr>
            </w:pPr>
            <w:r>
              <w:rPr>
                <w:rFonts w:eastAsia="宋体"/>
                <w:color w:val="000000"/>
                <w:sz w:val="18"/>
                <w:szCs w:val="18"/>
              </w:rPr>
              <w:t>9000</w:t>
            </w:r>
          </w:p>
        </w:tc>
        <w:tc>
          <w:tcPr>
            <w:tcW w:w="627" w:type="dxa"/>
            <w:vMerge w:val="restart"/>
            <w:vAlign w:val="center"/>
          </w:tcPr>
          <w:p w14:paraId="287D8433">
            <w:pPr>
              <w:pStyle w:val="541"/>
              <w:spacing w:line="240" w:lineRule="auto"/>
              <w:rPr>
                <w:rFonts w:eastAsia="宋体"/>
                <w:color w:val="000000"/>
                <w:sz w:val="18"/>
                <w:szCs w:val="18"/>
              </w:rPr>
            </w:pPr>
            <w:r>
              <w:rPr>
                <w:rFonts w:eastAsia="宋体"/>
                <w:color w:val="000000"/>
                <w:sz w:val="18"/>
                <w:szCs w:val="18"/>
              </w:rPr>
              <w:t>17.17</w:t>
            </w:r>
          </w:p>
        </w:tc>
        <w:tc>
          <w:tcPr>
            <w:tcW w:w="626" w:type="dxa"/>
            <w:vMerge w:val="restart"/>
            <w:vAlign w:val="center"/>
          </w:tcPr>
          <w:p w14:paraId="1E51255A">
            <w:pPr>
              <w:pStyle w:val="541"/>
              <w:spacing w:line="240" w:lineRule="auto"/>
              <w:rPr>
                <w:rFonts w:eastAsia="宋体"/>
                <w:color w:val="000000"/>
                <w:sz w:val="18"/>
                <w:szCs w:val="18"/>
              </w:rPr>
            </w:pPr>
            <w:r>
              <w:rPr>
                <w:rFonts w:eastAsia="宋体"/>
                <w:color w:val="000000"/>
                <w:sz w:val="18"/>
                <w:szCs w:val="18"/>
              </w:rPr>
              <w:t>1200</w:t>
            </w:r>
          </w:p>
        </w:tc>
        <w:tc>
          <w:tcPr>
            <w:tcW w:w="698" w:type="dxa"/>
            <w:vMerge w:val="restart"/>
            <w:vAlign w:val="center"/>
          </w:tcPr>
          <w:p w14:paraId="0735E35B">
            <w:pPr>
              <w:pStyle w:val="541"/>
              <w:spacing w:line="240" w:lineRule="auto"/>
              <w:rPr>
                <w:rFonts w:eastAsia="宋体"/>
                <w:color w:val="000000"/>
                <w:sz w:val="18"/>
                <w:szCs w:val="18"/>
              </w:rPr>
            </w:pPr>
            <w:r>
              <w:rPr>
                <w:rFonts w:eastAsia="宋体"/>
                <w:color w:val="000000"/>
                <w:sz w:val="18"/>
                <w:szCs w:val="18"/>
              </w:rPr>
              <w:t>8000</w:t>
            </w:r>
          </w:p>
        </w:tc>
        <w:tc>
          <w:tcPr>
            <w:tcW w:w="455" w:type="dxa"/>
            <w:vMerge w:val="restart"/>
            <w:vAlign w:val="center"/>
          </w:tcPr>
          <w:p w14:paraId="5E5CED94">
            <w:pPr>
              <w:pStyle w:val="541"/>
              <w:spacing w:line="240" w:lineRule="auto"/>
              <w:rPr>
                <w:rFonts w:eastAsia="宋体"/>
                <w:color w:val="000000"/>
                <w:sz w:val="18"/>
                <w:szCs w:val="18"/>
              </w:rPr>
            </w:pPr>
            <w:r>
              <w:rPr>
                <w:rFonts w:eastAsia="宋体"/>
                <w:color w:val="000000"/>
                <w:sz w:val="18"/>
                <w:szCs w:val="18"/>
              </w:rPr>
              <w:t>正常</w:t>
            </w:r>
          </w:p>
        </w:tc>
        <w:tc>
          <w:tcPr>
            <w:tcW w:w="1296" w:type="dxa"/>
            <w:vAlign w:val="center"/>
          </w:tcPr>
          <w:p w14:paraId="15BCFEBC">
            <w:pPr>
              <w:tabs>
                <w:tab w:val="left" w:pos="2310"/>
              </w:tabs>
              <w:spacing w:line="240" w:lineRule="atLeast"/>
              <w:jc w:val="center"/>
              <w:textAlignment w:val="center"/>
              <w:rPr>
                <w:color w:val="000000"/>
                <w:sz w:val="18"/>
                <w:szCs w:val="18"/>
              </w:rPr>
            </w:pPr>
            <w:r>
              <w:rPr>
                <w:color w:val="000000"/>
                <w:sz w:val="18"/>
                <w:szCs w:val="18"/>
              </w:rPr>
              <w:t>SO</w:t>
            </w:r>
            <w:r>
              <w:rPr>
                <w:color w:val="000000"/>
                <w:sz w:val="18"/>
                <w:szCs w:val="18"/>
                <w:vertAlign w:val="subscript"/>
              </w:rPr>
              <w:t>2</w:t>
            </w:r>
          </w:p>
        </w:tc>
        <w:tc>
          <w:tcPr>
            <w:tcW w:w="1389" w:type="dxa"/>
            <w:vAlign w:val="center"/>
          </w:tcPr>
          <w:p w14:paraId="66DE6DF7">
            <w:pPr>
              <w:tabs>
                <w:tab w:val="left" w:pos="2310"/>
              </w:tabs>
              <w:spacing w:line="240" w:lineRule="atLeast"/>
              <w:jc w:val="center"/>
              <w:textAlignment w:val="center"/>
              <w:rPr>
                <w:color w:val="000000"/>
                <w:kern w:val="0"/>
                <w:sz w:val="18"/>
                <w:szCs w:val="18"/>
              </w:rPr>
            </w:pPr>
            <w:r>
              <w:rPr>
                <w:color w:val="000000"/>
                <w:kern w:val="0"/>
                <w:sz w:val="18"/>
                <w:szCs w:val="18"/>
              </w:rPr>
              <w:t>0.00375</w:t>
            </w:r>
          </w:p>
        </w:tc>
      </w:tr>
      <w:tr w14:paraId="7059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392" w:type="dxa"/>
            <w:vMerge w:val="continue"/>
            <w:vAlign w:val="center"/>
          </w:tcPr>
          <w:p w14:paraId="26E71AAB">
            <w:pPr>
              <w:pStyle w:val="541"/>
              <w:spacing w:line="240" w:lineRule="auto"/>
              <w:rPr>
                <w:rFonts w:eastAsia="宋体"/>
                <w:color w:val="000000"/>
                <w:sz w:val="18"/>
                <w:szCs w:val="18"/>
              </w:rPr>
            </w:pPr>
          </w:p>
        </w:tc>
        <w:tc>
          <w:tcPr>
            <w:tcW w:w="939" w:type="dxa"/>
            <w:vMerge w:val="continue"/>
            <w:vAlign w:val="center"/>
          </w:tcPr>
          <w:p w14:paraId="4181B445">
            <w:pPr>
              <w:pStyle w:val="541"/>
              <w:spacing w:line="240" w:lineRule="auto"/>
              <w:rPr>
                <w:rFonts w:eastAsia="宋体"/>
                <w:color w:val="000000"/>
                <w:sz w:val="18"/>
                <w:szCs w:val="18"/>
              </w:rPr>
            </w:pPr>
          </w:p>
        </w:tc>
        <w:tc>
          <w:tcPr>
            <w:tcW w:w="635" w:type="dxa"/>
            <w:vMerge w:val="continue"/>
            <w:vAlign w:val="center"/>
          </w:tcPr>
          <w:p w14:paraId="03DCCCAF">
            <w:pPr>
              <w:pStyle w:val="541"/>
              <w:spacing w:line="240" w:lineRule="auto"/>
              <w:rPr>
                <w:rFonts w:eastAsia="宋体"/>
                <w:color w:val="000000"/>
                <w:sz w:val="18"/>
                <w:szCs w:val="18"/>
              </w:rPr>
            </w:pPr>
          </w:p>
        </w:tc>
        <w:tc>
          <w:tcPr>
            <w:tcW w:w="625" w:type="dxa"/>
            <w:vMerge w:val="continue"/>
            <w:vAlign w:val="center"/>
          </w:tcPr>
          <w:p w14:paraId="37EFC5C5">
            <w:pPr>
              <w:pStyle w:val="541"/>
              <w:spacing w:line="240" w:lineRule="auto"/>
              <w:rPr>
                <w:rFonts w:eastAsia="宋体"/>
                <w:color w:val="000000"/>
                <w:sz w:val="18"/>
                <w:szCs w:val="18"/>
              </w:rPr>
            </w:pPr>
          </w:p>
        </w:tc>
        <w:tc>
          <w:tcPr>
            <w:tcW w:w="627" w:type="dxa"/>
            <w:vMerge w:val="continue"/>
            <w:vAlign w:val="center"/>
          </w:tcPr>
          <w:p w14:paraId="44849C9B">
            <w:pPr>
              <w:pStyle w:val="541"/>
              <w:spacing w:line="240" w:lineRule="auto"/>
              <w:rPr>
                <w:rFonts w:eastAsia="宋体"/>
                <w:color w:val="000000"/>
                <w:sz w:val="18"/>
                <w:szCs w:val="18"/>
              </w:rPr>
            </w:pPr>
          </w:p>
        </w:tc>
        <w:tc>
          <w:tcPr>
            <w:tcW w:w="627" w:type="dxa"/>
            <w:vMerge w:val="continue"/>
            <w:vAlign w:val="center"/>
          </w:tcPr>
          <w:p w14:paraId="26D4CF05">
            <w:pPr>
              <w:pStyle w:val="541"/>
              <w:spacing w:line="240" w:lineRule="auto"/>
              <w:rPr>
                <w:rFonts w:eastAsia="宋体"/>
                <w:color w:val="000000"/>
                <w:sz w:val="18"/>
                <w:szCs w:val="18"/>
              </w:rPr>
            </w:pPr>
          </w:p>
        </w:tc>
        <w:tc>
          <w:tcPr>
            <w:tcW w:w="626" w:type="dxa"/>
            <w:vMerge w:val="continue"/>
            <w:vAlign w:val="center"/>
          </w:tcPr>
          <w:p w14:paraId="50A3FD00">
            <w:pPr>
              <w:pStyle w:val="541"/>
              <w:spacing w:line="240" w:lineRule="auto"/>
              <w:rPr>
                <w:rFonts w:eastAsia="宋体"/>
                <w:color w:val="000000"/>
                <w:sz w:val="18"/>
                <w:szCs w:val="18"/>
              </w:rPr>
            </w:pPr>
          </w:p>
        </w:tc>
        <w:tc>
          <w:tcPr>
            <w:tcW w:w="698" w:type="dxa"/>
            <w:vMerge w:val="continue"/>
            <w:vAlign w:val="center"/>
          </w:tcPr>
          <w:p w14:paraId="7FD5786E">
            <w:pPr>
              <w:pStyle w:val="541"/>
              <w:spacing w:line="240" w:lineRule="auto"/>
              <w:rPr>
                <w:rFonts w:eastAsia="宋体"/>
                <w:color w:val="000000"/>
                <w:sz w:val="18"/>
                <w:szCs w:val="18"/>
              </w:rPr>
            </w:pPr>
          </w:p>
        </w:tc>
        <w:tc>
          <w:tcPr>
            <w:tcW w:w="455" w:type="dxa"/>
            <w:vMerge w:val="continue"/>
            <w:vAlign w:val="center"/>
          </w:tcPr>
          <w:p w14:paraId="142218BA">
            <w:pPr>
              <w:pStyle w:val="541"/>
              <w:spacing w:line="240" w:lineRule="auto"/>
              <w:rPr>
                <w:rFonts w:eastAsia="宋体"/>
                <w:color w:val="000000"/>
                <w:sz w:val="18"/>
                <w:szCs w:val="18"/>
              </w:rPr>
            </w:pPr>
          </w:p>
        </w:tc>
        <w:tc>
          <w:tcPr>
            <w:tcW w:w="1296" w:type="dxa"/>
            <w:vAlign w:val="center"/>
          </w:tcPr>
          <w:p w14:paraId="2C6D8839">
            <w:pPr>
              <w:tabs>
                <w:tab w:val="left" w:pos="2310"/>
              </w:tabs>
              <w:spacing w:line="240" w:lineRule="atLeast"/>
              <w:jc w:val="center"/>
              <w:textAlignment w:val="center"/>
              <w:rPr>
                <w:color w:val="000000"/>
                <w:sz w:val="18"/>
                <w:szCs w:val="18"/>
              </w:rPr>
            </w:pPr>
            <w:r>
              <w:rPr>
                <w:color w:val="000000"/>
                <w:sz w:val="18"/>
                <w:szCs w:val="18"/>
              </w:rPr>
              <w:t>NO</w:t>
            </w:r>
            <w:r>
              <w:rPr>
                <w:rFonts w:hint="eastAsia"/>
                <w:color w:val="000000"/>
                <w:sz w:val="18"/>
                <w:szCs w:val="18"/>
                <w:vertAlign w:val="subscript"/>
              </w:rPr>
              <w:t>X</w:t>
            </w:r>
          </w:p>
        </w:tc>
        <w:tc>
          <w:tcPr>
            <w:tcW w:w="1389" w:type="dxa"/>
            <w:vAlign w:val="center"/>
          </w:tcPr>
          <w:p w14:paraId="2F2E20A4">
            <w:pPr>
              <w:tabs>
                <w:tab w:val="left" w:pos="2310"/>
              </w:tabs>
              <w:spacing w:line="240" w:lineRule="atLeast"/>
              <w:jc w:val="center"/>
              <w:textAlignment w:val="center"/>
              <w:rPr>
                <w:color w:val="000000"/>
                <w:kern w:val="0"/>
                <w:sz w:val="18"/>
                <w:szCs w:val="18"/>
              </w:rPr>
            </w:pPr>
            <w:r>
              <w:rPr>
                <w:color w:val="000000"/>
                <w:kern w:val="0"/>
                <w:sz w:val="18"/>
                <w:szCs w:val="18"/>
              </w:rPr>
              <w:t>0.0225</w:t>
            </w:r>
          </w:p>
        </w:tc>
      </w:tr>
      <w:tr w14:paraId="6C61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92" w:type="dxa"/>
            <w:vMerge w:val="continue"/>
            <w:vAlign w:val="center"/>
          </w:tcPr>
          <w:p w14:paraId="6D720C23">
            <w:pPr>
              <w:pStyle w:val="541"/>
              <w:spacing w:line="240" w:lineRule="auto"/>
              <w:rPr>
                <w:rFonts w:eastAsia="宋体"/>
                <w:color w:val="000000"/>
                <w:sz w:val="18"/>
                <w:szCs w:val="18"/>
              </w:rPr>
            </w:pPr>
          </w:p>
        </w:tc>
        <w:tc>
          <w:tcPr>
            <w:tcW w:w="939" w:type="dxa"/>
            <w:vMerge w:val="continue"/>
            <w:vAlign w:val="center"/>
          </w:tcPr>
          <w:p w14:paraId="60859A17">
            <w:pPr>
              <w:pStyle w:val="541"/>
              <w:spacing w:line="240" w:lineRule="auto"/>
              <w:rPr>
                <w:rFonts w:eastAsia="宋体"/>
                <w:color w:val="000000"/>
                <w:sz w:val="18"/>
                <w:szCs w:val="18"/>
              </w:rPr>
            </w:pPr>
          </w:p>
        </w:tc>
        <w:tc>
          <w:tcPr>
            <w:tcW w:w="635" w:type="dxa"/>
            <w:vMerge w:val="continue"/>
            <w:vAlign w:val="center"/>
          </w:tcPr>
          <w:p w14:paraId="1CFFF31C">
            <w:pPr>
              <w:pStyle w:val="541"/>
              <w:spacing w:line="240" w:lineRule="auto"/>
              <w:rPr>
                <w:rFonts w:eastAsia="宋体"/>
                <w:color w:val="000000"/>
                <w:sz w:val="18"/>
                <w:szCs w:val="18"/>
              </w:rPr>
            </w:pPr>
          </w:p>
        </w:tc>
        <w:tc>
          <w:tcPr>
            <w:tcW w:w="625" w:type="dxa"/>
            <w:vMerge w:val="continue"/>
            <w:vAlign w:val="center"/>
          </w:tcPr>
          <w:p w14:paraId="316872E9">
            <w:pPr>
              <w:pStyle w:val="541"/>
              <w:spacing w:line="240" w:lineRule="auto"/>
              <w:rPr>
                <w:rFonts w:eastAsia="宋体"/>
                <w:color w:val="000000"/>
                <w:sz w:val="18"/>
                <w:szCs w:val="18"/>
              </w:rPr>
            </w:pPr>
          </w:p>
        </w:tc>
        <w:tc>
          <w:tcPr>
            <w:tcW w:w="627" w:type="dxa"/>
            <w:vMerge w:val="continue"/>
            <w:vAlign w:val="center"/>
          </w:tcPr>
          <w:p w14:paraId="7FE7A6E3">
            <w:pPr>
              <w:pStyle w:val="541"/>
              <w:spacing w:line="240" w:lineRule="auto"/>
              <w:rPr>
                <w:rFonts w:eastAsia="宋体"/>
                <w:color w:val="000000"/>
                <w:sz w:val="18"/>
                <w:szCs w:val="18"/>
              </w:rPr>
            </w:pPr>
          </w:p>
        </w:tc>
        <w:tc>
          <w:tcPr>
            <w:tcW w:w="627" w:type="dxa"/>
            <w:vMerge w:val="continue"/>
            <w:vAlign w:val="center"/>
          </w:tcPr>
          <w:p w14:paraId="13AA6377">
            <w:pPr>
              <w:pStyle w:val="541"/>
              <w:spacing w:line="240" w:lineRule="auto"/>
              <w:rPr>
                <w:rFonts w:eastAsia="宋体"/>
                <w:color w:val="000000"/>
                <w:sz w:val="18"/>
                <w:szCs w:val="18"/>
              </w:rPr>
            </w:pPr>
          </w:p>
        </w:tc>
        <w:tc>
          <w:tcPr>
            <w:tcW w:w="626" w:type="dxa"/>
            <w:vMerge w:val="continue"/>
            <w:vAlign w:val="center"/>
          </w:tcPr>
          <w:p w14:paraId="4213EFD0">
            <w:pPr>
              <w:pStyle w:val="541"/>
              <w:spacing w:line="240" w:lineRule="auto"/>
              <w:rPr>
                <w:rFonts w:eastAsia="宋体"/>
                <w:color w:val="000000"/>
                <w:sz w:val="18"/>
                <w:szCs w:val="18"/>
              </w:rPr>
            </w:pPr>
          </w:p>
        </w:tc>
        <w:tc>
          <w:tcPr>
            <w:tcW w:w="698" w:type="dxa"/>
            <w:vMerge w:val="continue"/>
            <w:vAlign w:val="center"/>
          </w:tcPr>
          <w:p w14:paraId="7674AE8B">
            <w:pPr>
              <w:pStyle w:val="541"/>
              <w:spacing w:line="240" w:lineRule="auto"/>
              <w:rPr>
                <w:rFonts w:eastAsia="宋体"/>
                <w:color w:val="000000"/>
                <w:sz w:val="18"/>
                <w:szCs w:val="18"/>
              </w:rPr>
            </w:pPr>
          </w:p>
        </w:tc>
        <w:tc>
          <w:tcPr>
            <w:tcW w:w="455" w:type="dxa"/>
            <w:vMerge w:val="continue"/>
            <w:vAlign w:val="center"/>
          </w:tcPr>
          <w:p w14:paraId="2BC8901A">
            <w:pPr>
              <w:pStyle w:val="541"/>
              <w:spacing w:line="240" w:lineRule="auto"/>
              <w:rPr>
                <w:rFonts w:eastAsia="宋体"/>
                <w:color w:val="000000"/>
                <w:sz w:val="18"/>
                <w:szCs w:val="18"/>
              </w:rPr>
            </w:pPr>
          </w:p>
        </w:tc>
        <w:tc>
          <w:tcPr>
            <w:tcW w:w="1296" w:type="dxa"/>
            <w:vAlign w:val="center"/>
          </w:tcPr>
          <w:p w14:paraId="172643FB">
            <w:pPr>
              <w:tabs>
                <w:tab w:val="left" w:pos="2310"/>
              </w:tabs>
              <w:spacing w:line="240" w:lineRule="atLeast"/>
              <w:jc w:val="center"/>
              <w:textAlignment w:val="center"/>
              <w:rPr>
                <w:color w:val="000000"/>
                <w:sz w:val="18"/>
                <w:szCs w:val="18"/>
              </w:rPr>
            </w:pPr>
            <w:r>
              <w:rPr>
                <w:color w:val="000000"/>
                <w:sz w:val="18"/>
                <w:szCs w:val="18"/>
              </w:rPr>
              <w:t>PM</w:t>
            </w:r>
            <w:r>
              <w:rPr>
                <w:color w:val="000000"/>
                <w:sz w:val="18"/>
                <w:szCs w:val="18"/>
                <w:vertAlign w:val="subscript"/>
              </w:rPr>
              <w:t>10</w:t>
            </w:r>
          </w:p>
        </w:tc>
        <w:tc>
          <w:tcPr>
            <w:tcW w:w="1389" w:type="dxa"/>
            <w:vAlign w:val="center"/>
          </w:tcPr>
          <w:p w14:paraId="16557D97">
            <w:pPr>
              <w:tabs>
                <w:tab w:val="left" w:pos="2310"/>
              </w:tabs>
              <w:spacing w:line="240" w:lineRule="atLeast"/>
              <w:jc w:val="center"/>
              <w:textAlignment w:val="center"/>
              <w:rPr>
                <w:color w:val="000000"/>
                <w:kern w:val="0"/>
                <w:sz w:val="18"/>
                <w:szCs w:val="18"/>
              </w:rPr>
            </w:pPr>
            <w:r>
              <w:rPr>
                <w:color w:val="000000"/>
                <w:kern w:val="0"/>
                <w:sz w:val="18"/>
                <w:szCs w:val="18"/>
              </w:rPr>
              <w:t>0.0075</w:t>
            </w:r>
          </w:p>
        </w:tc>
      </w:tr>
    </w:tbl>
    <w:p w14:paraId="454904F3">
      <w:pPr>
        <w:numPr>
          <w:ilvl w:val="0"/>
          <w:numId w:val="2"/>
        </w:numPr>
        <w:ind w:firstLine="480"/>
        <w:rPr>
          <w:color w:val="000000"/>
          <w:szCs w:val="24"/>
        </w:rPr>
      </w:pPr>
      <w:r>
        <w:rPr>
          <w:color w:val="000000"/>
          <w:szCs w:val="24"/>
        </w:rPr>
        <w:t>估算模型计算</w:t>
      </w:r>
    </w:p>
    <w:p w14:paraId="38F21B79">
      <w:pPr>
        <w:pStyle w:val="31"/>
        <w:spacing w:after="0"/>
        <w:ind w:firstLine="482"/>
        <w:rPr>
          <w:color w:val="000000"/>
        </w:rPr>
      </w:pPr>
      <w:r>
        <w:rPr>
          <w:color w:val="000000"/>
        </w:rPr>
        <w:t>评价等级判别表及</w:t>
      </w:r>
      <w:r>
        <w:rPr>
          <w:color w:val="000000"/>
          <w:szCs w:val="24"/>
        </w:rPr>
        <w:t>污染源及估算模式参数见表</w:t>
      </w:r>
      <w:r>
        <w:rPr>
          <w:color w:val="000000"/>
        </w:rPr>
        <w:t>1.4.1-2、</w:t>
      </w:r>
      <w:r>
        <w:rPr>
          <w:color w:val="000000"/>
          <w:szCs w:val="24"/>
        </w:rPr>
        <w:t>1.4.1-3。</w:t>
      </w:r>
    </w:p>
    <w:p w14:paraId="38E48AC7">
      <w:pPr>
        <w:jc w:val="center"/>
        <w:rPr>
          <w:color w:val="000000"/>
        </w:rPr>
      </w:pPr>
      <w:r>
        <w:rPr>
          <w:color w:val="000000"/>
        </w:rPr>
        <w:t>表1.4.1-2  评价等级判别表</w:t>
      </w:r>
    </w:p>
    <w:tbl>
      <w:tblPr>
        <w:tblStyle w:val="7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8"/>
        <w:gridCol w:w="5169"/>
      </w:tblGrid>
      <w:tr w14:paraId="31A8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778" w:type="dxa"/>
            <w:vAlign w:val="center"/>
          </w:tcPr>
          <w:p w14:paraId="6B92FDB4">
            <w:pPr>
              <w:jc w:val="center"/>
              <w:rPr>
                <w:color w:val="000000"/>
              </w:rPr>
            </w:pPr>
            <w:r>
              <w:rPr>
                <w:color w:val="000000"/>
              </w:rPr>
              <w:t>评价工作等级</w:t>
            </w:r>
          </w:p>
        </w:tc>
        <w:tc>
          <w:tcPr>
            <w:tcW w:w="5169" w:type="dxa"/>
            <w:vAlign w:val="center"/>
          </w:tcPr>
          <w:p w14:paraId="43BEBB42">
            <w:pPr>
              <w:jc w:val="center"/>
              <w:rPr>
                <w:color w:val="000000"/>
              </w:rPr>
            </w:pPr>
            <w:r>
              <w:rPr>
                <w:color w:val="000000"/>
              </w:rPr>
              <w:t>评价工作分级判据</w:t>
            </w:r>
          </w:p>
        </w:tc>
      </w:tr>
      <w:tr w14:paraId="15FE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778" w:type="dxa"/>
            <w:vAlign w:val="center"/>
          </w:tcPr>
          <w:p w14:paraId="61F97D0E">
            <w:pPr>
              <w:jc w:val="center"/>
              <w:rPr>
                <w:color w:val="000000"/>
              </w:rPr>
            </w:pPr>
            <w:r>
              <w:rPr>
                <w:color w:val="000000"/>
              </w:rPr>
              <w:t>一级评价</w:t>
            </w:r>
          </w:p>
        </w:tc>
        <w:tc>
          <w:tcPr>
            <w:tcW w:w="5169" w:type="dxa"/>
            <w:vAlign w:val="center"/>
          </w:tcPr>
          <w:p w14:paraId="514DF3BA">
            <w:pPr>
              <w:jc w:val="center"/>
              <w:rPr>
                <w:color w:val="000000"/>
              </w:rPr>
            </w:pPr>
            <w:r>
              <w:rPr>
                <w:color w:val="000000"/>
              </w:rPr>
              <w:t>P</w:t>
            </w:r>
            <w:r>
              <w:rPr>
                <w:color w:val="000000"/>
                <w:vertAlign w:val="subscript"/>
              </w:rPr>
              <w:t>max</w:t>
            </w:r>
            <w:r>
              <w:rPr>
                <w:color w:val="000000"/>
              </w:rPr>
              <w:t>≧10%</w:t>
            </w:r>
          </w:p>
        </w:tc>
      </w:tr>
      <w:tr w14:paraId="612D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778" w:type="dxa"/>
            <w:vAlign w:val="center"/>
          </w:tcPr>
          <w:p w14:paraId="5BC9A888">
            <w:pPr>
              <w:jc w:val="center"/>
              <w:rPr>
                <w:color w:val="000000"/>
              </w:rPr>
            </w:pPr>
            <w:r>
              <w:rPr>
                <w:color w:val="000000"/>
              </w:rPr>
              <w:t>二级评价</w:t>
            </w:r>
          </w:p>
        </w:tc>
        <w:tc>
          <w:tcPr>
            <w:tcW w:w="5169" w:type="dxa"/>
            <w:vAlign w:val="center"/>
          </w:tcPr>
          <w:p w14:paraId="67709F1E">
            <w:pPr>
              <w:jc w:val="center"/>
              <w:rPr>
                <w:color w:val="000000"/>
              </w:rPr>
            </w:pPr>
            <w:r>
              <w:rPr>
                <w:color w:val="000000"/>
              </w:rPr>
              <w:t>1%≦P</w:t>
            </w:r>
            <w:r>
              <w:rPr>
                <w:color w:val="000000"/>
                <w:vertAlign w:val="subscript"/>
              </w:rPr>
              <w:t>max</w:t>
            </w:r>
            <w:r>
              <w:rPr>
                <w:color w:val="000000"/>
              </w:rPr>
              <w:t>&lt;10%</w:t>
            </w:r>
          </w:p>
        </w:tc>
      </w:tr>
      <w:tr w14:paraId="2A08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778" w:type="dxa"/>
            <w:vAlign w:val="center"/>
          </w:tcPr>
          <w:p w14:paraId="7473D694">
            <w:pPr>
              <w:jc w:val="center"/>
              <w:rPr>
                <w:color w:val="000000"/>
              </w:rPr>
            </w:pPr>
            <w:r>
              <w:rPr>
                <w:color w:val="000000"/>
              </w:rPr>
              <w:t>三级评价</w:t>
            </w:r>
          </w:p>
        </w:tc>
        <w:tc>
          <w:tcPr>
            <w:tcW w:w="5169" w:type="dxa"/>
            <w:vAlign w:val="center"/>
          </w:tcPr>
          <w:p w14:paraId="3B0114BD">
            <w:pPr>
              <w:jc w:val="center"/>
              <w:rPr>
                <w:color w:val="000000"/>
              </w:rPr>
            </w:pPr>
            <w:r>
              <w:rPr>
                <w:color w:val="000000"/>
              </w:rPr>
              <w:t>P</w:t>
            </w:r>
            <w:r>
              <w:rPr>
                <w:color w:val="000000"/>
                <w:vertAlign w:val="subscript"/>
              </w:rPr>
              <w:t>max</w:t>
            </w:r>
            <w:r>
              <w:rPr>
                <w:color w:val="000000"/>
              </w:rPr>
              <w:t>&lt;1%</w:t>
            </w:r>
          </w:p>
        </w:tc>
      </w:tr>
    </w:tbl>
    <w:p w14:paraId="70FE83DA">
      <w:pPr>
        <w:jc w:val="center"/>
        <w:rPr>
          <w:color w:val="000000"/>
        </w:rPr>
      </w:pPr>
      <w:r>
        <w:rPr>
          <w:color w:val="000000"/>
        </w:rPr>
        <w:t>表1.4.1-3 项目估算模式参数一览表</w:t>
      </w:r>
    </w:p>
    <w:tbl>
      <w:tblPr>
        <w:tblStyle w:val="7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2983"/>
        <w:gridCol w:w="1529"/>
        <w:gridCol w:w="3459"/>
      </w:tblGrid>
      <w:tr w14:paraId="5F30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245" w:type="pct"/>
            <w:gridSpan w:val="2"/>
            <w:vAlign w:val="center"/>
          </w:tcPr>
          <w:p w14:paraId="06ACCF7E">
            <w:pPr>
              <w:jc w:val="center"/>
              <w:rPr>
                <w:color w:val="000000"/>
                <w:sz w:val="21"/>
              </w:rPr>
            </w:pPr>
            <w:r>
              <w:rPr>
                <w:color w:val="000000"/>
                <w:sz w:val="21"/>
              </w:rPr>
              <w:t>选项</w:t>
            </w:r>
          </w:p>
        </w:tc>
        <w:tc>
          <w:tcPr>
            <w:tcW w:w="844" w:type="pct"/>
            <w:vAlign w:val="center"/>
          </w:tcPr>
          <w:p w14:paraId="4F44810F">
            <w:pPr>
              <w:jc w:val="center"/>
              <w:rPr>
                <w:color w:val="000000"/>
                <w:sz w:val="21"/>
              </w:rPr>
            </w:pPr>
            <w:r>
              <w:rPr>
                <w:color w:val="000000"/>
                <w:sz w:val="21"/>
              </w:rPr>
              <w:t>取值</w:t>
            </w:r>
          </w:p>
        </w:tc>
        <w:tc>
          <w:tcPr>
            <w:tcW w:w="1910" w:type="pct"/>
            <w:vAlign w:val="center"/>
          </w:tcPr>
          <w:p w14:paraId="21E67F04">
            <w:pPr>
              <w:jc w:val="center"/>
              <w:rPr>
                <w:color w:val="000000"/>
                <w:sz w:val="21"/>
              </w:rPr>
            </w:pPr>
            <w:r>
              <w:rPr>
                <w:color w:val="000000"/>
                <w:sz w:val="21"/>
              </w:rPr>
              <w:t>参数</w:t>
            </w:r>
          </w:p>
        </w:tc>
      </w:tr>
      <w:tr w14:paraId="162A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Merge w:val="restart"/>
            <w:vAlign w:val="center"/>
          </w:tcPr>
          <w:p w14:paraId="134CC8A9">
            <w:pPr>
              <w:jc w:val="center"/>
              <w:rPr>
                <w:color w:val="000000"/>
                <w:sz w:val="21"/>
              </w:rPr>
            </w:pPr>
            <w:r>
              <w:rPr>
                <w:color w:val="000000"/>
                <w:sz w:val="21"/>
              </w:rPr>
              <w:t>城市/农村选项</w:t>
            </w:r>
          </w:p>
        </w:tc>
        <w:tc>
          <w:tcPr>
            <w:tcW w:w="1646" w:type="pct"/>
            <w:vAlign w:val="center"/>
          </w:tcPr>
          <w:p w14:paraId="0095EF84">
            <w:pPr>
              <w:jc w:val="center"/>
              <w:rPr>
                <w:color w:val="000000"/>
                <w:sz w:val="21"/>
              </w:rPr>
            </w:pPr>
            <w:r>
              <w:rPr>
                <w:color w:val="000000"/>
                <w:sz w:val="21"/>
              </w:rPr>
              <w:t>城市/农村</w:t>
            </w:r>
          </w:p>
        </w:tc>
        <w:tc>
          <w:tcPr>
            <w:tcW w:w="844" w:type="pct"/>
            <w:vAlign w:val="center"/>
          </w:tcPr>
          <w:p w14:paraId="67047CCF">
            <w:pPr>
              <w:jc w:val="center"/>
              <w:rPr>
                <w:color w:val="000000"/>
                <w:sz w:val="21"/>
              </w:rPr>
            </w:pPr>
            <w:r>
              <w:rPr>
                <w:color w:val="000000"/>
                <w:sz w:val="21"/>
              </w:rPr>
              <w:t>城市</w:t>
            </w:r>
          </w:p>
        </w:tc>
        <w:tc>
          <w:tcPr>
            <w:tcW w:w="1910" w:type="pct"/>
            <w:vAlign w:val="center"/>
          </w:tcPr>
          <w:p w14:paraId="1F0FC5AE">
            <w:pPr>
              <w:spacing w:line="240" w:lineRule="auto"/>
              <w:jc w:val="center"/>
              <w:rPr>
                <w:color w:val="000000"/>
                <w:sz w:val="21"/>
              </w:rPr>
            </w:pPr>
            <w:r>
              <w:rPr>
                <w:bCs/>
                <w:color w:val="000000"/>
                <w:sz w:val="21"/>
              </w:rPr>
              <w:t>拟建项目厂界外3km范围内，一半以上为园区已建及规划工业建设用地，因此判断为城市类型</w:t>
            </w:r>
          </w:p>
        </w:tc>
      </w:tr>
      <w:tr w14:paraId="0A3A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98" w:type="pct"/>
            <w:vMerge w:val="continue"/>
            <w:vAlign w:val="center"/>
          </w:tcPr>
          <w:p w14:paraId="620BCCD4">
            <w:pPr>
              <w:rPr>
                <w:color w:val="000000"/>
                <w:sz w:val="21"/>
              </w:rPr>
            </w:pPr>
          </w:p>
        </w:tc>
        <w:tc>
          <w:tcPr>
            <w:tcW w:w="1646" w:type="pct"/>
            <w:vAlign w:val="center"/>
          </w:tcPr>
          <w:p w14:paraId="2F41EBDD">
            <w:pPr>
              <w:jc w:val="center"/>
              <w:rPr>
                <w:color w:val="000000"/>
                <w:sz w:val="21"/>
              </w:rPr>
            </w:pPr>
            <w:r>
              <w:rPr>
                <w:color w:val="000000"/>
                <w:sz w:val="21"/>
              </w:rPr>
              <w:t>人口数（城市选项时）</w:t>
            </w:r>
          </w:p>
        </w:tc>
        <w:tc>
          <w:tcPr>
            <w:tcW w:w="844" w:type="pct"/>
            <w:vAlign w:val="center"/>
          </w:tcPr>
          <w:p w14:paraId="7BCEF52C">
            <w:pPr>
              <w:jc w:val="center"/>
              <w:rPr>
                <w:color w:val="000000"/>
                <w:sz w:val="21"/>
              </w:rPr>
            </w:pPr>
            <w:r>
              <w:rPr>
                <w:color w:val="000000"/>
                <w:sz w:val="21"/>
              </w:rPr>
              <w:t>111.5万人</w:t>
            </w:r>
          </w:p>
        </w:tc>
        <w:tc>
          <w:tcPr>
            <w:tcW w:w="1910" w:type="pct"/>
            <w:vAlign w:val="center"/>
          </w:tcPr>
          <w:p w14:paraId="0C0BBC15">
            <w:pPr>
              <w:spacing w:line="240" w:lineRule="auto"/>
              <w:jc w:val="center"/>
              <w:rPr>
                <w:color w:val="000000"/>
                <w:sz w:val="21"/>
              </w:rPr>
            </w:pPr>
            <w:r>
              <w:rPr>
                <w:bCs/>
                <w:color w:val="000000"/>
                <w:sz w:val="21"/>
              </w:rPr>
              <w:t>项目位于涪陵区，常</w:t>
            </w:r>
            <w:r>
              <w:rPr>
                <w:rFonts w:hint="eastAsia"/>
                <w:bCs/>
                <w:color w:val="000000"/>
                <w:sz w:val="21"/>
              </w:rPr>
              <w:t>住</w:t>
            </w:r>
            <w:r>
              <w:rPr>
                <w:bCs/>
                <w:color w:val="000000"/>
                <w:sz w:val="21"/>
              </w:rPr>
              <w:t>人口约111.5万人</w:t>
            </w:r>
          </w:p>
        </w:tc>
      </w:tr>
      <w:tr w14:paraId="4049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245" w:type="pct"/>
            <w:gridSpan w:val="2"/>
            <w:vAlign w:val="center"/>
          </w:tcPr>
          <w:p w14:paraId="7EB85340">
            <w:pPr>
              <w:jc w:val="center"/>
              <w:rPr>
                <w:color w:val="000000"/>
                <w:sz w:val="21"/>
              </w:rPr>
            </w:pPr>
            <w:r>
              <w:rPr>
                <w:color w:val="000000"/>
                <w:sz w:val="21"/>
              </w:rPr>
              <w:t>最高环境温度/℃</w:t>
            </w:r>
          </w:p>
        </w:tc>
        <w:tc>
          <w:tcPr>
            <w:tcW w:w="844" w:type="pct"/>
            <w:vAlign w:val="center"/>
          </w:tcPr>
          <w:p w14:paraId="5DE5237D">
            <w:pPr>
              <w:jc w:val="center"/>
              <w:rPr>
                <w:color w:val="000000"/>
                <w:sz w:val="21"/>
              </w:rPr>
            </w:pPr>
            <w:r>
              <w:rPr>
                <w:color w:val="000000"/>
                <w:sz w:val="21"/>
              </w:rPr>
              <w:t>42.2</w:t>
            </w:r>
          </w:p>
        </w:tc>
        <w:tc>
          <w:tcPr>
            <w:tcW w:w="1910" w:type="pct"/>
            <w:vAlign w:val="center"/>
          </w:tcPr>
          <w:p w14:paraId="148189E2">
            <w:pPr>
              <w:spacing w:line="240" w:lineRule="auto"/>
              <w:jc w:val="center"/>
              <w:rPr>
                <w:color w:val="000000"/>
                <w:sz w:val="21"/>
              </w:rPr>
            </w:pPr>
            <w:r>
              <w:rPr>
                <w:bCs/>
                <w:color w:val="000000"/>
                <w:sz w:val="21"/>
              </w:rPr>
              <w:t>来自20a气候统计资料</w:t>
            </w:r>
          </w:p>
        </w:tc>
      </w:tr>
      <w:tr w14:paraId="6B5A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245" w:type="pct"/>
            <w:gridSpan w:val="2"/>
            <w:vAlign w:val="center"/>
          </w:tcPr>
          <w:p w14:paraId="0DD79077">
            <w:pPr>
              <w:jc w:val="center"/>
              <w:rPr>
                <w:color w:val="000000"/>
                <w:sz w:val="21"/>
              </w:rPr>
            </w:pPr>
            <w:r>
              <w:rPr>
                <w:color w:val="000000"/>
                <w:sz w:val="21"/>
              </w:rPr>
              <w:t>最低环境温度/℃</w:t>
            </w:r>
          </w:p>
        </w:tc>
        <w:tc>
          <w:tcPr>
            <w:tcW w:w="844" w:type="pct"/>
            <w:vAlign w:val="center"/>
          </w:tcPr>
          <w:p w14:paraId="2403A4D0">
            <w:pPr>
              <w:jc w:val="center"/>
              <w:rPr>
                <w:color w:val="000000"/>
                <w:sz w:val="21"/>
              </w:rPr>
            </w:pPr>
            <w:r>
              <w:rPr>
                <w:color w:val="000000"/>
                <w:sz w:val="21"/>
              </w:rPr>
              <w:t>-2.2</w:t>
            </w:r>
          </w:p>
        </w:tc>
        <w:tc>
          <w:tcPr>
            <w:tcW w:w="1910" w:type="pct"/>
            <w:vAlign w:val="center"/>
          </w:tcPr>
          <w:p w14:paraId="3EE0FEA5">
            <w:pPr>
              <w:spacing w:line="240" w:lineRule="auto"/>
              <w:jc w:val="center"/>
              <w:rPr>
                <w:color w:val="000000"/>
                <w:sz w:val="21"/>
              </w:rPr>
            </w:pPr>
            <w:r>
              <w:rPr>
                <w:bCs/>
                <w:color w:val="000000"/>
                <w:sz w:val="21"/>
              </w:rPr>
              <w:t>/</w:t>
            </w:r>
          </w:p>
        </w:tc>
      </w:tr>
      <w:tr w14:paraId="6846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245" w:type="pct"/>
            <w:gridSpan w:val="2"/>
            <w:vAlign w:val="center"/>
          </w:tcPr>
          <w:p w14:paraId="4A605C1D">
            <w:pPr>
              <w:jc w:val="center"/>
              <w:rPr>
                <w:color w:val="000000"/>
                <w:sz w:val="21"/>
              </w:rPr>
            </w:pPr>
            <w:r>
              <w:rPr>
                <w:color w:val="000000"/>
                <w:sz w:val="21"/>
              </w:rPr>
              <w:t>土地利用类型</w:t>
            </w:r>
          </w:p>
        </w:tc>
        <w:tc>
          <w:tcPr>
            <w:tcW w:w="844" w:type="pct"/>
            <w:vAlign w:val="center"/>
          </w:tcPr>
          <w:p w14:paraId="7E599634">
            <w:pPr>
              <w:jc w:val="center"/>
              <w:rPr>
                <w:color w:val="000000"/>
                <w:sz w:val="21"/>
              </w:rPr>
            </w:pPr>
            <w:r>
              <w:rPr>
                <w:color w:val="000000"/>
                <w:sz w:val="21"/>
              </w:rPr>
              <w:t>城市</w:t>
            </w:r>
          </w:p>
        </w:tc>
        <w:tc>
          <w:tcPr>
            <w:tcW w:w="1910" w:type="pct"/>
            <w:vAlign w:val="center"/>
          </w:tcPr>
          <w:p w14:paraId="10B6E2D4">
            <w:pPr>
              <w:jc w:val="center"/>
              <w:rPr>
                <w:color w:val="000000"/>
                <w:sz w:val="21"/>
              </w:rPr>
            </w:pPr>
            <w:r>
              <w:rPr>
                <w:color w:val="000000"/>
                <w:sz w:val="21"/>
              </w:rPr>
              <w:t>/</w:t>
            </w:r>
          </w:p>
        </w:tc>
      </w:tr>
      <w:tr w14:paraId="5539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5" w:type="pct"/>
            <w:gridSpan w:val="2"/>
            <w:vAlign w:val="center"/>
          </w:tcPr>
          <w:p w14:paraId="7FC55C34">
            <w:pPr>
              <w:jc w:val="center"/>
              <w:rPr>
                <w:color w:val="000000"/>
                <w:sz w:val="21"/>
              </w:rPr>
            </w:pPr>
            <w:r>
              <w:rPr>
                <w:color w:val="000000"/>
                <w:sz w:val="21"/>
              </w:rPr>
              <w:t>区域湿度条件</w:t>
            </w:r>
          </w:p>
        </w:tc>
        <w:tc>
          <w:tcPr>
            <w:tcW w:w="844" w:type="pct"/>
            <w:vAlign w:val="center"/>
          </w:tcPr>
          <w:p w14:paraId="20B305F0">
            <w:pPr>
              <w:spacing w:line="240" w:lineRule="auto"/>
              <w:jc w:val="center"/>
              <w:rPr>
                <w:color w:val="000000"/>
                <w:sz w:val="21"/>
              </w:rPr>
            </w:pPr>
            <w:r>
              <w:rPr>
                <w:color w:val="000000"/>
                <w:sz w:val="21"/>
              </w:rPr>
              <w:t>湿润区</w:t>
            </w:r>
          </w:p>
        </w:tc>
        <w:tc>
          <w:tcPr>
            <w:tcW w:w="1910" w:type="pct"/>
            <w:vAlign w:val="center"/>
          </w:tcPr>
          <w:p w14:paraId="37C1CD39">
            <w:pPr>
              <w:jc w:val="center"/>
              <w:rPr>
                <w:color w:val="000000"/>
                <w:sz w:val="21"/>
              </w:rPr>
            </w:pPr>
            <w:r>
              <w:rPr>
                <w:bCs/>
                <w:color w:val="000000"/>
                <w:sz w:val="21"/>
              </w:rPr>
              <w:t>项目所在地地属重庆涪陵区，属于亚热带季风性湿润气候，区域湿度条件选取为潮湿气候。</w:t>
            </w:r>
          </w:p>
        </w:tc>
      </w:tr>
      <w:tr w14:paraId="73D3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Merge w:val="restart"/>
            <w:vAlign w:val="center"/>
          </w:tcPr>
          <w:p w14:paraId="2D346B2B">
            <w:pPr>
              <w:jc w:val="center"/>
              <w:rPr>
                <w:color w:val="000000"/>
                <w:sz w:val="21"/>
              </w:rPr>
            </w:pPr>
            <w:r>
              <w:rPr>
                <w:color w:val="000000"/>
                <w:sz w:val="21"/>
              </w:rPr>
              <w:t>是否考虑地形</w:t>
            </w:r>
          </w:p>
        </w:tc>
        <w:tc>
          <w:tcPr>
            <w:tcW w:w="1646" w:type="pct"/>
            <w:vAlign w:val="center"/>
          </w:tcPr>
          <w:p w14:paraId="191DF057">
            <w:pPr>
              <w:jc w:val="center"/>
              <w:rPr>
                <w:color w:val="000000"/>
                <w:sz w:val="21"/>
              </w:rPr>
            </w:pPr>
            <w:r>
              <w:rPr>
                <w:color w:val="000000"/>
                <w:sz w:val="21"/>
              </w:rPr>
              <w:t>考虑地形</w:t>
            </w:r>
          </w:p>
        </w:tc>
        <w:tc>
          <w:tcPr>
            <w:tcW w:w="844" w:type="pct"/>
            <w:vAlign w:val="center"/>
          </w:tcPr>
          <w:p w14:paraId="7DE66353">
            <w:pPr>
              <w:spacing w:line="240" w:lineRule="auto"/>
              <w:jc w:val="center"/>
              <w:rPr>
                <w:color w:val="000000"/>
                <w:sz w:val="21"/>
              </w:rPr>
            </w:pPr>
            <w:r>
              <w:rPr>
                <w:color w:val="000000"/>
                <w:sz w:val="21"/>
              </w:rPr>
              <w:t>是</w:t>
            </w:r>
          </w:p>
        </w:tc>
        <w:tc>
          <w:tcPr>
            <w:tcW w:w="1910" w:type="pct"/>
            <w:vAlign w:val="center"/>
          </w:tcPr>
          <w:p w14:paraId="5B98FD2D">
            <w:pPr>
              <w:jc w:val="center"/>
              <w:rPr>
                <w:color w:val="000000"/>
                <w:sz w:val="21"/>
              </w:rPr>
            </w:pPr>
            <w:r>
              <w:rPr>
                <w:color w:val="000000"/>
                <w:sz w:val="21"/>
              </w:rPr>
              <w:t xml:space="preserve">■是   </w:t>
            </w:r>
            <w:r>
              <w:rPr>
                <w:color w:val="000000"/>
                <w:sz w:val="21"/>
              </w:rPr>
              <w:sym w:font="Wingdings 2" w:char="00A3"/>
            </w:r>
            <w:r>
              <w:rPr>
                <w:color w:val="000000"/>
                <w:sz w:val="21"/>
              </w:rPr>
              <w:t>否</w:t>
            </w:r>
          </w:p>
          <w:p w14:paraId="5180B220">
            <w:pPr>
              <w:jc w:val="center"/>
              <w:rPr>
                <w:color w:val="000000"/>
                <w:sz w:val="21"/>
              </w:rPr>
            </w:pPr>
            <w:r>
              <w:rPr>
                <w:bCs/>
                <w:color w:val="000000"/>
                <w:sz w:val="21"/>
              </w:rPr>
              <w:t>项目为报告书，需考虑地形因素</w:t>
            </w:r>
          </w:p>
        </w:tc>
      </w:tr>
      <w:tr w14:paraId="10C2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98" w:type="pct"/>
            <w:vMerge w:val="continue"/>
            <w:vAlign w:val="center"/>
          </w:tcPr>
          <w:p w14:paraId="50F7C6AD">
            <w:pPr>
              <w:rPr>
                <w:color w:val="000000"/>
                <w:sz w:val="21"/>
              </w:rPr>
            </w:pPr>
          </w:p>
        </w:tc>
        <w:tc>
          <w:tcPr>
            <w:tcW w:w="1646" w:type="pct"/>
            <w:vAlign w:val="center"/>
          </w:tcPr>
          <w:p w14:paraId="61DBD8A3">
            <w:pPr>
              <w:jc w:val="center"/>
              <w:rPr>
                <w:color w:val="000000"/>
                <w:sz w:val="21"/>
              </w:rPr>
            </w:pPr>
            <w:r>
              <w:rPr>
                <w:color w:val="000000"/>
                <w:sz w:val="21"/>
              </w:rPr>
              <w:t>地形数据分辨率/m</w:t>
            </w:r>
          </w:p>
        </w:tc>
        <w:tc>
          <w:tcPr>
            <w:tcW w:w="844" w:type="pct"/>
            <w:vAlign w:val="center"/>
          </w:tcPr>
          <w:p w14:paraId="2978FA75">
            <w:pPr>
              <w:spacing w:line="240" w:lineRule="auto"/>
              <w:jc w:val="center"/>
              <w:rPr>
                <w:color w:val="000000"/>
                <w:sz w:val="21"/>
              </w:rPr>
            </w:pPr>
            <w:r>
              <w:rPr>
                <w:color w:val="000000"/>
                <w:sz w:val="21"/>
              </w:rPr>
              <w:t>/</w:t>
            </w:r>
          </w:p>
        </w:tc>
        <w:tc>
          <w:tcPr>
            <w:tcW w:w="1910" w:type="pct"/>
            <w:vAlign w:val="center"/>
          </w:tcPr>
          <w:p w14:paraId="7E8DBDBC">
            <w:pPr>
              <w:jc w:val="center"/>
              <w:rPr>
                <w:color w:val="000000"/>
                <w:sz w:val="21"/>
              </w:rPr>
            </w:pPr>
            <w:r>
              <w:rPr>
                <w:color w:val="000000"/>
                <w:sz w:val="21"/>
              </w:rPr>
              <w:t>/</w:t>
            </w:r>
          </w:p>
        </w:tc>
      </w:tr>
      <w:tr w14:paraId="7D07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98" w:type="pct"/>
            <w:vMerge w:val="restart"/>
            <w:vAlign w:val="center"/>
          </w:tcPr>
          <w:p w14:paraId="026B08F8">
            <w:pPr>
              <w:jc w:val="center"/>
              <w:rPr>
                <w:color w:val="000000"/>
                <w:sz w:val="21"/>
              </w:rPr>
            </w:pPr>
            <w:r>
              <w:rPr>
                <w:color w:val="000000"/>
                <w:sz w:val="21"/>
              </w:rPr>
              <w:t>是否考虑海岸线熏烟</w:t>
            </w:r>
          </w:p>
        </w:tc>
        <w:tc>
          <w:tcPr>
            <w:tcW w:w="1646" w:type="pct"/>
            <w:vAlign w:val="center"/>
          </w:tcPr>
          <w:p w14:paraId="2BBCEB57">
            <w:pPr>
              <w:jc w:val="center"/>
              <w:rPr>
                <w:color w:val="000000"/>
                <w:sz w:val="21"/>
              </w:rPr>
            </w:pPr>
            <w:r>
              <w:rPr>
                <w:color w:val="000000"/>
                <w:sz w:val="21"/>
              </w:rPr>
              <w:t>考虑海岸线熏烟</w:t>
            </w:r>
          </w:p>
        </w:tc>
        <w:tc>
          <w:tcPr>
            <w:tcW w:w="844" w:type="pct"/>
            <w:vAlign w:val="center"/>
          </w:tcPr>
          <w:p w14:paraId="7AACE8A8">
            <w:pPr>
              <w:spacing w:line="240" w:lineRule="auto"/>
              <w:jc w:val="center"/>
              <w:rPr>
                <w:color w:val="000000"/>
                <w:sz w:val="21"/>
              </w:rPr>
            </w:pPr>
            <w:r>
              <w:rPr>
                <w:color w:val="000000"/>
                <w:sz w:val="21"/>
              </w:rPr>
              <w:t>否</w:t>
            </w:r>
          </w:p>
        </w:tc>
        <w:tc>
          <w:tcPr>
            <w:tcW w:w="1910" w:type="pct"/>
            <w:vAlign w:val="center"/>
          </w:tcPr>
          <w:p w14:paraId="11EB70B9">
            <w:pPr>
              <w:jc w:val="center"/>
              <w:rPr>
                <w:color w:val="000000"/>
                <w:sz w:val="21"/>
              </w:rPr>
            </w:pPr>
            <w:r>
              <w:rPr>
                <w:color w:val="000000"/>
                <w:sz w:val="21"/>
              </w:rPr>
              <w:t>□是   ■否</w:t>
            </w:r>
          </w:p>
          <w:p w14:paraId="08E086F0">
            <w:pPr>
              <w:jc w:val="center"/>
              <w:rPr>
                <w:color w:val="000000"/>
                <w:sz w:val="21"/>
              </w:rPr>
            </w:pPr>
            <w:r>
              <w:rPr>
                <w:bCs/>
                <w:color w:val="000000"/>
                <w:sz w:val="21"/>
              </w:rPr>
              <w:t>污染源附近3km范围内无大型水体（湖、海），故不考虑岸线熏烟</w:t>
            </w:r>
          </w:p>
        </w:tc>
      </w:tr>
      <w:tr w14:paraId="2965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98" w:type="pct"/>
            <w:vMerge w:val="continue"/>
            <w:vAlign w:val="center"/>
          </w:tcPr>
          <w:p w14:paraId="4C235265">
            <w:pPr>
              <w:rPr>
                <w:color w:val="000000"/>
                <w:sz w:val="21"/>
              </w:rPr>
            </w:pPr>
          </w:p>
        </w:tc>
        <w:tc>
          <w:tcPr>
            <w:tcW w:w="1646" w:type="pct"/>
            <w:vAlign w:val="center"/>
          </w:tcPr>
          <w:p w14:paraId="77423A0F">
            <w:pPr>
              <w:jc w:val="center"/>
              <w:rPr>
                <w:color w:val="000000"/>
                <w:sz w:val="21"/>
              </w:rPr>
            </w:pPr>
            <w:r>
              <w:rPr>
                <w:color w:val="000000"/>
                <w:sz w:val="21"/>
              </w:rPr>
              <w:t>岸线距离/km</w:t>
            </w:r>
          </w:p>
        </w:tc>
        <w:tc>
          <w:tcPr>
            <w:tcW w:w="844" w:type="pct"/>
            <w:vAlign w:val="center"/>
          </w:tcPr>
          <w:p w14:paraId="0B9922ED">
            <w:pPr>
              <w:jc w:val="center"/>
              <w:rPr>
                <w:color w:val="000000"/>
                <w:sz w:val="21"/>
              </w:rPr>
            </w:pPr>
            <w:r>
              <w:rPr>
                <w:color w:val="000000"/>
                <w:sz w:val="21"/>
              </w:rPr>
              <w:t>/</w:t>
            </w:r>
          </w:p>
        </w:tc>
        <w:tc>
          <w:tcPr>
            <w:tcW w:w="1910" w:type="pct"/>
            <w:vAlign w:val="center"/>
          </w:tcPr>
          <w:p w14:paraId="23B1A217">
            <w:pPr>
              <w:jc w:val="center"/>
              <w:rPr>
                <w:color w:val="000000"/>
                <w:sz w:val="21"/>
              </w:rPr>
            </w:pPr>
            <w:r>
              <w:rPr>
                <w:color w:val="000000"/>
                <w:sz w:val="21"/>
              </w:rPr>
              <w:t>/</w:t>
            </w:r>
          </w:p>
        </w:tc>
      </w:tr>
      <w:tr w14:paraId="78F6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98" w:type="pct"/>
            <w:vMerge w:val="continue"/>
            <w:vAlign w:val="center"/>
          </w:tcPr>
          <w:p w14:paraId="2E59C231">
            <w:pPr>
              <w:rPr>
                <w:color w:val="000000"/>
                <w:sz w:val="21"/>
              </w:rPr>
            </w:pPr>
          </w:p>
        </w:tc>
        <w:tc>
          <w:tcPr>
            <w:tcW w:w="1646" w:type="pct"/>
            <w:vAlign w:val="center"/>
          </w:tcPr>
          <w:p w14:paraId="04E42E94">
            <w:pPr>
              <w:jc w:val="center"/>
              <w:rPr>
                <w:color w:val="000000"/>
                <w:sz w:val="21"/>
              </w:rPr>
            </w:pPr>
            <w:r>
              <w:rPr>
                <w:color w:val="000000"/>
                <w:sz w:val="21"/>
              </w:rPr>
              <w:t>岸线方向/°</w:t>
            </w:r>
          </w:p>
        </w:tc>
        <w:tc>
          <w:tcPr>
            <w:tcW w:w="844" w:type="pct"/>
            <w:vAlign w:val="center"/>
          </w:tcPr>
          <w:p w14:paraId="2B9FE6CD">
            <w:pPr>
              <w:jc w:val="center"/>
              <w:rPr>
                <w:color w:val="000000"/>
                <w:sz w:val="21"/>
              </w:rPr>
            </w:pPr>
            <w:r>
              <w:rPr>
                <w:color w:val="000000"/>
                <w:sz w:val="21"/>
              </w:rPr>
              <w:t>/</w:t>
            </w:r>
          </w:p>
        </w:tc>
        <w:tc>
          <w:tcPr>
            <w:tcW w:w="1910" w:type="pct"/>
            <w:vAlign w:val="center"/>
          </w:tcPr>
          <w:p w14:paraId="2EB6C9B0">
            <w:pPr>
              <w:jc w:val="center"/>
              <w:rPr>
                <w:color w:val="000000"/>
                <w:sz w:val="21"/>
              </w:rPr>
            </w:pPr>
            <w:r>
              <w:rPr>
                <w:color w:val="000000"/>
                <w:sz w:val="21"/>
              </w:rPr>
              <w:t>/</w:t>
            </w:r>
          </w:p>
        </w:tc>
      </w:tr>
    </w:tbl>
    <w:p w14:paraId="1CF21775">
      <w:pPr>
        <w:ind w:firstLine="480" w:firstLineChars="200"/>
        <w:rPr>
          <w:color w:val="000000"/>
        </w:rPr>
      </w:pPr>
      <w:r>
        <w:rPr>
          <w:color w:val="000000"/>
        </w:rPr>
        <w:t>主要污染物估算模型计算结果见表1.4.1-4。</w:t>
      </w:r>
    </w:p>
    <w:p w14:paraId="0093B853">
      <w:pPr>
        <w:jc w:val="center"/>
        <w:rPr>
          <w:b/>
          <w:bCs/>
          <w:color w:val="000000"/>
          <w:szCs w:val="24"/>
        </w:rPr>
      </w:pPr>
      <w:r>
        <w:rPr>
          <w:color w:val="000000"/>
        </w:rPr>
        <w:t xml:space="preserve">表1.4.1-4 </w:t>
      </w:r>
      <w:r>
        <w:rPr>
          <w:color w:val="000000"/>
          <w:szCs w:val="24"/>
        </w:rPr>
        <w:t>估算模型计算结果表</w:t>
      </w:r>
    </w:p>
    <w:tbl>
      <w:tblPr>
        <w:tblStyle w:val="7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2190"/>
        <w:gridCol w:w="964"/>
        <w:gridCol w:w="1810"/>
        <w:gridCol w:w="1908"/>
        <w:gridCol w:w="858"/>
      </w:tblGrid>
      <w:tr w14:paraId="7C28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31" w:type="pct"/>
            <w:vAlign w:val="center"/>
          </w:tcPr>
          <w:p w14:paraId="3994BFB9">
            <w:pPr>
              <w:spacing w:line="220" w:lineRule="exact"/>
              <w:jc w:val="center"/>
              <w:rPr>
                <w:color w:val="000000"/>
                <w:sz w:val="21"/>
              </w:rPr>
            </w:pPr>
            <w:r>
              <w:rPr>
                <w:color w:val="000000"/>
                <w:sz w:val="21"/>
              </w:rPr>
              <w:t>污染源</w:t>
            </w:r>
          </w:p>
        </w:tc>
        <w:tc>
          <w:tcPr>
            <w:tcW w:w="1209" w:type="pct"/>
            <w:vAlign w:val="center"/>
          </w:tcPr>
          <w:p w14:paraId="2743E5E0">
            <w:pPr>
              <w:spacing w:line="220" w:lineRule="exact"/>
              <w:jc w:val="center"/>
              <w:rPr>
                <w:color w:val="000000"/>
                <w:sz w:val="21"/>
              </w:rPr>
            </w:pPr>
            <w:r>
              <w:rPr>
                <w:color w:val="000000"/>
                <w:sz w:val="21"/>
              </w:rPr>
              <w:t>污染因子</w:t>
            </w:r>
          </w:p>
        </w:tc>
        <w:tc>
          <w:tcPr>
            <w:tcW w:w="532" w:type="pct"/>
            <w:vAlign w:val="center"/>
          </w:tcPr>
          <w:p w14:paraId="025FB2CF">
            <w:pPr>
              <w:spacing w:line="220" w:lineRule="exact"/>
              <w:jc w:val="center"/>
              <w:rPr>
                <w:color w:val="000000"/>
                <w:sz w:val="21"/>
              </w:rPr>
            </w:pPr>
            <w:r>
              <w:rPr>
                <w:color w:val="000000"/>
                <w:sz w:val="21"/>
              </w:rPr>
              <w:t>最大浓度落地点（m）</w:t>
            </w:r>
          </w:p>
        </w:tc>
        <w:tc>
          <w:tcPr>
            <w:tcW w:w="999" w:type="pct"/>
            <w:vAlign w:val="center"/>
          </w:tcPr>
          <w:p w14:paraId="2ACA9034">
            <w:pPr>
              <w:spacing w:line="220" w:lineRule="exact"/>
              <w:jc w:val="center"/>
              <w:rPr>
                <w:color w:val="000000"/>
                <w:sz w:val="21"/>
              </w:rPr>
            </w:pPr>
            <w:r>
              <w:rPr>
                <w:color w:val="000000"/>
                <w:sz w:val="21"/>
              </w:rPr>
              <w:t>Cmax</w:t>
            </w:r>
          </w:p>
          <w:p w14:paraId="0E8403F7">
            <w:pPr>
              <w:spacing w:line="220" w:lineRule="exact"/>
              <w:jc w:val="center"/>
              <w:rPr>
                <w:color w:val="000000"/>
                <w:sz w:val="21"/>
              </w:rPr>
            </w:pPr>
            <w:r>
              <w:rPr>
                <w:color w:val="000000"/>
                <w:sz w:val="21"/>
              </w:rPr>
              <w:t>（mg/m</w:t>
            </w:r>
            <w:r>
              <w:rPr>
                <w:color w:val="000000"/>
                <w:sz w:val="21"/>
                <w:vertAlign w:val="superscript"/>
              </w:rPr>
              <w:t>3</w:t>
            </w:r>
            <w:r>
              <w:rPr>
                <w:color w:val="000000"/>
                <w:sz w:val="21"/>
              </w:rPr>
              <w:t>）</w:t>
            </w:r>
          </w:p>
        </w:tc>
        <w:tc>
          <w:tcPr>
            <w:tcW w:w="1053" w:type="pct"/>
            <w:vAlign w:val="center"/>
          </w:tcPr>
          <w:p w14:paraId="1BF901E3">
            <w:pPr>
              <w:spacing w:line="220" w:lineRule="exact"/>
              <w:jc w:val="center"/>
              <w:rPr>
                <w:color w:val="000000"/>
                <w:sz w:val="21"/>
              </w:rPr>
            </w:pPr>
            <w:r>
              <w:rPr>
                <w:color w:val="000000"/>
                <w:sz w:val="21"/>
              </w:rPr>
              <w:t>标准值（μg/m</w:t>
            </w:r>
            <w:r>
              <w:rPr>
                <w:color w:val="000000"/>
                <w:sz w:val="21"/>
                <w:vertAlign w:val="superscript"/>
              </w:rPr>
              <w:t>3</w:t>
            </w:r>
            <w:r>
              <w:rPr>
                <w:color w:val="000000"/>
                <w:sz w:val="21"/>
              </w:rPr>
              <w:t>）</w:t>
            </w:r>
          </w:p>
        </w:tc>
        <w:tc>
          <w:tcPr>
            <w:tcW w:w="473" w:type="pct"/>
            <w:vAlign w:val="center"/>
          </w:tcPr>
          <w:p w14:paraId="492FF745">
            <w:pPr>
              <w:spacing w:line="220" w:lineRule="exact"/>
              <w:jc w:val="center"/>
              <w:rPr>
                <w:color w:val="000000"/>
                <w:sz w:val="21"/>
              </w:rPr>
            </w:pPr>
            <w:r>
              <w:rPr>
                <w:color w:val="000000"/>
                <w:sz w:val="21"/>
              </w:rPr>
              <w:t>Pi%</w:t>
            </w:r>
          </w:p>
        </w:tc>
      </w:tr>
      <w:tr w14:paraId="7DCA0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31" w:type="pct"/>
            <w:vMerge w:val="restart"/>
            <w:vAlign w:val="center"/>
          </w:tcPr>
          <w:p w14:paraId="0CE16717">
            <w:pPr>
              <w:spacing w:line="220" w:lineRule="exact"/>
              <w:ind w:firstLine="420" w:firstLineChars="200"/>
              <w:jc w:val="both"/>
              <w:rPr>
                <w:color w:val="000000"/>
                <w:sz w:val="21"/>
              </w:rPr>
            </w:pPr>
            <w:r>
              <w:rPr>
                <w:color w:val="000000"/>
                <w:sz w:val="21"/>
              </w:rPr>
              <w:t>火炬</w:t>
            </w:r>
          </w:p>
        </w:tc>
        <w:tc>
          <w:tcPr>
            <w:tcW w:w="1209" w:type="pct"/>
            <w:vAlign w:val="center"/>
          </w:tcPr>
          <w:p w14:paraId="37DA34C7">
            <w:pPr>
              <w:tabs>
                <w:tab w:val="left" w:pos="2310"/>
              </w:tabs>
              <w:spacing w:line="240" w:lineRule="atLeast"/>
              <w:jc w:val="center"/>
              <w:textAlignment w:val="center"/>
              <w:rPr>
                <w:color w:val="000000"/>
                <w:sz w:val="21"/>
              </w:rPr>
            </w:pPr>
            <w:r>
              <w:rPr>
                <w:color w:val="000000"/>
                <w:sz w:val="21"/>
              </w:rPr>
              <w:t>NO</w:t>
            </w:r>
            <w:r>
              <w:rPr>
                <w:rFonts w:hint="eastAsia"/>
                <w:color w:val="000000"/>
                <w:sz w:val="21"/>
                <w:vertAlign w:val="subscript"/>
              </w:rPr>
              <w:t>x</w:t>
            </w:r>
          </w:p>
        </w:tc>
        <w:tc>
          <w:tcPr>
            <w:tcW w:w="532" w:type="pct"/>
            <w:vAlign w:val="center"/>
          </w:tcPr>
          <w:p w14:paraId="1EF9246D">
            <w:pPr>
              <w:spacing w:line="220" w:lineRule="exact"/>
              <w:jc w:val="center"/>
              <w:rPr>
                <w:color w:val="000000"/>
                <w:sz w:val="21"/>
              </w:rPr>
            </w:pPr>
            <w:r>
              <w:rPr>
                <w:color w:val="000000"/>
                <w:sz w:val="21"/>
              </w:rPr>
              <w:t>577</w:t>
            </w:r>
          </w:p>
        </w:tc>
        <w:tc>
          <w:tcPr>
            <w:tcW w:w="999" w:type="pct"/>
            <w:vAlign w:val="center"/>
          </w:tcPr>
          <w:p w14:paraId="57F64F38">
            <w:pPr>
              <w:spacing w:line="220" w:lineRule="exact"/>
              <w:jc w:val="center"/>
              <w:rPr>
                <w:color w:val="000000"/>
                <w:sz w:val="21"/>
              </w:rPr>
            </w:pPr>
            <w:r>
              <w:rPr>
                <w:color w:val="000000"/>
                <w:sz w:val="21"/>
              </w:rPr>
              <w:t>0.000287</w:t>
            </w:r>
          </w:p>
        </w:tc>
        <w:tc>
          <w:tcPr>
            <w:tcW w:w="1053" w:type="pct"/>
            <w:vAlign w:val="center"/>
          </w:tcPr>
          <w:p w14:paraId="19359BD1">
            <w:pPr>
              <w:spacing w:line="220" w:lineRule="exact"/>
              <w:jc w:val="center"/>
              <w:rPr>
                <w:color w:val="000000"/>
                <w:sz w:val="21"/>
              </w:rPr>
            </w:pPr>
            <w:r>
              <w:rPr>
                <w:rFonts w:hint="eastAsia"/>
                <w:color w:val="000000"/>
                <w:sz w:val="21"/>
              </w:rPr>
              <w:t>250</w:t>
            </w:r>
          </w:p>
        </w:tc>
        <w:tc>
          <w:tcPr>
            <w:tcW w:w="473" w:type="pct"/>
            <w:vAlign w:val="center"/>
          </w:tcPr>
          <w:p w14:paraId="58444C6D">
            <w:pPr>
              <w:spacing w:line="220" w:lineRule="exact"/>
              <w:jc w:val="center"/>
              <w:rPr>
                <w:color w:val="000000"/>
                <w:sz w:val="21"/>
              </w:rPr>
            </w:pPr>
            <w:r>
              <w:rPr>
                <w:color w:val="000000"/>
                <w:sz w:val="21"/>
              </w:rPr>
              <w:t>0.1</w:t>
            </w:r>
            <w:r>
              <w:rPr>
                <w:rFonts w:hint="eastAsia"/>
                <w:color w:val="000000"/>
                <w:sz w:val="21"/>
              </w:rPr>
              <w:t>1</w:t>
            </w:r>
          </w:p>
        </w:tc>
      </w:tr>
      <w:tr w14:paraId="538F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31" w:type="pct"/>
            <w:vMerge w:val="continue"/>
            <w:vAlign w:val="center"/>
          </w:tcPr>
          <w:p w14:paraId="7A0F0ED6">
            <w:pPr>
              <w:spacing w:line="220" w:lineRule="exact"/>
              <w:ind w:firstLine="420" w:firstLineChars="200"/>
              <w:jc w:val="both"/>
              <w:rPr>
                <w:color w:val="000000"/>
                <w:sz w:val="21"/>
              </w:rPr>
            </w:pPr>
          </w:p>
        </w:tc>
        <w:tc>
          <w:tcPr>
            <w:tcW w:w="1209" w:type="pct"/>
            <w:vAlign w:val="center"/>
          </w:tcPr>
          <w:p w14:paraId="62F1D3F1">
            <w:pPr>
              <w:tabs>
                <w:tab w:val="left" w:pos="2310"/>
              </w:tabs>
              <w:spacing w:line="240" w:lineRule="atLeast"/>
              <w:jc w:val="center"/>
              <w:textAlignment w:val="center"/>
              <w:rPr>
                <w:color w:val="000000"/>
                <w:sz w:val="21"/>
              </w:rPr>
            </w:pPr>
            <w:r>
              <w:rPr>
                <w:color w:val="000000"/>
                <w:sz w:val="21"/>
              </w:rPr>
              <w:t>SO</w:t>
            </w:r>
            <w:r>
              <w:rPr>
                <w:color w:val="000000"/>
                <w:sz w:val="21"/>
                <w:vertAlign w:val="subscript"/>
              </w:rPr>
              <w:t>2</w:t>
            </w:r>
          </w:p>
        </w:tc>
        <w:tc>
          <w:tcPr>
            <w:tcW w:w="532" w:type="pct"/>
            <w:vAlign w:val="center"/>
          </w:tcPr>
          <w:p w14:paraId="727C2F34">
            <w:pPr>
              <w:spacing w:line="220" w:lineRule="exact"/>
              <w:jc w:val="center"/>
              <w:rPr>
                <w:color w:val="000000"/>
                <w:sz w:val="21"/>
              </w:rPr>
            </w:pPr>
            <w:r>
              <w:rPr>
                <w:color w:val="000000"/>
                <w:sz w:val="21"/>
              </w:rPr>
              <w:t>577</w:t>
            </w:r>
          </w:p>
        </w:tc>
        <w:tc>
          <w:tcPr>
            <w:tcW w:w="999" w:type="pct"/>
            <w:vAlign w:val="center"/>
          </w:tcPr>
          <w:p w14:paraId="271E5BEF">
            <w:pPr>
              <w:spacing w:line="220" w:lineRule="exact"/>
              <w:jc w:val="center"/>
              <w:rPr>
                <w:color w:val="000000"/>
                <w:sz w:val="21"/>
              </w:rPr>
            </w:pPr>
            <w:r>
              <w:rPr>
                <w:color w:val="000000"/>
                <w:sz w:val="21"/>
              </w:rPr>
              <w:t>0.0000478</w:t>
            </w:r>
          </w:p>
        </w:tc>
        <w:tc>
          <w:tcPr>
            <w:tcW w:w="1053" w:type="pct"/>
            <w:vAlign w:val="center"/>
          </w:tcPr>
          <w:p w14:paraId="395B5E8C">
            <w:pPr>
              <w:spacing w:line="220" w:lineRule="exact"/>
              <w:jc w:val="center"/>
              <w:rPr>
                <w:color w:val="000000"/>
                <w:sz w:val="21"/>
              </w:rPr>
            </w:pPr>
            <w:r>
              <w:rPr>
                <w:color w:val="000000"/>
                <w:sz w:val="21"/>
              </w:rPr>
              <w:t>500</w:t>
            </w:r>
          </w:p>
        </w:tc>
        <w:tc>
          <w:tcPr>
            <w:tcW w:w="473" w:type="pct"/>
            <w:vAlign w:val="center"/>
          </w:tcPr>
          <w:p w14:paraId="557682B9">
            <w:pPr>
              <w:spacing w:line="220" w:lineRule="exact"/>
              <w:jc w:val="center"/>
              <w:rPr>
                <w:color w:val="000000"/>
                <w:sz w:val="21"/>
              </w:rPr>
            </w:pPr>
            <w:r>
              <w:rPr>
                <w:color w:val="000000"/>
                <w:sz w:val="21"/>
              </w:rPr>
              <w:t>0.01</w:t>
            </w:r>
          </w:p>
        </w:tc>
      </w:tr>
      <w:tr w14:paraId="33C5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31" w:type="pct"/>
            <w:vMerge w:val="continue"/>
            <w:vAlign w:val="center"/>
          </w:tcPr>
          <w:p w14:paraId="7E1865F2">
            <w:pPr>
              <w:spacing w:line="220" w:lineRule="exact"/>
              <w:ind w:firstLine="420" w:firstLineChars="200"/>
              <w:jc w:val="both"/>
              <w:rPr>
                <w:color w:val="000000"/>
                <w:sz w:val="21"/>
              </w:rPr>
            </w:pPr>
          </w:p>
        </w:tc>
        <w:tc>
          <w:tcPr>
            <w:tcW w:w="1209" w:type="pct"/>
            <w:vAlign w:val="center"/>
          </w:tcPr>
          <w:p w14:paraId="6491516B">
            <w:pPr>
              <w:tabs>
                <w:tab w:val="left" w:pos="2310"/>
              </w:tabs>
              <w:spacing w:line="240" w:lineRule="atLeast"/>
              <w:jc w:val="center"/>
              <w:textAlignment w:val="center"/>
              <w:rPr>
                <w:color w:val="000000"/>
                <w:sz w:val="21"/>
              </w:rPr>
            </w:pPr>
            <w:r>
              <w:rPr>
                <w:color w:val="000000"/>
                <w:sz w:val="21"/>
              </w:rPr>
              <w:t>颗粒物</w:t>
            </w:r>
          </w:p>
        </w:tc>
        <w:tc>
          <w:tcPr>
            <w:tcW w:w="532" w:type="pct"/>
            <w:vAlign w:val="center"/>
          </w:tcPr>
          <w:p w14:paraId="5994CA8B">
            <w:pPr>
              <w:spacing w:line="220" w:lineRule="exact"/>
              <w:jc w:val="center"/>
              <w:rPr>
                <w:color w:val="000000"/>
                <w:sz w:val="21"/>
              </w:rPr>
            </w:pPr>
            <w:r>
              <w:rPr>
                <w:color w:val="000000"/>
                <w:sz w:val="21"/>
              </w:rPr>
              <w:t>577</w:t>
            </w:r>
          </w:p>
        </w:tc>
        <w:tc>
          <w:tcPr>
            <w:tcW w:w="999" w:type="pct"/>
            <w:vAlign w:val="center"/>
          </w:tcPr>
          <w:p w14:paraId="5AE0BA0D">
            <w:pPr>
              <w:spacing w:line="220" w:lineRule="exact"/>
              <w:jc w:val="center"/>
              <w:rPr>
                <w:color w:val="000000"/>
                <w:sz w:val="21"/>
              </w:rPr>
            </w:pPr>
            <w:r>
              <w:rPr>
                <w:color w:val="000000"/>
                <w:sz w:val="21"/>
              </w:rPr>
              <w:t>0.0000955</w:t>
            </w:r>
          </w:p>
        </w:tc>
        <w:tc>
          <w:tcPr>
            <w:tcW w:w="1053" w:type="pct"/>
            <w:vAlign w:val="center"/>
          </w:tcPr>
          <w:p w14:paraId="58158023">
            <w:pPr>
              <w:spacing w:line="220" w:lineRule="exact"/>
              <w:jc w:val="center"/>
              <w:rPr>
                <w:color w:val="000000"/>
                <w:sz w:val="21"/>
              </w:rPr>
            </w:pPr>
            <w:r>
              <w:rPr>
                <w:color w:val="000000"/>
                <w:sz w:val="21"/>
              </w:rPr>
              <w:t>450</w:t>
            </w:r>
          </w:p>
        </w:tc>
        <w:tc>
          <w:tcPr>
            <w:tcW w:w="473" w:type="pct"/>
            <w:vAlign w:val="center"/>
          </w:tcPr>
          <w:p w14:paraId="3E89AEF0">
            <w:pPr>
              <w:spacing w:line="220" w:lineRule="exact"/>
              <w:jc w:val="center"/>
              <w:rPr>
                <w:color w:val="000000"/>
                <w:sz w:val="21"/>
              </w:rPr>
            </w:pPr>
            <w:r>
              <w:rPr>
                <w:color w:val="000000"/>
                <w:sz w:val="21"/>
              </w:rPr>
              <w:t>0.02</w:t>
            </w:r>
          </w:p>
        </w:tc>
      </w:tr>
    </w:tbl>
    <w:p w14:paraId="2ADD0605">
      <w:pPr>
        <w:pStyle w:val="425"/>
        <w:widowControl w:val="0"/>
        <w:spacing w:line="360" w:lineRule="auto"/>
        <w:ind w:firstLine="420"/>
        <w:rPr>
          <w:rFonts w:cs="Times New Roman"/>
          <w:color w:val="000000"/>
          <w:sz w:val="21"/>
          <w:szCs w:val="21"/>
        </w:rPr>
      </w:pPr>
      <w:r>
        <w:rPr>
          <w:rFonts w:cs="Times New Roman"/>
          <w:color w:val="000000"/>
          <w:szCs w:val="24"/>
        </w:rPr>
        <w:t>根据表</w:t>
      </w:r>
      <w:r>
        <w:rPr>
          <w:rFonts w:cs="Times New Roman"/>
          <w:color w:val="000000"/>
        </w:rPr>
        <w:t>1.4.1-4，</w:t>
      </w:r>
      <w:r>
        <w:rPr>
          <w:rFonts w:cs="Times New Roman"/>
          <w:color w:val="000000"/>
          <w:szCs w:val="24"/>
        </w:rPr>
        <w:t>拟建项目火炬燃烧污染物最大占标率为</w:t>
      </w:r>
      <w:r>
        <w:rPr>
          <w:rFonts w:cs="Times New Roman"/>
          <w:color w:val="000000"/>
          <w:sz w:val="21"/>
          <w:szCs w:val="21"/>
        </w:rPr>
        <w:t>NO</w:t>
      </w:r>
      <w:r>
        <w:rPr>
          <w:rFonts w:hint="eastAsia" w:cs="Times New Roman"/>
          <w:color w:val="000000"/>
          <w:sz w:val="21"/>
          <w:szCs w:val="21"/>
          <w:vertAlign w:val="subscript"/>
        </w:rPr>
        <w:t>X</w:t>
      </w:r>
      <w:r>
        <w:rPr>
          <w:rFonts w:cs="Times New Roman"/>
          <w:color w:val="000000"/>
          <w:szCs w:val="24"/>
        </w:rPr>
        <w:t>Pi=0.1</w:t>
      </w:r>
      <w:r>
        <w:rPr>
          <w:rFonts w:hint="eastAsia" w:cs="Times New Roman"/>
          <w:color w:val="000000"/>
          <w:szCs w:val="24"/>
        </w:rPr>
        <w:t>1</w:t>
      </w:r>
      <w:r>
        <w:rPr>
          <w:rFonts w:cs="Times New Roman"/>
          <w:color w:val="000000"/>
          <w:szCs w:val="24"/>
        </w:rPr>
        <w:t>%&lt;10%。由于拟建项目为化工行业多源项目且编制环境影响报告书，</w:t>
      </w:r>
      <w:r>
        <w:rPr>
          <w:rFonts w:cs="Times New Roman"/>
          <w:color w:val="000000"/>
        </w:rPr>
        <w:t>按照《环境影响评价技术导则-大气环境》（HJ2.2-2018），确定项目大气评价等级定为二级，评价范围为以火炬源为中心边长5km的矩形区域。</w:t>
      </w:r>
    </w:p>
    <w:p w14:paraId="44A30F2A">
      <w:pPr>
        <w:pStyle w:val="771"/>
        <w:rPr>
          <w:color w:val="000000"/>
        </w:rPr>
      </w:pPr>
      <w:r>
        <w:rPr>
          <w:color w:val="000000"/>
        </w:rPr>
        <w:t>1.4.2地表水环境</w:t>
      </w:r>
    </w:p>
    <w:p w14:paraId="7640E907">
      <w:pPr>
        <w:ind w:firstLine="480"/>
        <w:rPr>
          <w:color w:val="000000"/>
        </w:rPr>
      </w:pPr>
      <w:r>
        <w:rPr>
          <w:color w:val="000000"/>
        </w:rPr>
        <w:t>根据《环境影响评价技术导则  地表水环境》（HJ 2.3-2018）规定，地表水评价按影响类型、排放方式、排放量或影响情况、受纳水体环境质量现状、水环境保护目标等综合确定。水污染影响型建设项目根据排放方式和废水排放量划分评价等级。</w:t>
      </w:r>
    </w:p>
    <w:p w14:paraId="0A367A8D">
      <w:pPr>
        <w:tabs>
          <w:tab w:val="left" w:pos="993"/>
        </w:tabs>
        <w:ind w:firstLine="480"/>
        <w:rPr>
          <w:color w:val="000000"/>
        </w:rPr>
      </w:pPr>
      <w:r>
        <w:rPr>
          <w:color w:val="000000"/>
        </w:rPr>
        <w:t>本项目废水主要为生产废水和生活污水，</w:t>
      </w:r>
      <w:r>
        <w:rPr>
          <w:color w:val="000000"/>
          <w:szCs w:val="24"/>
        </w:rPr>
        <w:t>合计0.67m</w:t>
      </w:r>
      <w:r>
        <w:rPr>
          <w:color w:val="000000"/>
          <w:szCs w:val="24"/>
          <w:vertAlign w:val="superscript"/>
        </w:rPr>
        <w:t>3</w:t>
      </w:r>
      <w:r>
        <w:rPr>
          <w:color w:val="000000"/>
          <w:szCs w:val="24"/>
        </w:rPr>
        <w:t>/d</w:t>
      </w:r>
      <w:r>
        <w:rPr>
          <w:color w:val="000000"/>
        </w:rPr>
        <w:t>，生活污水依托LNG工厂现有化粪池处理后进入生活污水提升池，生产废水依托LNG工厂生产废水池处理，经泵输送汇合后一起输送至园区潘家坝污水处理厂处理，属于间接排放建设项目。根据导则规定的评价工作分级标准，地表水评价等级为三级B。地表水评价范围为园区污水处理厂入乌江排污口上游500m至下游5km范围。</w:t>
      </w:r>
    </w:p>
    <w:p w14:paraId="569A3DC0">
      <w:pPr>
        <w:pStyle w:val="771"/>
        <w:rPr>
          <w:color w:val="000000"/>
        </w:rPr>
      </w:pPr>
      <w:r>
        <w:rPr>
          <w:color w:val="000000"/>
        </w:rPr>
        <w:t>1.4.3地下水环境</w:t>
      </w:r>
    </w:p>
    <w:p w14:paraId="2E3D5D8A">
      <w:pPr>
        <w:tabs>
          <w:tab w:val="left" w:pos="993"/>
        </w:tabs>
        <w:ind w:firstLine="480"/>
        <w:rPr>
          <w:color w:val="000000"/>
        </w:rPr>
      </w:pPr>
      <w:r>
        <w:rPr>
          <w:color w:val="000000"/>
        </w:rPr>
        <w:t>本项目属于基础化学原料制造类，位于工业园区。根据《</w:t>
      </w:r>
      <w:r>
        <w:fldChar w:fldCharType="begin"/>
      </w:r>
      <w:r>
        <w:instrText xml:space="preserve"> HYPERLINK "http://kjs.mep.gov.cn/hjbhbz/bzwb/other/pjjsdz/201601/W020160113553020503386.pdf" </w:instrText>
      </w:r>
      <w:r>
        <w:fldChar w:fldCharType="separate"/>
      </w:r>
      <w:r>
        <w:rPr>
          <w:color w:val="000000"/>
        </w:rPr>
        <w:t>环境影响评价技术导则  地下水环境》(HJ 610-2016)</w:t>
      </w:r>
      <w:r>
        <w:rPr>
          <w:color w:val="000000"/>
        </w:rPr>
        <w:fldChar w:fldCharType="end"/>
      </w:r>
      <w:r>
        <w:rPr>
          <w:color w:val="000000"/>
        </w:rPr>
        <w:t xml:space="preserve"> 附录A，本项目地下水环境影响评价类别为</w:t>
      </w:r>
      <w:r>
        <w:rPr>
          <w:color w:val="000000"/>
        </w:rPr>
        <w:fldChar w:fldCharType="begin"/>
      </w:r>
      <w:r>
        <w:rPr>
          <w:color w:val="000000"/>
        </w:rPr>
        <w:instrText xml:space="preserve"> = 1 \* ROMAN </w:instrText>
      </w:r>
      <w:r>
        <w:rPr>
          <w:color w:val="000000"/>
        </w:rPr>
        <w:fldChar w:fldCharType="separate"/>
      </w:r>
      <w:r>
        <w:rPr>
          <w:color w:val="000000"/>
        </w:rPr>
        <w:t>I</w:t>
      </w:r>
      <w:r>
        <w:rPr>
          <w:color w:val="000000"/>
        </w:rPr>
        <w:fldChar w:fldCharType="end"/>
      </w:r>
      <w:r>
        <w:rPr>
          <w:color w:val="000000"/>
        </w:rPr>
        <w:t>类。项目不涉及集中式饮用水源地准保护区及以外的补给径流区、国家和地方政府设定的与地下水环境相关的其它保护区（如热水、矿泉水、温泉等特殊地下水资源保护区），不</w:t>
      </w:r>
      <w:r>
        <w:rPr>
          <w:rFonts w:hint="eastAsia"/>
          <w:color w:val="000000"/>
          <w:lang w:eastAsia="zh-CN"/>
        </w:rPr>
        <w:t>涉及</w:t>
      </w:r>
      <w:r>
        <w:rPr>
          <w:color w:val="000000"/>
        </w:rPr>
        <w:t>分散式居民饮用水，地下水环境敏感程度为不敏感。</w:t>
      </w:r>
    </w:p>
    <w:p w14:paraId="705843E2">
      <w:pPr>
        <w:tabs>
          <w:tab w:val="left" w:pos="993"/>
        </w:tabs>
        <w:ind w:firstLine="480"/>
        <w:rPr>
          <w:color w:val="000000"/>
        </w:rPr>
      </w:pPr>
      <w:r>
        <w:rPr>
          <w:color w:val="000000"/>
        </w:rPr>
        <w:t>根据导则规定的评价工作分级标准，地下水环境影响评价等级为二级。地下水环境的现状以及评价区地下水基本流场特征确定评价为项目所在水文地质单元，确定本次地下水评价范围约108.43km</w:t>
      </w:r>
      <w:r>
        <w:rPr>
          <w:color w:val="000000"/>
          <w:vertAlign w:val="superscript"/>
        </w:rPr>
        <w:t>2</w:t>
      </w:r>
      <w:r>
        <w:rPr>
          <w:color w:val="000000"/>
        </w:rPr>
        <w:t>。</w:t>
      </w:r>
    </w:p>
    <w:p w14:paraId="51A1BEE1">
      <w:pPr>
        <w:pStyle w:val="771"/>
        <w:rPr>
          <w:color w:val="000000"/>
        </w:rPr>
      </w:pPr>
      <w:r>
        <w:rPr>
          <w:color w:val="000000"/>
        </w:rPr>
        <w:t>1.4.4声环境</w:t>
      </w:r>
    </w:p>
    <w:p w14:paraId="3C11DE14">
      <w:pPr>
        <w:ind w:firstLine="480"/>
        <w:rPr>
          <w:bCs/>
          <w:color w:val="000000"/>
        </w:rPr>
      </w:pPr>
      <w:r>
        <w:rPr>
          <w:color w:val="000000"/>
        </w:rPr>
        <w:t>本项目位于工业园区，属于《声环境质量标准》（GB3096-2008）中的3类标准区域，主要噪声源均为固定源，主要环境保护目标距厂界在200m以上，噪声对敏感点的影响增加量小于3dB（A），受影响人口变化不大，根据《环境影响评价技术导则  声环境》（HJ 2.4-2009）规定的评价工作分级标准，确定本项目</w:t>
      </w:r>
      <w:r>
        <w:rPr>
          <w:bCs/>
          <w:color w:val="000000"/>
        </w:rPr>
        <w:t>声环境影响评价工作等级为三级，评价范围为项目边界外200m范围。</w:t>
      </w:r>
    </w:p>
    <w:p w14:paraId="6E390735">
      <w:pPr>
        <w:pStyle w:val="771"/>
        <w:rPr>
          <w:color w:val="000000"/>
        </w:rPr>
      </w:pPr>
      <w:r>
        <w:rPr>
          <w:color w:val="000000"/>
        </w:rPr>
        <w:t>1.4.5土壤环境</w:t>
      </w:r>
    </w:p>
    <w:p w14:paraId="786ACAD6">
      <w:pPr>
        <w:tabs>
          <w:tab w:val="left" w:pos="993"/>
        </w:tabs>
        <w:ind w:firstLine="480"/>
        <w:rPr>
          <w:color w:val="000000"/>
        </w:rPr>
      </w:pPr>
      <w:r>
        <w:rPr>
          <w:color w:val="000000"/>
        </w:rPr>
        <w:t>本项目属于化学原料和化学制品制造业中的基础化学原料制造类，属于污染影响型，位于工业园区。根据《环境影响评价技术导则  土壤环境》（HJ964-2018）附录A，为土壤环境影响I类项目。占地面积0.178hm</w:t>
      </w:r>
      <w:r>
        <w:rPr>
          <w:color w:val="000000"/>
          <w:vertAlign w:val="superscript"/>
        </w:rPr>
        <w:t>2</w:t>
      </w:r>
      <w:r>
        <w:rPr>
          <w:color w:val="000000"/>
        </w:rPr>
        <w:t>，占地规模属于小型（小于5hm</w:t>
      </w:r>
      <w:r>
        <w:rPr>
          <w:color w:val="000000"/>
          <w:vertAlign w:val="superscript"/>
        </w:rPr>
        <w:t>2</w:t>
      </w:r>
      <w:r>
        <w:rPr>
          <w:color w:val="000000"/>
        </w:rPr>
        <w:t>）。位于工业园区，周边均为现有及规划的工业用地，厂区周边200m范围均为规划的工业用地，无学校、居民、耕地、饮用水源地等分布，因此敏感程度为不敏感。根据导则规定的评价工作分级标准，确定本项目土壤环境影响判定评价等级为二级，</w:t>
      </w:r>
      <w:r>
        <w:rPr>
          <w:bCs/>
          <w:color w:val="000000"/>
        </w:rPr>
        <w:t>评价范围为</w:t>
      </w:r>
      <w:r>
        <w:rPr>
          <w:color w:val="000000"/>
        </w:rPr>
        <w:t>项目边界外200m的区域。</w:t>
      </w:r>
    </w:p>
    <w:p w14:paraId="5592B7A8">
      <w:pPr>
        <w:pStyle w:val="771"/>
        <w:rPr>
          <w:color w:val="000000"/>
        </w:rPr>
      </w:pPr>
      <w:r>
        <w:rPr>
          <w:color w:val="000000"/>
        </w:rPr>
        <w:t>1.4.6环境风险</w:t>
      </w:r>
    </w:p>
    <w:p w14:paraId="3D9D82B9">
      <w:pPr>
        <w:ind w:firstLine="480"/>
        <w:rPr>
          <w:bCs/>
          <w:color w:val="000000"/>
        </w:rPr>
      </w:pPr>
      <w:r>
        <w:rPr>
          <w:bCs/>
          <w:color w:val="000000"/>
        </w:rPr>
        <w:t>本项目</w:t>
      </w:r>
      <w:r>
        <w:rPr>
          <w:color w:val="000000"/>
        </w:rPr>
        <w:t>环境风险潜势为Ⅰ级，</w:t>
      </w:r>
      <w:r>
        <w:rPr>
          <w:bCs/>
          <w:color w:val="000000"/>
        </w:rPr>
        <w:t>根据《建设项目环境风险评价技术导则》（HJ169-2018）规定的</w:t>
      </w:r>
      <w:r>
        <w:rPr>
          <w:color w:val="000000"/>
        </w:rPr>
        <w:t>评价工作分级标准</w:t>
      </w:r>
      <w:r>
        <w:rPr>
          <w:bCs/>
          <w:color w:val="000000"/>
        </w:rPr>
        <w:t>，环境风险评价等级为简单分析，结合环境敏感点分布情况，确定评价范围为项目边界外3km。</w:t>
      </w:r>
    </w:p>
    <w:p w14:paraId="78CDAA01">
      <w:pPr>
        <w:pStyle w:val="771"/>
        <w:rPr>
          <w:color w:val="000000"/>
        </w:rPr>
      </w:pPr>
      <w:r>
        <w:rPr>
          <w:color w:val="000000"/>
        </w:rPr>
        <w:t>1.4.7生态环境</w:t>
      </w:r>
    </w:p>
    <w:p w14:paraId="5A5666CD">
      <w:pPr>
        <w:ind w:firstLine="480"/>
        <w:rPr>
          <w:color w:val="000000"/>
        </w:rPr>
      </w:pPr>
      <w:bookmarkStart w:id="165" w:name="_Toc440766266"/>
      <w:bookmarkStart w:id="166" w:name="_Toc440766070"/>
      <w:bookmarkStart w:id="167" w:name="_Toc489922440"/>
      <w:bookmarkStart w:id="168" w:name="_Toc500375981"/>
      <w:r>
        <w:rPr>
          <w:color w:val="000000"/>
        </w:rPr>
        <w:t>本项目位于工业园区涪陵LNG工厂内，占地面积0.178hm</w:t>
      </w:r>
      <w:r>
        <w:rPr>
          <w:color w:val="000000"/>
          <w:vertAlign w:val="superscript"/>
        </w:rPr>
        <w:t>2</w:t>
      </w:r>
      <w:r>
        <w:rPr>
          <w:color w:val="000000"/>
        </w:rPr>
        <w:t>，远小于2km</w:t>
      </w:r>
      <w:r>
        <w:rPr>
          <w:color w:val="000000"/>
          <w:vertAlign w:val="superscript"/>
        </w:rPr>
        <w:t>2</w:t>
      </w:r>
      <w:r>
        <w:rPr>
          <w:color w:val="000000"/>
        </w:rPr>
        <w:t>。工程四周均为工业企业，不涉及自然保护区、风景名胜区、森林公园、地质公园等生态敏感区，属一般区域，区域生态敏感性不高。根据《环境影响评价技术导则生态影响》（HJ19-2011）规定</w:t>
      </w:r>
      <w:r>
        <w:rPr>
          <w:bCs/>
          <w:color w:val="000000"/>
        </w:rPr>
        <w:t>的</w:t>
      </w:r>
      <w:r>
        <w:rPr>
          <w:color w:val="000000"/>
        </w:rPr>
        <w:t>评价工作分级标准，确定生态环境影响评价工作等级为三级，</w:t>
      </w:r>
      <w:r>
        <w:rPr>
          <w:bCs/>
          <w:color w:val="000000"/>
        </w:rPr>
        <w:t>评价范围为项目边界外100m的区域。</w:t>
      </w:r>
    </w:p>
    <w:bookmarkEnd w:id="165"/>
    <w:bookmarkEnd w:id="166"/>
    <w:bookmarkEnd w:id="167"/>
    <w:bookmarkEnd w:id="168"/>
    <w:p w14:paraId="2DF9A55C">
      <w:pPr>
        <w:pStyle w:val="770"/>
        <w:rPr>
          <w:bCs w:val="0"/>
          <w:color w:val="000000"/>
        </w:rPr>
      </w:pPr>
      <w:bookmarkStart w:id="169" w:name="_Toc440766071"/>
      <w:bookmarkStart w:id="170" w:name="_Toc477144590"/>
      <w:bookmarkStart w:id="171" w:name="_Toc440766267"/>
      <w:bookmarkStart w:id="172" w:name="_Toc500375982"/>
      <w:bookmarkStart w:id="173" w:name="_Toc489922441"/>
      <w:bookmarkStart w:id="174" w:name="_Toc25900_WPSOffice_Level3"/>
      <w:bookmarkStart w:id="175" w:name="_Toc2379"/>
      <w:r>
        <w:rPr>
          <w:bCs w:val="0"/>
          <w:color w:val="000000"/>
        </w:rPr>
        <w:t xml:space="preserve">1.5 </w:t>
      </w:r>
      <w:bookmarkEnd w:id="169"/>
      <w:bookmarkEnd w:id="170"/>
      <w:bookmarkEnd w:id="171"/>
      <w:r>
        <w:rPr>
          <w:bCs w:val="0"/>
          <w:color w:val="000000"/>
        </w:rPr>
        <w:t>主要环境</w:t>
      </w:r>
      <w:bookmarkEnd w:id="172"/>
      <w:bookmarkEnd w:id="173"/>
      <w:bookmarkEnd w:id="174"/>
      <w:r>
        <w:rPr>
          <w:bCs w:val="0"/>
          <w:color w:val="000000"/>
        </w:rPr>
        <w:t>保护目标</w:t>
      </w:r>
      <w:bookmarkEnd w:id="175"/>
    </w:p>
    <w:p w14:paraId="74290777">
      <w:pPr>
        <w:pStyle w:val="771"/>
        <w:rPr>
          <w:color w:val="000000"/>
        </w:rPr>
      </w:pPr>
      <w:r>
        <w:rPr>
          <w:color w:val="000000"/>
        </w:rPr>
        <w:t>1.5.1外环境关系</w:t>
      </w:r>
    </w:p>
    <w:p w14:paraId="7BDAE9FE">
      <w:pPr>
        <w:ind w:firstLine="480"/>
        <w:rPr>
          <w:bCs/>
          <w:color w:val="000000"/>
          <w:szCs w:val="24"/>
        </w:rPr>
      </w:pPr>
      <w:r>
        <w:rPr>
          <w:bCs/>
          <w:color w:val="000000"/>
          <w:szCs w:val="24"/>
        </w:rPr>
        <w:t>根据现场调查，本项目位于涪陵区白涛工业园区（涪陵LNG 工厂内），涪陵LNG 工厂周边均为规划和已入驻的工业企业（其西侧与聚立信生物农药项目和重庆新联峰实业有限公司隔路相对、南侧为华峰氨纶厂区、北侧为龙冉能源LNG厂区，东侧为园区规划用地）。</w:t>
      </w:r>
    </w:p>
    <w:p w14:paraId="466A1F46">
      <w:pPr>
        <w:pStyle w:val="771"/>
        <w:rPr>
          <w:color w:val="000000"/>
        </w:rPr>
      </w:pPr>
      <w:r>
        <w:rPr>
          <w:color w:val="000000"/>
        </w:rPr>
        <w:t>1.5.2主要环境保护目标</w:t>
      </w:r>
    </w:p>
    <w:p w14:paraId="4196685F">
      <w:pPr>
        <w:ind w:firstLine="480"/>
        <w:rPr>
          <w:color w:val="000000"/>
        </w:rPr>
      </w:pPr>
      <w:r>
        <w:rPr>
          <w:color w:val="000000"/>
        </w:rPr>
        <w:t>项目评价范围不涉及自然保护区、风景名胜、森林公园、地表水饮用水源保护区等，也不涉及集中地下水饮用水源、特殊地下水资源。</w:t>
      </w:r>
    </w:p>
    <w:p w14:paraId="4A6A455E">
      <w:pPr>
        <w:ind w:firstLine="480"/>
        <w:rPr>
          <w:color w:val="000000"/>
        </w:rPr>
      </w:pPr>
      <w:r>
        <w:rPr>
          <w:color w:val="000000"/>
        </w:rPr>
        <w:t>声环境评价范围内无声环境敏感目标；环境空气和环境风险保护目标主要为官桥村、新立村、油坊村等的散户居民以及学校等；地表水保护目标为后溪河、乌江；地下水保护目标为地下溶洞及暗河；土壤评价范围内均为规划的工业用地，无学校、居民、耕地、饮用水源地等土壤敏感点分布。</w:t>
      </w:r>
    </w:p>
    <w:p w14:paraId="59DF1D86">
      <w:pPr>
        <w:ind w:firstLine="480"/>
        <w:rPr>
          <w:color w:val="000000"/>
        </w:rPr>
      </w:pPr>
      <w:r>
        <w:rPr>
          <w:color w:val="000000"/>
        </w:rPr>
        <w:t>项目环境保护目标分布详见表1.5，附图4，项目厂区地下溶洞及暗河见附图2。</w:t>
      </w:r>
    </w:p>
    <w:p w14:paraId="1B7C155E">
      <w:pPr>
        <w:pStyle w:val="133"/>
        <w:outlineLvl w:val="9"/>
        <w:rPr>
          <w:rFonts w:ascii="Times New Roman" w:hAnsi="Times New Roman"/>
          <w:color w:val="000000"/>
          <w:lang w:val="en-US"/>
        </w:rPr>
      </w:pPr>
      <w:r>
        <w:rPr>
          <w:rFonts w:ascii="Times New Roman" w:hAnsi="Times New Roman"/>
          <w:color w:val="000000"/>
        </w:rPr>
        <w:t>表</w:t>
      </w:r>
      <w:r>
        <w:rPr>
          <w:rFonts w:ascii="Times New Roman" w:hAnsi="Times New Roman"/>
          <w:color w:val="000000"/>
          <w:lang w:val="en-US"/>
        </w:rPr>
        <w:t>1.5.2-1</w:t>
      </w:r>
      <w:r>
        <w:rPr>
          <w:rFonts w:ascii="Times New Roman" w:hAnsi="Times New Roman"/>
          <w:color w:val="000000"/>
        </w:rPr>
        <w:t xml:space="preserve"> 本项目主要环境</w:t>
      </w:r>
      <w:r>
        <w:rPr>
          <w:rFonts w:ascii="Times New Roman" w:hAnsi="Times New Roman"/>
          <w:color w:val="000000"/>
          <w:lang w:val="en-US"/>
        </w:rPr>
        <w:t>保护</w:t>
      </w:r>
      <w:r>
        <w:rPr>
          <w:rFonts w:ascii="Times New Roman" w:hAnsi="Times New Roman"/>
          <w:color w:val="000000"/>
        </w:rPr>
        <w:t>目标</w:t>
      </w:r>
    </w:p>
    <w:tbl>
      <w:tblPr>
        <w:tblStyle w:val="73"/>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31"/>
        <w:gridCol w:w="879"/>
        <w:gridCol w:w="512"/>
        <w:gridCol w:w="693"/>
        <w:gridCol w:w="654"/>
        <w:gridCol w:w="902"/>
        <w:gridCol w:w="927"/>
        <w:gridCol w:w="976"/>
        <w:gridCol w:w="1488"/>
        <w:gridCol w:w="1490"/>
      </w:tblGrid>
      <w:tr w14:paraId="7D28D2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2" w:hRule="atLeast"/>
          <w:jc w:val="center"/>
        </w:trPr>
        <w:tc>
          <w:tcPr>
            <w:tcW w:w="293" w:type="pct"/>
            <w:vMerge w:val="restart"/>
            <w:tcBorders>
              <w:tl2br w:val="nil"/>
              <w:tr2bl w:val="nil"/>
            </w:tcBorders>
            <w:vAlign w:val="center"/>
          </w:tcPr>
          <w:p w14:paraId="00BC38FB">
            <w:pPr>
              <w:spacing w:line="240" w:lineRule="auto"/>
              <w:jc w:val="center"/>
              <w:rPr>
                <w:color w:val="000000"/>
                <w:sz w:val="18"/>
                <w:szCs w:val="18"/>
              </w:rPr>
            </w:pPr>
            <w:r>
              <w:rPr>
                <w:color w:val="000000"/>
                <w:sz w:val="18"/>
                <w:szCs w:val="18"/>
              </w:rPr>
              <w:t>序号</w:t>
            </w:r>
          </w:p>
        </w:tc>
        <w:tc>
          <w:tcPr>
            <w:tcW w:w="485" w:type="pct"/>
            <w:vMerge w:val="restart"/>
            <w:tcBorders>
              <w:tl2br w:val="nil"/>
              <w:tr2bl w:val="nil"/>
            </w:tcBorders>
            <w:vAlign w:val="center"/>
          </w:tcPr>
          <w:p w14:paraId="44AD24A8">
            <w:pPr>
              <w:spacing w:line="240" w:lineRule="auto"/>
              <w:jc w:val="center"/>
              <w:rPr>
                <w:color w:val="000000"/>
                <w:sz w:val="18"/>
                <w:szCs w:val="18"/>
              </w:rPr>
            </w:pPr>
            <w:r>
              <w:rPr>
                <w:color w:val="000000"/>
                <w:sz w:val="18"/>
                <w:szCs w:val="18"/>
              </w:rPr>
              <w:t>名称</w:t>
            </w:r>
          </w:p>
        </w:tc>
        <w:tc>
          <w:tcPr>
            <w:tcW w:w="282" w:type="pct"/>
            <w:vMerge w:val="restart"/>
            <w:tcBorders>
              <w:tl2br w:val="nil"/>
              <w:tr2bl w:val="nil"/>
            </w:tcBorders>
            <w:vAlign w:val="center"/>
          </w:tcPr>
          <w:p w14:paraId="13A1C727">
            <w:pPr>
              <w:spacing w:line="240" w:lineRule="auto"/>
              <w:jc w:val="center"/>
              <w:rPr>
                <w:color w:val="000000"/>
                <w:sz w:val="18"/>
                <w:szCs w:val="18"/>
              </w:rPr>
            </w:pPr>
            <w:r>
              <w:rPr>
                <w:color w:val="000000"/>
                <w:sz w:val="18"/>
                <w:szCs w:val="18"/>
              </w:rPr>
              <w:t>方位</w:t>
            </w:r>
          </w:p>
        </w:tc>
        <w:tc>
          <w:tcPr>
            <w:tcW w:w="744" w:type="pct"/>
            <w:gridSpan w:val="2"/>
            <w:tcBorders>
              <w:tl2br w:val="nil"/>
              <w:tr2bl w:val="nil"/>
            </w:tcBorders>
            <w:vAlign w:val="center"/>
          </w:tcPr>
          <w:p w14:paraId="0DCCF809">
            <w:pPr>
              <w:spacing w:line="240" w:lineRule="auto"/>
              <w:jc w:val="center"/>
              <w:rPr>
                <w:color w:val="000000"/>
                <w:sz w:val="18"/>
                <w:szCs w:val="18"/>
              </w:rPr>
            </w:pPr>
            <w:r>
              <w:rPr>
                <w:color w:val="000000"/>
                <w:sz w:val="18"/>
                <w:szCs w:val="18"/>
              </w:rPr>
              <w:t>中心坐标（m）</w:t>
            </w:r>
          </w:p>
        </w:tc>
        <w:tc>
          <w:tcPr>
            <w:tcW w:w="498" w:type="pct"/>
            <w:vMerge w:val="restart"/>
            <w:tcBorders>
              <w:tl2br w:val="nil"/>
              <w:tr2bl w:val="nil"/>
            </w:tcBorders>
            <w:vAlign w:val="center"/>
          </w:tcPr>
          <w:p w14:paraId="507BAF48">
            <w:pPr>
              <w:spacing w:line="240" w:lineRule="auto"/>
              <w:jc w:val="center"/>
              <w:rPr>
                <w:color w:val="000000"/>
                <w:sz w:val="18"/>
                <w:szCs w:val="18"/>
              </w:rPr>
            </w:pPr>
            <w:r>
              <w:rPr>
                <w:color w:val="000000"/>
                <w:sz w:val="18"/>
                <w:szCs w:val="18"/>
              </w:rPr>
              <w:t>与本项目区域最近距离</w:t>
            </w:r>
          </w:p>
        </w:tc>
        <w:tc>
          <w:tcPr>
            <w:tcW w:w="512" w:type="pct"/>
            <w:vMerge w:val="restart"/>
            <w:tcBorders>
              <w:tl2br w:val="nil"/>
              <w:tr2bl w:val="nil"/>
            </w:tcBorders>
            <w:vAlign w:val="center"/>
          </w:tcPr>
          <w:p w14:paraId="5CC9CEE5">
            <w:pPr>
              <w:spacing w:line="240" w:lineRule="auto"/>
              <w:jc w:val="center"/>
              <w:rPr>
                <w:color w:val="000000"/>
                <w:sz w:val="18"/>
                <w:szCs w:val="18"/>
              </w:rPr>
            </w:pPr>
            <w:r>
              <w:rPr>
                <w:color w:val="000000"/>
                <w:sz w:val="18"/>
                <w:szCs w:val="18"/>
              </w:rPr>
              <w:t>与LNG工厂红线最近距离</w:t>
            </w:r>
          </w:p>
        </w:tc>
        <w:tc>
          <w:tcPr>
            <w:tcW w:w="539" w:type="pct"/>
            <w:vMerge w:val="restart"/>
            <w:tcBorders>
              <w:tl2br w:val="nil"/>
              <w:tr2bl w:val="nil"/>
            </w:tcBorders>
            <w:vAlign w:val="center"/>
          </w:tcPr>
          <w:p w14:paraId="3F29DC75">
            <w:pPr>
              <w:spacing w:line="240" w:lineRule="auto"/>
              <w:jc w:val="center"/>
              <w:rPr>
                <w:color w:val="000000"/>
                <w:sz w:val="18"/>
                <w:szCs w:val="18"/>
              </w:rPr>
            </w:pPr>
            <w:r>
              <w:rPr>
                <w:color w:val="000000"/>
                <w:sz w:val="18"/>
                <w:szCs w:val="18"/>
              </w:rPr>
              <w:t>环境要素</w:t>
            </w:r>
          </w:p>
        </w:tc>
        <w:tc>
          <w:tcPr>
            <w:tcW w:w="821" w:type="pct"/>
            <w:vMerge w:val="restart"/>
            <w:tcBorders>
              <w:tl2br w:val="nil"/>
              <w:tr2bl w:val="nil"/>
            </w:tcBorders>
            <w:vAlign w:val="center"/>
          </w:tcPr>
          <w:p w14:paraId="30E09EC8">
            <w:pPr>
              <w:spacing w:line="240" w:lineRule="auto"/>
              <w:jc w:val="center"/>
              <w:rPr>
                <w:color w:val="000000"/>
                <w:sz w:val="18"/>
                <w:szCs w:val="18"/>
              </w:rPr>
            </w:pPr>
            <w:r>
              <w:rPr>
                <w:color w:val="000000"/>
                <w:sz w:val="18"/>
                <w:szCs w:val="18"/>
              </w:rPr>
              <w:t>环境敏感特征</w:t>
            </w:r>
          </w:p>
        </w:tc>
        <w:tc>
          <w:tcPr>
            <w:tcW w:w="822" w:type="pct"/>
            <w:vMerge w:val="restart"/>
            <w:tcBorders>
              <w:tl2br w:val="nil"/>
              <w:tr2bl w:val="nil"/>
            </w:tcBorders>
            <w:vAlign w:val="center"/>
          </w:tcPr>
          <w:p w14:paraId="5587D778">
            <w:pPr>
              <w:spacing w:line="240" w:lineRule="auto"/>
              <w:jc w:val="center"/>
              <w:rPr>
                <w:color w:val="000000"/>
                <w:sz w:val="18"/>
                <w:szCs w:val="18"/>
              </w:rPr>
            </w:pPr>
            <w:r>
              <w:rPr>
                <w:color w:val="000000"/>
                <w:sz w:val="18"/>
                <w:szCs w:val="18"/>
              </w:rPr>
              <w:t>功能区划</w:t>
            </w:r>
          </w:p>
        </w:tc>
      </w:tr>
      <w:tr w14:paraId="70BDAB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2" w:hRule="atLeast"/>
          <w:jc w:val="center"/>
        </w:trPr>
        <w:tc>
          <w:tcPr>
            <w:tcW w:w="293" w:type="pct"/>
            <w:vMerge w:val="continue"/>
            <w:tcBorders>
              <w:tl2br w:val="nil"/>
              <w:tr2bl w:val="nil"/>
            </w:tcBorders>
            <w:vAlign w:val="center"/>
          </w:tcPr>
          <w:p w14:paraId="47D8DF98">
            <w:pPr>
              <w:spacing w:line="240" w:lineRule="auto"/>
              <w:jc w:val="center"/>
              <w:rPr>
                <w:color w:val="000000"/>
              </w:rPr>
            </w:pPr>
          </w:p>
        </w:tc>
        <w:tc>
          <w:tcPr>
            <w:tcW w:w="485" w:type="pct"/>
            <w:vMerge w:val="continue"/>
            <w:tcBorders>
              <w:tl2br w:val="nil"/>
              <w:tr2bl w:val="nil"/>
            </w:tcBorders>
            <w:vAlign w:val="center"/>
          </w:tcPr>
          <w:p w14:paraId="52704546">
            <w:pPr>
              <w:spacing w:line="240" w:lineRule="auto"/>
              <w:jc w:val="center"/>
              <w:rPr>
                <w:color w:val="000000"/>
              </w:rPr>
            </w:pPr>
          </w:p>
        </w:tc>
        <w:tc>
          <w:tcPr>
            <w:tcW w:w="282" w:type="pct"/>
            <w:vMerge w:val="continue"/>
            <w:tcBorders>
              <w:tl2br w:val="nil"/>
              <w:tr2bl w:val="nil"/>
            </w:tcBorders>
            <w:vAlign w:val="center"/>
          </w:tcPr>
          <w:p w14:paraId="70A3EA00">
            <w:pPr>
              <w:spacing w:line="240" w:lineRule="auto"/>
              <w:jc w:val="center"/>
              <w:rPr>
                <w:color w:val="000000"/>
              </w:rPr>
            </w:pPr>
          </w:p>
        </w:tc>
        <w:tc>
          <w:tcPr>
            <w:tcW w:w="383" w:type="pct"/>
            <w:tcBorders>
              <w:tl2br w:val="nil"/>
              <w:tr2bl w:val="nil"/>
            </w:tcBorders>
            <w:vAlign w:val="center"/>
          </w:tcPr>
          <w:p w14:paraId="165134DC">
            <w:pPr>
              <w:spacing w:line="240" w:lineRule="auto"/>
              <w:jc w:val="center"/>
              <w:rPr>
                <w:color w:val="000000"/>
                <w:sz w:val="18"/>
                <w:szCs w:val="18"/>
              </w:rPr>
            </w:pPr>
            <w:r>
              <w:rPr>
                <w:color w:val="000000"/>
                <w:sz w:val="18"/>
                <w:szCs w:val="18"/>
              </w:rPr>
              <w:t>X</w:t>
            </w:r>
          </w:p>
        </w:tc>
        <w:tc>
          <w:tcPr>
            <w:tcW w:w="360" w:type="pct"/>
            <w:tcBorders>
              <w:tl2br w:val="nil"/>
              <w:tr2bl w:val="nil"/>
            </w:tcBorders>
            <w:vAlign w:val="center"/>
          </w:tcPr>
          <w:p w14:paraId="3EC66103">
            <w:pPr>
              <w:spacing w:line="240" w:lineRule="auto"/>
              <w:jc w:val="center"/>
              <w:rPr>
                <w:color w:val="000000"/>
                <w:sz w:val="18"/>
                <w:szCs w:val="18"/>
              </w:rPr>
            </w:pPr>
            <w:r>
              <w:rPr>
                <w:color w:val="000000"/>
                <w:sz w:val="18"/>
                <w:szCs w:val="18"/>
              </w:rPr>
              <w:t>Y</w:t>
            </w:r>
          </w:p>
        </w:tc>
        <w:tc>
          <w:tcPr>
            <w:tcW w:w="498" w:type="pct"/>
            <w:vMerge w:val="continue"/>
            <w:tcBorders>
              <w:tl2br w:val="nil"/>
              <w:tr2bl w:val="nil"/>
            </w:tcBorders>
            <w:vAlign w:val="center"/>
          </w:tcPr>
          <w:p w14:paraId="00977ADD">
            <w:pPr>
              <w:spacing w:line="240" w:lineRule="auto"/>
              <w:jc w:val="center"/>
              <w:rPr>
                <w:color w:val="000000"/>
                <w:sz w:val="18"/>
                <w:szCs w:val="18"/>
              </w:rPr>
            </w:pPr>
          </w:p>
        </w:tc>
        <w:tc>
          <w:tcPr>
            <w:tcW w:w="512" w:type="pct"/>
            <w:vMerge w:val="continue"/>
            <w:tcBorders>
              <w:tl2br w:val="nil"/>
              <w:tr2bl w:val="nil"/>
            </w:tcBorders>
            <w:vAlign w:val="center"/>
          </w:tcPr>
          <w:p w14:paraId="13BE252C">
            <w:pPr>
              <w:spacing w:line="240" w:lineRule="auto"/>
              <w:jc w:val="center"/>
              <w:rPr>
                <w:color w:val="000000"/>
                <w:sz w:val="18"/>
                <w:szCs w:val="18"/>
              </w:rPr>
            </w:pPr>
          </w:p>
        </w:tc>
        <w:tc>
          <w:tcPr>
            <w:tcW w:w="539" w:type="pct"/>
            <w:vMerge w:val="continue"/>
            <w:tcBorders>
              <w:tl2br w:val="nil"/>
              <w:tr2bl w:val="nil"/>
            </w:tcBorders>
            <w:vAlign w:val="center"/>
          </w:tcPr>
          <w:p w14:paraId="4B49D38D">
            <w:pPr>
              <w:spacing w:line="240" w:lineRule="auto"/>
              <w:jc w:val="center"/>
              <w:rPr>
                <w:color w:val="000000"/>
                <w:sz w:val="18"/>
                <w:szCs w:val="18"/>
              </w:rPr>
            </w:pPr>
          </w:p>
        </w:tc>
        <w:tc>
          <w:tcPr>
            <w:tcW w:w="821" w:type="pct"/>
            <w:vMerge w:val="continue"/>
            <w:tcBorders>
              <w:tl2br w:val="nil"/>
              <w:tr2bl w:val="nil"/>
            </w:tcBorders>
            <w:vAlign w:val="center"/>
          </w:tcPr>
          <w:p w14:paraId="018CA3CA">
            <w:pPr>
              <w:spacing w:line="240" w:lineRule="auto"/>
              <w:jc w:val="center"/>
              <w:rPr>
                <w:color w:val="000000"/>
                <w:sz w:val="18"/>
                <w:szCs w:val="18"/>
              </w:rPr>
            </w:pPr>
          </w:p>
        </w:tc>
        <w:tc>
          <w:tcPr>
            <w:tcW w:w="822" w:type="pct"/>
            <w:vMerge w:val="continue"/>
            <w:tcBorders>
              <w:tl2br w:val="nil"/>
              <w:tr2bl w:val="nil"/>
            </w:tcBorders>
            <w:vAlign w:val="center"/>
          </w:tcPr>
          <w:p w14:paraId="302089A8">
            <w:pPr>
              <w:spacing w:line="240" w:lineRule="auto"/>
              <w:jc w:val="center"/>
              <w:rPr>
                <w:color w:val="000000"/>
                <w:sz w:val="18"/>
                <w:szCs w:val="18"/>
              </w:rPr>
            </w:pPr>
          </w:p>
        </w:tc>
      </w:tr>
      <w:tr w14:paraId="45CB48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3" w:type="pct"/>
            <w:tcBorders>
              <w:tl2br w:val="nil"/>
              <w:tr2bl w:val="nil"/>
            </w:tcBorders>
            <w:vAlign w:val="center"/>
          </w:tcPr>
          <w:p w14:paraId="232BDA8D">
            <w:pPr>
              <w:spacing w:line="240" w:lineRule="auto"/>
              <w:jc w:val="center"/>
              <w:rPr>
                <w:color w:val="000000"/>
                <w:sz w:val="18"/>
                <w:szCs w:val="18"/>
              </w:rPr>
            </w:pPr>
            <w:r>
              <w:rPr>
                <w:color w:val="000000"/>
                <w:sz w:val="18"/>
                <w:szCs w:val="18"/>
              </w:rPr>
              <w:t>1</w:t>
            </w:r>
          </w:p>
        </w:tc>
        <w:tc>
          <w:tcPr>
            <w:tcW w:w="485" w:type="pct"/>
            <w:tcBorders>
              <w:tl2br w:val="nil"/>
              <w:tr2bl w:val="nil"/>
            </w:tcBorders>
            <w:vAlign w:val="center"/>
          </w:tcPr>
          <w:p w14:paraId="7E154827">
            <w:pPr>
              <w:spacing w:line="240" w:lineRule="auto"/>
              <w:jc w:val="center"/>
              <w:rPr>
                <w:color w:val="000000"/>
                <w:sz w:val="18"/>
                <w:szCs w:val="18"/>
              </w:rPr>
            </w:pPr>
            <w:r>
              <w:rPr>
                <w:color w:val="000000"/>
                <w:sz w:val="18"/>
                <w:szCs w:val="18"/>
              </w:rPr>
              <w:t>茅居垭</w:t>
            </w:r>
          </w:p>
        </w:tc>
        <w:tc>
          <w:tcPr>
            <w:tcW w:w="282" w:type="pct"/>
            <w:tcBorders>
              <w:tl2br w:val="nil"/>
              <w:tr2bl w:val="nil"/>
            </w:tcBorders>
            <w:vAlign w:val="center"/>
          </w:tcPr>
          <w:p w14:paraId="5803B9ED">
            <w:pPr>
              <w:spacing w:line="240" w:lineRule="auto"/>
              <w:jc w:val="center"/>
              <w:rPr>
                <w:color w:val="000000"/>
                <w:sz w:val="18"/>
                <w:szCs w:val="18"/>
              </w:rPr>
            </w:pPr>
            <w:r>
              <w:rPr>
                <w:color w:val="000000"/>
                <w:sz w:val="18"/>
                <w:szCs w:val="18"/>
              </w:rPr>
              <w:t>NE</w:t>
            </w:r>
          </w:p>
        </w:tc>
        <w:tc>
          <w:tcPr>
            <w:tcW w:w="383" w:type="pct"/>
            <w:tcBorders>
              <w:tl2br w:val="nil"/>
              <w:tr2bl w:val="nil"/>
            </w:tcBorders>
            <w:vAlign w:val="center"/>
          </w:tcPr>
          <w:p w14:paraId="4053BBC8">
            <w:pPr>
              <w:spacing w:line="240" w:lineRule="auto"/>
              <w:jc w:val="center"/>
              <w:rPr>
                <w:color w:val="000000"/>
                <w:sz w:val="18"/>
                <w:szCs w:val="18"/>
              </w:rPr>
            </w:pPr>
            <w:r>
              <w:rPr>
                <w:color w:val="000000"/>
                <w:sz w:val="18"/>
                <w:szCs w:val="18"/>
              </w:rPr>
              <w:t>1198</w:t>
            </w:r>
          </w:p>
        </w:tc>
        <w:tc>
          <w:tcPr>
            <w:tcW w:w="360" w:type="pct"/>
            <w:tcBorders>
              <w:tl2br w:val="nil"/>
              <w:tr2bl w:val="nil"/>
            </w:tcBorders>
            <w:vAlign w:val="center"/>
          </w:tcPr>
          <w:p w14:paraId="6DBB4CF1">
            <w:pPr>
              <w:spacing w:line="240" w:lineRule="auto"/>
              <w:jc w:val="center"/>
              <w:rPr>
                <w:color w:val="000000"/>
                <w:sz w:val="18"/>
                <w:szCs w:val="18"/>
              </w:rPr>
            </w:pPr>
            <w:r>
              <w:rPr>
                <w:color w:val="000000"/>
                <w:sz w:val="18"/>
                <w:szCs w:val="18"/>
              </w:rPr>
              <w:t>1562</w:t>
            </w:r>
          </w:p>
        </w:tc>
        <w:tc>
          <w:tcPr>
            <w:tcW w:w="498" w:type="pct"/>
            <w:tcBorders>
              <w:tl2br w:val="nil"/>
              <w:tr2bl w:val="nil"/>
            </w:tcBorders>
            <w:vAlign w:val="center"/>
          </w:tcPr>
          <w:p w14:paraId="6B016C4E">
            <w:pPr>
              <w:spacing w:line="240" w:lineRule="auto"/>
              <w:jc w:val="center"/>
              <w:rPr>
                <w:color w:val="000000"/>
                <w:sz w:val="18"/>
                <w:szCs w:val="18"/>
              </w:rPr>
            </w:pPr>
            <w:r>
              <w:rPr>
                <w:color w:val="000000"/>
                <w:sz w:val="18"/>
                <w:szCs w:val="18"/>
              </w:rPr>
              <w:t>1500m</w:t>
            </w:r>
          </w:p>
        </w:tc>
        <w:tc>
          <w:tcPr>
            <w:tcW w:w="512" w:type="pct"/>
            <w:tcBorders>
              <w:tl2br w:val="nil"/>
              <w:tr2bl w:val="nil"/>
            </w:tcBorders>
            <w:vAlign w:val="center"/>
          </w:tcPr>
          <w:p w14:paraId="7D5B3B83">
            <w:pPr>
              <w:spacing w:line="240" w:lineRule="auto"/>
              <w:jc w:val="center"/>
              <w:rPr>
                <w:color w:val="000000"/>
                <w:sz w:val="18"/>
                <w:szCs w:val="18"/>
              </w:rPr>
            </w:pPr>
            <w:r>
              <w:rPr>
                <w:color w:val="000000"/>
                <w:sz w:val="18"/>
                <w:szCs w:val="18"/>
              </w:rPr>
              <w:t>1470m</w:t>
            </w:r>
          </w:p>
        </w:tc>
        <w:tc>
          <w:tcPr>
            <w:tcW w:w="539" w:type="pct"/>
            <w:tcBorders>
              <w:tl2br w:val="nil"/>
              <w:tr2bl w:val="nil"/>
            </w:tcBorders>
            <w:vAlign w:val="center"/>
          </w:tcPr>
          <w:p w14:paraId="11411CC6">
            <w:pPr>
              <w:spacing w:line="240" w:lineRule="auto"/>
              <w:jc w:val="center"/>
              <w:rPr>
                <w:color w:val="000000"/>
                <w:sz w:val="18"/>
                <w:szCs w:val="18"/>
              </w:rPr>
            </w:pPr>
            <w:r>
              <w:rPr>
                <w:color w:val="000000"/>
                <w:sz w:val="18"/>
                <w:szCs w:val="18"/>
              </w:rPr>
              <w:t>环境空气</w:t>
            </w:r>
          </w:p>
          <w:p w14:paraId="0A602A03">
            <w:pPr>
              <w:spacing w:line="240" w:lineRule="auto"/>
              <w:jc w:val="center"/>
              <w:rPr>
                <w:color w:val="000000"/>
                <w:sz w:val="18"/>
                <w:szCs w:val="18"/>
              </w:rPr>
            </w:pPr>
            <w:r>
              <w:rPr>
                <w:color w:val="000000"/>
                <w:sz w:val="18"/>
                <w:szCs w:val="18"/>
              </w:rPr>
              <w:t>环境风险</w:t>
            </w:r>
          </w:p>
        </w:tc>
        <w:tc>
          <w:tcPr>
            <w:tcW w:w="821" w:type="pct"/>
            <w:tcBorders>
              <w:tl2br w:val="nil"/>
              <w:tr2bl w:val="nil"/>
            </w:tcBorders>
            <w:vAlign w:val="center"/>
          </w:tcPr>
          <w:p w14:paraId="141E9ADE">
            <w:pPr>
              <w:spacing w:line="240" w:lineRule="auto"/>
              <w:jc w:val="center"/>
              <w:rPr>
                <w:color w:val="000000"/>
                <w:sz w:val="18"/>
                <w:szCs w:val="18"/>
              </w:rPr>
            </w:pPr>
            <w:r>
              <w:rPr>
                <w:color w:val="000000"/>
                <w:sz w:val="18"/>
                <w:szCs w:val="18"/>
              </w:rPr>
              <w:t>约10户，30人</w:t>
            </w:r>
          </w:p>
        </w:tc>
        <w:tc>
          <w:tcPr>
            <w:tcW w:w="822" w:type="pct"/>
            <w:tcBorders>
              <w:tl2br w:val="nil"/>
              <w:tr2bl w:val="nil"/>
            </w:tcBorders>
            <w:vAlign w:val="center"/>
          </w:tcPr>
          <w:p w14:paraId="117CBC1F">
            <w:pPr>
              <w:spacing w:line="240" w:lineRule="auto"/>
              <w:jc w:val="center"/>
              <w:rPr>
                <w:color w:val="000000"/>
                <w:sz w:val="18"/>
                <w:szCs w:val="18"/>
              </w:rPr>
            </w:pPr>
            <w:r>
              <w:rPr>
                <w:color w:val="000000"/>
                <w:sz w:val="18"/>
                <w:szCs w:val="18"/>
              </w:rPr>
              <w:t>环境空气二类</w:t>
            </w:r>
          </w:p>
        </w:tc>
      </w:tr>
      <w:tr w14:paraId="646500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93" w:type="pct"/>
            <w:tcBorders>
              <w:tl2br w:val="nil"/>
              <w:tr2bl w:val="nil"/>
            </w:tcBorders>
            <w:vAlign w:val="center"/>
          </w:tcPr>
          <w:p w14:paraId="44C9A5A0">
            <w:pPr>
              <w:spacing w:line="240" w:lineRule="auto"/>
              <w:jc w:val="center"/>
              <w:rPr>
                <w:color w:val="000000"/>
                <w:sz w:val="18"/>
                <w:szCs w:val="18"/>
              </w:rPr>
            </w:pPr>
            <w:r>
              <w:rPr>
                <w:color w:val="000000"/>
                <w:sz w:val="18"/>
                <w:szCs w:val="18"/>
              </w:rPr>
              <w:t>2</w:t>
            </w:r>
          </w:p>
        </w:tc>
        <w:tc>
          <w:tcPr>
            <w:tcW w:w="485" w:type="pct"/>
            <w:tcBorders>
              <w:tl2br w:val="nil"/>
              <w:tr2bl w:val="nil"/>
            </w:tcBorders>
            <w:vAlign w:val="center"/>
          </w:tcPr>
          <w:p w14:paraId="0CDAD556">
            <w:pPr>
              <w:spacing w:line="240" w:lineRule="auto"/>
              <w:jc w:val="center"/>
              <w:rPr>
                <w:color w:val="000000"/>
                <w:sz w:val="18"/>
                <w:szCs w:val="18"/>
              </w:rPr>
            </w:pPr>
            <w:r>
              <w:rPr>
                <w:color w:val="000000"/>
                <w:sz w:val="18"/>
                <w:szCs w:val="18"/>
              </w:rPr>
              <w:t>官桥村</w:t>
            </w:r>
          </w:p>
        </w:tc>
        <w:tc>
          <w:tcPr>
            <w:tcW w:w="282" w:type="pct"/>
            <w:tcBorders>
              <w:tl2br w:val="nil"/>
              <w:tr2bl w:val="nil"/>
            </w:tcBorders>
            <w:vAlign w:val="center"/>
          </w:tcPr>
          <w:p w14:paraId="1CE0B894">
            <w:pPr>
              <w:spacing w:line="240" w:lineRule="auto"/>
              <w:jc w:val="center"/>
              <w:rPr>
                <w:color w:val="000000"/>
                <w:sz w:val="18"/>
                <w:szCs w:val="18"/>
              </w:rPr>
            </w:pPr>
            <w:r>
              <w:rPr>
                <w:color w:val="000000"/>
                <w:sz w:val="18"/>
                <w:szCs w:val="18"/>
              </w:rPr>
              <w:t>NE</w:t>
            </w:r>
          </w:p>
        </w:tc>
        <w:tc>
          <w:tcPr>
            <w:tcW w:w="383" w:type="pct"/>
            <w:tcBorders>
              <w:tl2br w:val="nil"/>
              <w:tr2bl w:val="nil"/>
            </w:tcBorders>
            <w:vAlign w:val="center"/>
          </w:tcPr>
          <w:p w14:paraId="41724719">
            <w:pPr>
              <w:spacing w:line="240" w:lineRule="auto"/>
              <w:jc w:val="center"/>
              <w:rPr>
                <w:color w:val="000000"/>
                <w:sz w:val="18"/>
                <w:szCs w:val="18"/>
              </w:rPr>
            </w:pPr>
            <w:r>
              <w:rPr>
                <w:color w:val="000000"/>
                <w:sz w:val="18"/>
                <w:szCs w:val="18"/>
              </w:rPr>
              <w:t>2579</w:t>
            </w:r>
          </w:p>
        </w:tc>
        <w:tc>
          <w:tcPr>
            <w:tcW w:w="360" w:type="pct"/>
            <w:tcBorders>
              <w:tl2br w:val="nil"/>
              <w:tr2bl w:val="nil"/>
            </w:tcBorders>
            <w:vAlign w:val="center"/>
          </w:tcPr>
          <w:p w14:paraId="517E9DB8">
            <w:pPr>
              <w:spacing w:line="240" w:lineRule="auto"/>
              <w:jc w:val="center"/>
              <w:rPr>
                <w:color w:val="000000"/>
                <w:sz w:val="18"/>
                <w:szCs w:val="18"/>
              </w:rPr>
            </w:pPr>
            <w:r>
              <w:rPr>
                <w:color w:val="000000"/>
                <w:sz w:val="18"/>
                <w:szCs w:val="18"/>
              </w:rPr>
              <w:t>1542</w:t>
            </w:r>
          </w:p>
        </w:tc>
        <w:tc>
          <w:tcPr>
            <w:tcW w:w="498" w:type="pct"/>
            <w:tcBorders>
              <w:tl2br w:val="nil"/>
              <w:tr2bl w:val="nil"/>
            </w:tcBorders>
            <w:vAlign w:val="center"/>
          </w:tcPr>
          <w:p w14:paraId="0EDCEBEE">
            <w:pPr>
              <w:spacing w:line="240" w:lineRule="auto"/>
              <w:jc w:val="center"/>
              <w:rPr>
                <w:color w:val="000000"/>
                <w:sz w:val="18"/>
                <w:szCs w:val="18"/>
              </w:rPr>
            </w:pPr>
            <w:r>
              <w:rPr>
                <w:color w:val="000000"/>
                <w:sz w:val="18"/>
                <w:szCs w:val="18"/>
              </w:rPr>
              <w:t>2100m</w:t>
            </w:r>
          </w:p>
        </w:tc>
        <w:tc>
          <w:tcPr>
            <w:tcW w:w="512" w:type="pct"/>
            <w:tcBorders>
              <w:tl2br w:val="nil"/>
              <w:tr2bl w:val="nil"/>
            </w:tcBorders>
            <w:vAlign w:val="center"/>
          </w:tcPr>
          <w:p w14:paraId="76C3EE97">
            <w:pPr>
              <w:spacing w:line="240" w:lineRule="auto"/>
              <w:jc w:val="center"/>
              <w:rPr>
                <w:color w:val="000000"/>
                <w:sz w:val="18"/>
                <w:szCs w:val="18"/>
              </w:rPr>
            </w:pPr>
            <w:r>
              <w:rPr>
                <w:color w:val="000000"/>
                <w:sz w:val="18"/>
                <w:szCs w:val="18"/>
              </w:rPr>
              <w:t>2080m</w:t>
            </w:r>
          </w:p>
        </w:tc>
        <w:tc>
          <w:tcPr>
            <w:tcW w:w="539" w:type="pct"/>
            <w:tcBorders>
              <w:tl2br w:val="nil"/>
              <w:tr2bl w:val="nil"/>
            </w:tcBorders>
            <w:vAlign w:val="center"/>
          </w:tcPr>
          <w:p w14:paraId="789220D7">
            <w:pPr>
              <w:spacing w:line="240" w:lineRule="auto"/>
              <w:jc w:val="center"/>
              <w:rPr>
                <w:color w:val="000000"/>
                <w:sz w:val="18"/>
                <w:szCs w:val="18"/>
              </w:rPr>
            </w:pPr>
            <w:r>
              <w:rPr>
                <w:color w:val="000000"/>
                <w:sz w:val="18"/>
                <w:szCs w:val="18"/>
              </w:rPr>
              <w:t>环境空气</w:t>
            </w:r>
          </w:p>
          <w:p w14:paraId="7518B0F7">
            <w:pPr>
              <w:spacing w:line="240" w:lineRule="auto"/>
              <w:jc w:val="center"/>
              <w:rPr>
                <w:color w:val="000000"/>
                <w:sz w:val="18"/>
                <w:szCs w:val="18"/>
              </w:rPr>
            </w:pPr>
            <w:r>
              <w:rPr>
                <w:color w:val="000000"/>
                <w:sz w:val="18"/>
                <w:szCs w:val="18"/>
              </w:rPr>
              <w:t>环境风险</w:t>
            </w:r>
          </w:p>
        </w:tc>
        <w:tc>
          <w:tcPr>
            <w:tcW w:w="821" w:type="pct"/>
            <w:tcBorders>
              <w:tl2br w:val="nil"/>
              <w:tr2bl w:val="nil"/>
            </w:tcBorders>
            <w:vAlign w:val="center"/>
          </w:tcPr>
          <w:p w14:paraId="15060005">
            <w:pPr>
              <w:spacing w:line="240" w:lineRule="auto"/>
              <w:jc w:val="center"/>
              <w:rPr>
                <w:color w:val="000000"/>
                <w:sz w:val="18"/>
                <w:szCs w:val="18"/>
              </w:rPr>
            </w:pPr>
            <w:r>
              <w:rPr>
                <w:color w:val="000000"/>
                <w:sz w:val="18"/>
                <w:szCs w:val="18"/>
              </w:rPr>
              <w:t>约30户，90人</w:t>
            </w:r>
          </w:p>
        </w:tc>
        <w:tc>
          <w:tcPr>
            <w:tcW w:w="822" w:type="pct"/>
            <w:tcBorders>
              <w:tl2br w:val="nil"/>
              <w:tr2bl w:val="nil"/>
            </w:tcBorders>
            <w:vAlign w:val="center"/>
          </w:tcPr>
          <w:p w14:paraId="215B81D3">
            <w:pPr>
              <w:spacing w:line="240" w:lineRule="auto"/>
              <w:jc w:val="center"/>
              <w:rPr>
                <w:color w:val="000000"/>
                <w:sz w:val="18"/>
                <w:szCs w:val="18"/>
              </w:rPr>
            </w:pPr>
            <w:r>
              <w:rPr>
                <w:color w:val="000000"/>
                <w:sz w:val="18"/>
                <w:szCs w:val="18"/>
              </w:rPr>
              <w:t>环境空气二类</w:t>
            </w:r>
          </w:p>
        </w:tc>
      </w:tr>
      <w:tr w14:paraId="4DF096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93" w:type="pct"/>
            <w:tcBorders>
              <w:tl2br w:val="nil"/>
              <w:tr2bl w:val="nil"/>
            </w:tcBorders>
            <w:vAlign w:val="center"/>
          </w:tcPr>
          <w:p w14:paraId="17AECC52">
            <w:pPr>
              <w:spacing w:line="240" w:lineRule="auto"/>
              <w:jc w:val="center"/>
              <w:rPr>
                <w:color w:val="000000"/>
                <w:sz w:val="18"/>
                <w:szCs w:val="18"/>
              </w:rPr>
            </w:pPr>
            <w:r>
              <w:rPr>
                <w:color w:val="000000"/>
                <w:sz w:val="18"/>
                <w:szCs w:val="18"/>
              </w:rPr>
              <w:t>3</w:t>
            </w:r>
          </w:p>
        </w:tc>
        <w:tc>
          <w:tcPr>
            <w:tcW w:w="485" w:type="pct"/>
            <w:tcBorders>
              <w:tl2br w:val="nil"/>
              <w:tr2bl w:val="nil"/>
            </w:tcBorders>
            <w:vAlign w:val="center"/>
          </w:tcPr>
          <w:p w14:paraId="621AEB07">
            <w:pPr>
              <w:spacing w:line="240" w:lineRule="auto"/>
              <w:jc w:val="center"/>
              <w:rPr>
                <w:color w:val="000000"/>
                <w:sz w:val="18"/>
                <w:szCs w:val="18"/>
              </w:rPr>
            </w:pPr>
            <w:r>
              <w:rPr>
                <w:color w:val="000000"/>
                <w:sz w:val="18"/>
                <w:szCs w:val="18"/>
              </w:rPr>
              <w:t>涪陵区白涛街道小学校</w:t>
            </w:r>
          </w:p>
        </w:tc>
        <w:tc>
          <w:tcPr>
            <w:tcW w:w="282" w:type="pct"/>
            <w:tcBorders>
              <w:tl2br w:val="nil"/>
              <w:tr2bl w:val="nil"/>
            </w:tcBorders>
            <w:vAlign w:val="center"/>
          </w:tcPr>
          <w:p w14:paraId="1459DF17">
            <w:pPr>
              <w:spacing w:line="240" w:lineRule="auto"/>
              <w:jc w:val="center"/>
              <w:rPr>
                <w:color w:val="000000"/>
                <w:sz w:val="18"/>
                <w:szCs w:val="18"/>
              </w:rPr>
            </w:pPr>
            <w:r>
              <w:rPr>
                <w:color w:val="000000"/>
                <w:sz w:val="18"/>
                <w:szCs w:val="18"/>
              </w:rPr>
              <w:t>NE</w:t>
            </w:r>
          </w:p>
        </w:tc>
        <w:tc>
          <w:tcPr>
            <w:tcW w:w="383" w:type="pct"/>
            <w:tcBorders>
              <w:tl2br w:val="nil"/>
              <w:tr2bl w:val="nil"/>
            </w:tcBorders>
            <w:vAlign w:val="center"/>
          </w:tcPr>
          <w:p w14:paraId="57E57B99">
            <w:pPr>
              <w:spacing w:line="240" w:lineRule="auto"/>
              <w:jc w:val="center"/>
              <w:rPr>
                <w:color w:val="000000"/>
                <w:sz w:val="18"/>
                <w:szCs w:val="18"/>
              </w:rPr>
            </w:pPr>
            <w:r>
              <w:rPr>
                <w:color w:val="000000"/>
                <w:sz w:val="18"/>
                <w:szCs w:val="18"/>
              </w:rPr>
              <w:t>2859</w:t>
            </w:r>
          </w:p>
        </w:tc>
        <w:tc>
          <w:tcPr>
            <w:tcW w:w="360" w:type="pct"/>
            <w:tcBorders>
              <w:tl2br w:val="nil"/>
              <w:tr2bl w:val="nil"/>
            </w:tcBorders>
            <w:vAlign w:val="center"/>
          </w:tcPr>
          <w:p w14:paraId="1C51AD1C">
            <w:pPr>
              <w:spacing w:line="240" w:lineRule="auto"/>
              <w:jc w:val="center"/>
              <w:rPr>
                <w:color w:val="000000"/>
                <w:sz w:val="18"/>
                <w:szCs w:val="18"/>
              </w:rPr>
            </w:pPr>
            <w:r>
              <w:rPr>
                <w:color w:val="000000"/>
                <w:sz w:val="18"/>
                <w:szCs w:val="18"/>
              </w:rPr>
              <w:t>1276</w:t>
            </w:r>
          </w:p>
        </w:tc>
        <w:tc>
          <w:tcPr>
            <w:tcW w:w="498" w:type="pct"/>
            <w:tcBorders>
              <w:tl2br w:val="nil"/>
              <w:tr2bl w:val="nil"/>
            </w:tcBorders>
            <w:vAlign w:val="center"/>
          </w:tcPr>
          <w:p w14:paraId="73CB864D">
            <w:pPr>
              <w:spacing w:line="240" w:lineRule="auto"/>
              <w:jc w:val="center"/>
              <w:rPr>
                <w:color w:val="000000"/>
                <w:sz w:val="18"/>
                <w:szCs w:val="18"/>
              </w:rPr>
            </w:pPr>
            <w:r>
              <w:rPr>
                <w:color w:val="000000"/>
                <w:sz w:val="18"/>
                <w:szCs w:val="18"/>
              </w:rPr>
              <w:t>2370m</w:t>
            </w:r>
          </w:p>
        </w:tc>
        <w:tc>
          <w:tcPr>
            <w:tcW w:w="512" w:type="pct"/>
            <w:tcBorders>
              <w:tl2br w:val="nil"/>
              <w:tr2bl w:val="nil"/>
            </w:tcBorders>
            <w:vAlign w:val="center"/>
          </w:tcPr>
          <w:p w14:paraId="5D1B9B6D">
            <w:pPr>
              <w:spacing w:line="240" w:lineRule="auto"/>
              <w:jc w:val="center"/>
              <w:rPr>
                <w:color w:val="000000"/>
                <w:sz w:val="18"/>
                <w:szCs w:val="18"/>
              </w:rPr>
            </w:pPr>
            <w:r>
              <w:rPr>
                <w:color w:val="000000"/>
                <w:sz w:val="18"/>
                <w:szCs w:val="18"/>
              </w:rPr>
              <w:t>2200m</w:t>
            </w:r>
          </w:p>
        </w:tc>
        <w:tc>
          <w:tcPr>
            <w:tcW w:w="539" w:type="pct"/>
            <w:tcBorders>
              <w:tl2br w:val="nil"/>
              <w:tr2bl w:val="nil"/>
            </w:tcBorders>
            <w:vAlign w:val="center"/>
          </w:tcPr>
          <w:p w14:paraId="121BFF97">
            <w:pPr>
              <w:spacing w:line="240" w:lineRule="auto"/>
              <w:jc w:val="center"/>
              <w:rPr>
                <w:color w:val="000000"/>
                <w:sz w:val="18"/>
                <w:szCs w:val="18"/>
              </w:rPr>
            </w:pPr>
            <w:r>
              <w:rPr>
                <w:color w:val="000000"/>
                <w:sz w:val="18"/>
                <w:szCs w:val="18"/>
              </w:rPr>
              <w:t>环境空气</w:t>
            </w:r>
          </w:p>
          <w:p w14:paraId="52E9021E">
            <w:pPr>
              <w:spacing w:line="240" w:lineRule="auto"/>
              <w:jc w:val="center"/>
              <w:rPr>
                <w:color w:val="000000"/>
                <w:sz w:val="18"/>
                <w:szCs w:val="18"/>
              </w:rPr>
            </w:pPr>
            <w:r>
              <w:rPr>
                <w:color w:val="000000"/>
                <w:sz w:val="18"/>
                <w:szCs w:val="18"/>
              </w:rPr>
              <w:t>环境风险</w:t>
            </w:r>
          </w:p>
        </w:tc>
        <w:tc>
          <w:tcPr>
            <w:tcW w:w="821" w:type="pct"/>
            <w:tcBorders>
              <w:tl2br w:val="nil"/>
              <w:tr2bl w:val="nil"/>
            </w:tcBorders>
            <w:vAlign w:val="center"/>
          </w:tcPr>
          <w:p w14:paraId="12147124">
            <w:pPr>
              <w:spacing w:line="240" w:lineRule="auto"/>
              <w:jc w:val="center"/>
              <w:rPr>
                <w:color w:val="000000"/>
                <w:sz w:val="18"/>
                <w:szCs w:val="18"/>
              </w:rPr>
            </w:pPr>
            <w:r>
              <w:rPr>
                <w:color w:val="000000"/>
                <w:sz w:val="18"/>
                <w:szCs w:val="18"/>
              </w:rPr>
              <w:t>师生约1600人</w:t>
            </w:r>
          </w:p>
        </w:tc>
        <w:tc>
          <w:tcPr>
            <w:tcW w:w="822" w:type="pct"/>
            <w:tcBorders>
              <w:tl2br w:val="nil"/>
              <w:tr2bl w:val="nil"/>
            </w:tcBorders>
            <w:vAlign w:val="center"/>
          </w:tcPr>
          <w:p w14:paraId="486667F8">
            <w:pPr>
              <w:spacing w:line="240" w:lineRule="auto"/>
              <w:jc w:val="center"/>
              <w:rPr>
                <w:color w:val="000000"/>
                <w:sz w:val="18"/>
                <w:szCs w:val="18"/>
              </w:rPr>
            </w:pPr>
            <w:r>
              <w:rPr>
                <w:color w:val="000000"/>
                <w:sz w:val="18"/>
                <w:szCs w:val="18"/>
              </w:rPr>
              <w:t>环境空气二类</w:t>
            </w:r>
          </w:p>
        </w:tc>
      </w:tr>
      <w:tr w14:paraId="0F6DEB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3" w:type="pct"/>
            <w:tcBorders>
              <w:tl2br w:val="nil"/>
              <w:tr2bl w:val="nil"/>
            </w:tcBorders>
            <w:vAlign w:val="center"/>
          </w:tcPr>
          <w:p w14:paraId="79DF91B2">
            <w:pPr>
              <w:spacing w:line="240" w:lineRule="auto"/>
              <w:jc w:val="center"/>
              <w:rPr>
                <w:color w:val="000000"/>
                <w:sz w:val="18"/>
                <w:szCs w:val="18"/>
              </w:rPr>
            </w:pPr>
            <w:r>
              <w:rPr>
                <w:color w:val="000000"/>
                <w:sz w:val="18"/>
                <w:szCs w:val="18"/>
              </w:rPr>
              <w:t>4</w:t>
            </w:r>
          </w:p>
        </w:tc>
        <w:tc>
          <w:tcPr>
            <w:tcW w:w="485" w:type="pct"/>
            <w:tcBorders>
              <w:tl2br w:val="nil"/>
              <w:tr2bl w:val="nil"/>
            </w:tcBorders>
            <w:vAlign w:val="center"/>
          </w:tcPr>
          <w:p w14:paraId="2D1D306A">
            <w:pPr>
              <w:spacing w:line="240" w:lineRule="auto"/>
              <w:jc w:val="center"/>
              <w:rPr>
                <w:color w:val="000000"/>
                <w:sz w:val="18"/>
                <w:szCs w:val="18"/>
              </w:rPr>
            </w:pPr>
            <w:r>
              <w:rPr>
                <w:color w:val="000000"/>
                <w:sz w:val="18"/>
                <w:szCs w:val="18"/>
              </w:rPr>
              <w:t>涪陵区山窝中学校</w:t>
            </w:r>
          </w:p>
        </w:tc>
        <w:tc>
          <w:tcPr>
            <w:tcW w:w="282" w:type="pct"/>
            <w:tcBorders>
              <w:tl2br w:val="nil"/>
              <w:tr2bl w:val="nil"/>
            </w:tcBorders>
            <w:vAlign w:val="center"/>
          </w:tcPr>
          <w:p w14:paraId="7AEB3F67">
            <w:pPr>
              <w:spacing w:line="240" w:lineRule="auto"/>
              <w:jc w:val="center"/>
              <w:rPr>
                <w:color w:val="000000"/>
                <w:sz w:val="18"/>
                <w:szCs w:val="18"/>
              </w:rPr>
            </w:pPr>
            <w:r>
              <w:rPr>
                <w:color w:val="000000"/>
                <w:sz w:val="18"/>
                <w:szCs w:val="18"/>
              </w:rPr>
              <w:t>NE</w:t>
            </w:r>
          </w:p>
        </w:tc>
        <w:tc>
          <w:tcPr>
            <w:tcW w:w="383" w:type="pct"/>
            <w:tcBorders>
              <w:tl2br w:val="nil"/>
              <w:tr2bl w:val="nil"/>
            </w:tcBorders>
            <w:vAlign w:val="center"/>
          </w:tcPr>
          <w:p w14:paraId="45EE1E09">
            <w:pPr>
              <w:spacing w:line="240" w:lineRule="auto"/>
              <w:jc w:val="center"/>
              <w:rPr>
                <w:color w:val="000000"/>
                <w:sz w:val="18"/>
                <w:szCs w:val="18"/>
              </w:rPr>
            </w:pPr>
            <w:r>
              <w:rPr>
                <w:color w:val="000000"/>
                <w:sz w:val="18"/>
                <w:szCs w:val="18"/>
              </w:rPr>
              <w:t>2927</w:t>
            </w:r>
          </w:p>
        </w:tc>
        <w:tc>
          <w:tcPr>
            <w:tcW w:w="360" w:type="pct"/>
            <w:tcBorders>
              <w:tl2br w:val="nil"/>
              <w:tr2bl w:val="nil"/>
            </w:tcBorders>
            <w:vAlign w:val="center"/>
          </w:tcPr>
          <w:p w14:paraId="23D429FA">
            <w:pPr>
              <w:spacing w:line="240" w:lineRule="auto"/>
              <w:jc w:val="center"/>
              <w:rPr>
                <w:color w:val="000000"/>
                <w:sz w:val="18"/>
                <w:szCs w:val="18"/>
              </w:rPr>
            </w:pPr>
            <w:r>
              <w:rPr>
                <w:color w:val="000000"/>
                <w:sz w:val="18"/>
                <w:szCs w:val="18"/>
              </w:rPr>
              <w:t>1501</w:t>
            </w:r>
          </w:p>
        </w:tc>
        <w:tc>
          <w:tcPr>
            <w:tcW w:w="498" w:type="pct"/>
            <w:tcBorders>
              <w:tl2br w:val="nil"/>
              <w:tr2bl w:val="nil"/>
            </w:tcBorders>
            <w:vAlign w:val="center"/>
          </w:tcPr>
          <w:p w14:paraId="4C2DF48E">
            <w:pPr>
              <w:spacing w:line="240" w:lineRule="auto"/>
              <w:jc w:val="center"/>
              <w:rPr>
                <w:color w:val="000000"/>
                <w:sz w:val="18"/>
                <w:szCs w:val="18"/>
              </w:rPr>
            </w:pPr>
            <w:r>
              <w:rPr>
                <w:color w:val="000000"/>
                <w:sz w:val="18"/>
                <w:szCs w:val="18"/>
              </w:rPr>
              <w:t>2420m</w:t>
            </w:r>
          </w:p>
        </w:tc>
        <w:tc>
          <w:tcPr>
            <w:tcW w:w="512" w:type="pct"/>
            <w:tcBorders>
              <w:tl2br w:val="nil"/>
              <w:tr2bl w:val="nil"/>
            </w:tcBorders>
            <w:vAlign w:val="center"/>
          </w:tcPr>
          <w:p w14:paraId="3264B896">
            <w:pPr>
              <w:spacing w:line="240" w:lineRule="auto"/>
              <w:jc w:val="center"/>
              <w:rPr>
                <w:color w:val="000000"/>
                <w:sz w:val="18"/>
                <w:szCs w:val="18"/>
              </w:rPr>
            </w:pPr>
            <w:r>
              <w:rPr>
                <w:color w:val="000000"/>
                <w:sz w:val="18"/>
                <w:szCs w:val="18"/>
              </w:rPr>
              <w:t>2250m</w:t>
            </w:r>
          </w:p>
        </w:tc>
        <w:tc>
          <w:tcPr>
            <w:tcW w:w="539" w:type="pct"/>
            <w:tcBorders>
              <w:tl2br w:val="nil"/>
              <w:tr2bl w:val="nil"/>
            </w:tcBorders>
            <w:vAlign w:val="center"/>
          </w:tcPr>
          <w:p w14:paraId="454404E8">
            <w:pPr>
              <w:spacing w:line="240" w:lineRule="auto"/>
              <w:jc w:val="center"/>
              <w:rPr>
                <w:color w:val="000000"/>
                <w:sz w:val="18"/>
                <w:szCs w:val="18"/>
              </w:rPr>
            </w:pPr>
            <w:r>
              <w:rPr>
                <w:color w:val="000000"/>
                <w:sz w:val="18"/>
                <w:szCs w:val="18"/>
              </w:rPr>
              <w:t>环境空气</w:t>
            </w:r>
          </w:p>
          <w:p w14:paraId="7E84381C">
            <w:pPr>
              <w:spacing w:line="240" w:lineRule="auto"/>
              <w:jc w:val="center"/>
              <w:rPr>
                <w:color w:val="000000"/>
                <w:sz w:val="18"/>
                <w:szCs w:val="18"/>
              </w:rPr>
            </w:pPr>
            <w:r>
              <w:rPr>
                <w:color w:val="000000"/>
                <w:sz w:val="18"/>
                <w:szCs w:val="18"/>
              </w:rPr>
              <w:t>环境风险</w:t>
            </w:r>
          </w:p>
        </w:tc>
        <w:tc>
          <w:tcPr>
            <w:tcW w:w="821" w:type="pct"/>
            <w:tcBorders>
              <w:tl2br w:val="nil"/>
              <w:tr2bl w:val="nil"/>
            </w:tcBorders>
            <w:vAlign w:val="center"/>
          </w:tcPr>
          <w:p w14:paraId="5C7927BF">
            <w:pPr>
              <w:spacing w:line="240" w:lineRule="auto"/>
              <w:jc w:val="center"/>
              <w:rPr>
                <w:color w:val="000000"/>
                <w:sz w:val="18"/>
                <w:szCs w:val="18"/>
              </w:rPr>
            </w:pPr>
            <w:r>
              <w:rPr>
                <w:color w:val="000000"/>
                <w:sz w:val="18"/>
                <w:szCs w:val="18"/>
              </w:rPr>
              <w:t>师生约600人</w:t>
            </w:r>
          </w:p>
        </w:tc>
        <w:tc>
          <w:tcPr>
            <w:tcW w:w="822" w:type="pct"/>
            <w:tcBorders>
              <w:tl2br w:val="nil"/>
              <w:tr2bl w:val="nil"/>
            </w:tcBorders>
            <w:vAlign w:val="center"/>
          </w:tcPr>
          <w:p w14:paraId="2D5B0304">
            <w:pPr>
              <w:spacing w:line="240" w:lineRule="auto"/>
              <w:jc w:val="center"/>
              <w:rPr>
                <w:color w:val="000000"/>
                <w:sz w:val="18"/>
                <w:szCs w:val="18"/>
              </w:rPr>
            </w:pPr>
            <w:r>
              <w:rPr>
                <w:color w:val="000000"/>
                <w:sz w:val="18"/>
                <w:szCs w:val="18"/>
              </w:rPr>
              <w:t>环境空气二类</w:t>
            </w:r>
          </w:p>
        </w:tc>
      </w:tr>
      <w:tr w14:paraId="2DC29A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3" w:type="pct"/>
            <w:tcBorders>
              <w:tl2br w:val="nil"/>
              <w:tr2bl w:val="nil"/>
            </w:tcBorders>
            <w:vAlign w:val="center"/>
          </w:tcPr>
          <w:p w14:paraId="28A9B92B">
            <w:pPr>
              <w:spacing w:line="240" w:lineRule="auto"/>
              <w:jc w:val="center"/>
              <w:rPr>
                <w:color w:val="000000"/>
                <w:sz w:val="18"/>
                <w:szCs w:val="18"/>
              </w:rPr>
            </w:pPr>
            <w:r>
              <w:rPr>
                <w:color w:val="000000"/>
                <w:sz w:val="18"/>
                <w:szCs w:val="18"/>
              </w:rPr>
              <w:t>5</w:t>
            </w:r>
          </w:p>
        </w:tc>
        <w:tc>
          <w:tcPr>
            <w:tcW w:w="485" w:type="pct"/>
            <w:tcBorders>
              <w:tl2br w:val="nil"/>
              <w:tr2bl w:val="nil"/>
            </w:tcBorders>
            <w:vAlign w:val="center"/>
          </w:tcPr>
          <w:p w14:paraId="0843D831">
            <w:pPr>
              <w:spacing w:line="240" w:lineRule="auto"/>
              <w:jc w:val="center"/>
              <w:rPr>
                <w:color w:val="000000"/>
                <w:sz w:val="18"/>
                <w:szCs w:val="18"/>
              </w:rPr>
            </w:pPr>
            <w:r>
              <w:rPr>
                <w:color w:val="000000"/>
                <w:sz w:val="18"/>
                <w:szCs w:val="18"/>
              </w:rPr>
              <w:t>新立村1</w:t>
            </w:r>
          </w:p>
        </w:tc>
        <w:tc>
          <w:tcPr>
            <w:tcW w:w="282" w:type="pct"/>
            <w:tcBorders>
              <w:tl2br w:val="nil"/>
              <w:tr2bl w:val="nil"/>
            </w:tcBorders>
            <w:vAlign w:val="center"/>
          </w:tcPr>
          <w:p w14:paraId="618B0287">
            <w:pPr>
              <w:spacing w:line="240" w:lineRule="auto"/>
              <w:jc w:val="center"/>
              <w:rPr>
                <w:color w:val="000000"/>
                <w:sz w:val="18"/>
                <w:szCs w:val="18"/>
              </w:rPr>
            </w:pPr>
            <w:r>
              <w:rPr>
                <w:color w:val="000000"/>
                <w:sz w:val="18"/>
                <w:szCs w:val="18"/>
              </w:rPr>
              <w:t>S</w:t>
            </w:r>
          </w:p>
        </w:tc>
        <w:tc>
          <w:tcPr>
            <w:tcW w:w="383" w:type="pct"/>
            <w:tcBorders>
              <w:tl2br w:val="nil"/>
              <w:tr2bl w:val="nil"/>
            </w:tcBorders>
            <w:vAlign w:val="center"/>
          </w:tcPr>
          <w:p w14:paraId="41FAD79A">
            <w:pPr>
              <w:spacing w:line="240" w:lineRule="auto"/>
              <w:jc w:val="center"/>
              <w:rPr>
                <w:color w:val="000000"/>
                <w:sz w:val="18"/>
                <w:szCs w:val="18"/>
              </w:rPr>
            </w:pPr>
            <w:r>
              <w:rPr>
                <w:color w:val="000000"/>
                <w:sz w:val="18"/>
                <w:szCs w:val="18"/>
              </w:rPr>
              <w:t>-69</w:t>
            </w:r>
          </w:p>
        </w:tc>
        <w:tc>
          <w:tcPr>
            <w:tcW w:w="360" w:type="pct"/>
            <w:tcBorders>
              <w:tl2br w:val="nil"/>
              <w:tr2bl w:val="nil"/>
            </w:tcBorders>
            <w:vAlign w:val="center"/>
          </w:tcPr>
          <w:p w14:paraId="74271E6B">
            <w:pPr>
              <w:spacing w:line="240" w:lineRule="auto"/>
              <w:jc w:val="center"/>
              <w:rPr>
                <w:color w:val="000000"/>
                <w:sz w:val="18"/>
                <w:szCs w:val="18"/>
              </w:rPr>
            </w:pPr>
            <w:r>
              <w:rPr>
                <w:color w:val="000000"/>
                <w:sz w:val="18"/>
                <w:szCs w:val="18"/>
              </w:rPr>
              <w:t>-1692</w:t>
            </w:r>
          </w:p>
        </w:tc>
        <w:tc>
          <w:tcPr>
            <w:tcW w:w="498" w:type="pct"/>
            <w:tcBorders>
              <w:tl2br w:val="nil"/>
              <w:tr2bl w:val="nil"/>
            </w:tcBorders>
            <w:vAlign w:val="center"/>
          </w:tcPr>
          <w:p w14:paraId="7E392469">
            <w:pPr>
              <w:spacing w:line="240" w:lineRule="auto"/>
              <w:jc w:val="center"/>
              <w:rPr>
                <w:color w:val="000000"/>
                <w:sz w:val="18"/>
                <w:szCs w:val="18"/>
              </w:rPr>
            </w:pPr>
            <w:r>
              <w:rPr>
                <w:color w:val="000000"/>
                <w:sz w:val="18"/>
                <w:szCs w:val="18"/>
              </w:rPr>
              <w:t>1690m</w:t>
            </w:r>
          </w:p>
        </w:tc>
        <w:tc>
          <w:tcPr>
            <w:tcW w:w="512" w:type="pct"/>
            <w:tcBorders>
              <w:tl2br w:val="nil"/>
              <w:tr2bl w:val="nil"/>
            </w:tcBorders>
            <w:vAlign w:val="center"/>
          </w:tcPr>
          <w:p w14:paraId="3038B315">
            <w:pPr>
              <w:spacing w:line="240" w:lineRule="auto"/>
              <w:jc w:val="center"/>
              <w:rPr>
                <w:color w:val="000000"/>
                <w:sz w:val="18"/>
                <w:szCs w:val="18"/>
              </w:rPr>
            </w:pPr>
            <w:r>
              <w:rPr>
                <w:color w:val="000000"/>
                <w:sz w:val="18"/>
                <w:szCs w:val="18"/>
              </w:rPr>
              <w:t>1360m</w:t>
            </w:r>
          </w:p>
        </w:tc>
        <w:tc>
          <w:tcPr>
            <w:tcW w:w="539" w:type="pct"/>
            <w:tcBorders>
              <w:tl2br w:val="nil"/>
              <w:tr2bl w:val="nil"/>
            </w:tcBorders>
            <w:vAlign w:val="center"/>
          </w:tcPr>
          <w:p w14:paraId="1315246E">
            <w:pPr>
              <w:spacing w:line="240" w:lineRule="auto"/>
              <w:jc w:val="center"/>
              <w:rPr>
                <w:color w:val="000000"/>
                <w:sz w:val="18"/>
                <w:szCs w:val="18"/>
              </w:rPr>
            </w:pPr>
            <w:r>
              <w:rPr>
                <w:color w:val="000000"/>
                <w:sz w:val="18"/>
                <w:szCs w:val="18"/>
              </w:rPr>
              <w:t>环境空气</w:t>
            </w:r>
          </w:p>
          <w:p w14:paraId="0476C54E">
            <w:pPr>
              <w:spacing w:line="240" w:lineRule="auto"/>
              <w:jc w:val="center"/>
              <w:rPr>
                <w:color w:val="000000"/>
                <w:sz w:val="18"/>
                <w:szCs w:val="18"/>
              </w:rPr>
            </w:pPr>
            <w:r>
              <w:rPr>
                <w:color w:val="000000"/>
                <w:sz w:val="18"/>
                <w:szCs w:val="18"/>
              </w:rPr>
              <w:t>环境风险</w:t>
            </w:r>
          </w:p>
        </w:tc>
        <w:tc>
          <w:tcPr>
            <w:tcW w:w="821" w:type="pct"/>
            <w:tcBorders>
              <w:tl2br w:val="nil"/>
              <w:tr2bl w:val="nil"/>
            </w:tcBorders>
            <w:vAlign w:val="center"/>
          </w:tcPr>
          <w:p w14:paraId="1C9CDF2F">
            <w:pPr>
              <w:spacing w:line="240" w:lineRule="auto"/>
              <w:jc w:val="center"/>
              <w:rPr>
                <w:color w:val="000000"/>
                <w:sz w:val="18"/>
                <w:szCs w:val="18"/>
              </w:rPr>
            </w:pPr>
            <w:r>
              <w:rPr>
                <w:color w:val="000000"/>
                <w:sz w:val="18"/>
                <w:szCs w:val="18"/>
              </w:rPr>
              <w:t>约15户，45人</w:t>
            </w:r>
          </w:p>
          <w:p w14:paraId="65761342">
            <w:pPr>
              <w:spacing w:line="240" w:lineRule="auto"/>
              <w:jc w:val="center"/>
              <w:rPr>
                <w:color w:val="000000"/>
                <w:sz w:val="18"/>
                <w:szCs w:val="18"/>
              </w:rPr>
            </w:pPr>
            <w:r>
              <w:rPr>
                <w:color w:val="000000"/>
                <w:sz w:val="18"/>
                <w:szCs w:val="18"/>
              </w:rPr>
              <w:t>（园区内，规划搬迁）</w:t>
            </w:r>
          </w:p>
        </w:tc>
        <w:tc>
          <w:tcPr>
            <w:tcW w:w="822" w:type="pct"/>
            <w:tcBorders>
              <w:tl2br w:val="nil"/>
              <w:tr2bl w:val="nil"/>
            </w:tcBorders>
            <w:vAlign w:val="center"/>
          </w:tcPr>
          <w:p w14:paraId="321287A7">
            <w:pPr>
              <w:spacing w:line="240" w:lineRule="auto"/>
              <w:jc w:val="center"/>
              <w:rPr>
                <w:color w:val="000000"/>
                <w:sz w:val="18"/>
                <w:szCs w:val="18"/>
              </w:rPr>
            </w:pPr>
            <w:r>
              <w:rPr>
                <w:color w:val="000000"/>
                <w:sz w:val="18"/>
                <w:szCs w:val="18"/>
              </w:rPr>
              <w:t>环境空气二类</w:t>
            </w:r>
          </w:p>
        </w:tc>
      </w:tr>
      <w:tr w14:paraId="0B3B2D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5" w:hRule="atLeast"/>
          <w:jc w:val="center"/>
        </w:trPr>
        <w:tc>
          <w:tcPr>
            <w:tcW w:w="293" w:type="pct"/>
            <w:tcBorders>
              <w:tl2br w:val="nil"/>
              <w:tr2bl w:val="nil"/>
            </w:tcBorders>
            <w:vAlign w:val="center"/>
          </w:tcPr>
          <w:p w14:paraId="26C91209">
            <w:pPr>
              <w:spacing w:line="240" w:lineRule="auto"/>
              <w:jc w:val="center"/>
              <w:rPr>
                <w:color w:val="000000"/>
                <w:sz w:val="18"/>
                <w:szCs w:val="18"/>
              </w:rPr>
            </w:pPr>
            <w:r>
              <w:rPr>
                <w:color w:val="000000"/>
                <w:sz w:val="18"/>
                <w:szCs w:val="18"/>
              </w:rPr>
              <w:t>6</w:t>
            </w:r>
          </w:p>
        </w:tc>
        <w:tc>
          <w:tcPr>
            <w:tcW w:w="485" w:type="pct"/>
            <w:tcBorders>
              <w:tl2br w:val="nil"/>
              <w:tr2bl w:val="nil"/>
            </w:tcBorders>
            <w:vAlign w:val="center"/>
          </w:tcPr>
          <w:p w14:paraId="529E8BED">
            <w:pPr>
              <w:spacing w:line="240" w:lineRule="auto"/>
              <w:jc w:val="center"/>
              <w:rPr>
                <w:color w:val="000000"/>
                <w:sz w:val="18"/>
                <w:szCs w:val="18"/>
              </w:rPr>
            </w:pPr>
            <w:r>
              <w:rPr>
                <w:color w:val="000000"/>
                <w:sz w:val="18"/>
                <w:szCs w:val="18"/>
              </w:rPr>
              <w:t>新立村2</w:t>
            </w:r>
          </w:p>
        </w:tc>
        <w:tc>
          <w:tcPr>
            <w:tcW w:w="282" w:type="pct"/>
            <w:tcBorders>
              <w:tl2br w:val="nil"/>
              <w:tr2bl w:val="nil"/>
            </w:tcBorders>
            <w:vAlign w:val="center"/>
          </w:tcPr>
          <w:p w14:paraId="497F9C50">
            <w:pPr>
              <w:spacing w:line="240" w:lineRule="auto"/>
              <w:jc w:val="center"/>
              <w:rPr>
                <w:color w:val="000000"/>
                <w:sz w:val="18"/>
                <w:szCs w:val="18"/>
              </w:rPr>
            </w:pPr>
            <w:r>
              <w:rPr>
                <w:color w:val="000000"/>
                <w:sz w:val="18"/>
                <w:szCs w:val="18"/>
              </w:rPr>
              <w:t>S</w:t>
            </w:r>
          </w:p>
        </w:tc>
        <w:tc>
          <w:tcPr>
            <w:tcW w:w="383" w:type="pct"/>
            <w:tcBorders>
              <w:tl2br w:val="nil"/>
              <w:tr2bl w:val="nil"/>
            </w:tcBorders>
            <w:vAlign w:val="center"/>
          </w:tcPr>
          <w:p w14:paraId="103BDA01">
            <w:pPr>
              <w:spacing w:line="240" w:lineRule="auto"/>
              <w:jc w:val="center"/>
              <w:rPr>
                <w:color w:val="000000"/>
                <w:sz w:val="18"/>
                <w:szCs w:val="18"/>
              </w:rPr>
            </w:pPr>
            <w:r>
              <w:rPr>
                <w:color w:val="000000"/>
                <w:sz w:val="18"/>
                <w:szCs w:val="18"/>
              </w:rPr>
              <w:t>2321</w:t>
            </w:r>
          </w:p>
        </w:tc>
        <w:tc>
          <w:tcPr>
            <w:tcW w:w="360" w:type="pct"/>
            <w:tcBorders>
              <w:tl2br w:val="nil"/>
              <w:tr2bl w:val="nil"/>
            </w:tcBorders>
            <w:vAlign w:val="center"/>
          </w:tcPr>
          <w:p w14:paraId="5DCD2AF3">
            <w:pPr>
              <w:spacing w:line="240" w:lineRule="auto"/>
              <w:jc w:val="center"/>
              <w:rPr>
                <w:color w:val="000000"/>
                <w:sz w:val="18"/>
                <w:szCs w:val="18"/>
              </w:rPr>
            </w:pPr>
            <w:r>
              <w:rPr>
                <w:color w:val="000000"/>
                <w:sz w:val="18"/>
                <w:szCs w:val="18"/>
              </w:rPr>
              <w:t>-1454</w:t>
            </w:r>
          </w:p>
        </w:tc>
        <w:tc>
          <w:tcPr>
            <w:tcW w:w="498" w:type="pct"/>
            <w:tcBorders>
              <w:tl2br w:val="nil"/>
              <w:tr2bl w:val="nil"/>
            </w:tcBorders>
            <w:vAlign w:val="center"/>
          </w:tcPr>
          <w:p w14:paraId="34F4C7AE">
            <w:pPr>
              <w:spacing w:line="240" w:lineRule="auto"/>
              <w:jc w:val="center"/>
              <w:rPr>
                <w:color w:val="000000"/>
                <w:sz w:val="18"/>
                <w:szCs w:val="18"/>
              </w:rPr>
            </w:pPr>
            <w:r>
              <w:rPr>
                <w:color w:val="000000"/>
                <w:sz w:val="18"/>
                <w:szCs w:val="18"/>
              </w:rPr>
              <w:t>2300m</w:t>
            </w:r>
          </w:p>
        </w:tc>
        <w:tc>
          <w:tcPr>
            <w:tcW w:w="512" w:type="pct"/>
            <w:tcBorders>
              <w:tl2br w:val="nil"/>
              <w:tr2bl w:val="nil"/>
            </w:tcBorders>
            <w:vAlign w:val="center"/>
          </w:tcPr>
          <w:p w14:paraId="048B5350">
            <w:pPr>
              <w:spacing w:line="240" w:lineRule="auto"/>
              <w:jc w:val="center"/>
              <w:rPr>
                <w:color w:val="000000"/>
                <w:sz w:val="18"/>
                <w:szCs w:val="18"/>
              </w:rPr>
            </w:pPr>
            <w:r>
              <w:rPr>
                <w:color w:val="000000"/>
                <w:sz w:val="18"/>
                <w:szCs w:val="18"/>
              </w:rPr>
              <w:t>2010m</w:t>
            </w:r>
          </w:p>
        </w:tc>
        <w:tc>
          <w:tcPr>
            <w:tcW w:w="539" w:type="pct"/>
            <w:tcBorders>
              <w:tl2br w:val="nil"/>
              <w:tr2bl w:val="nil"/>
            </w:tcBorders>
            <w:vAlign w:val="center"/>
          </w:tcPr>
          <w:p w14:paraId="50B2CE5F">
            <w:pPr>
              <w:spacing w:line="240" w:lineRule="auto"/>
              <w:jc w:val="center"/>
              <w:rPr>
                <w:color w:val="000000"/>
                <w:sz w:val="18"/>
                <w:szCs w:val="18"/>
              </w:rPr>
            </w:pPr>
            <w:r>
              <w:rPr>
                <w:color w:val="000000"/>
                <w:sz w:val="18"/>
                <w:szCs w:val="18"/>
              </w:rPr>
              <w:t>环境空气</w:t>
            </w:r>
          </w:p>
          <w:p w14:paraId="18C5474E">
            <w:pPr>
              <w:spacing w:line="240" w:lineRule="auto"/>
              <w:jc w:val="center"/>
              <w:rPr>
                <w:color w:val="000000"/>
                <w:sz w:val="18"/>
                <w:szCs w:val="18"/>
              </w:rPr>
            </w:pPr>
            <w:r>
              <w:rPr>
                <w:color w:val="000000"/>
                <w:sz w:val="18"/>
                <w:szCs w:val="18"/>
              </w:rPr>
              <w:t>环境风险</w:t>
            </w:r>
          </w:p>
        </w:tc>
        <w:tc>
          <w:tcPr>
            <w:tcW w:w="821" w:type="pct"/>
            <w:tcBorders>
              <w:tl2br w:val="nil"/>
              <w:tr2bl w:val="nil"/>
            </w:tcBorders>
            <w:vAlign w:val="center"/>
          </w:tcPr>
          <w:p w14:paraId="790F6DD6">
            <w:pPr>
              <w:spacing w:line="240" w:lineRule="auto"/>
              <w:jc w:val="center"/>
              <w:rPr>
                <w:color w:val="000000"/>
                <w:sz w:val="18"/>
                <w:szCs w:val="18"/>
              </w:rPr>
            </w:pPr>
            <w:r>
              <w:rPr>
                <w:color w:val="000000"/>
                <w:sz w:val="18"/>
                <w:szCs w:val="18"/>
              </w:rPr>
              <w:t>约8户，24人</w:t>
            </w:r>
          </w:p>
          <w:p w14:paraId="5681B080">
            <w:pPr>
              <w:spacing w:line="240" w:lineRule="auto"/>
              <w:jc w:val="center"/>
              <w:rPr>
                <w:color w:val="000000"/>
                <w:sz w:val="18"/>
                <w:szCs w:val="18"/>
              </w:rPr>
            </w:pPr>
            <w:r>
              <w:rPr>
                <w:color w:val="000000"/>
                <w:sz w:val="18"/>
                <w:szCs w:val="18"/>
              </w:rPr>
              <w:t>（园区内，规划搬迁）</w:t>
            </w:r>
          </w:p>
        </w:tc>
        <w:tc>
          <w:tcPr>
            <w:tcW w:w="822" w:type="pct"/>
            <w:tcBorders>
              <w:tl2br w:val="nil"/>
              <w:tr2bl w:val="nil"/>
            </w:tcBorders>
            <w:vAlign w:val="center"/>
          </w:tcPr>
          <w:p w14:paraId="4401515C">
            <w:pPr>
              <w:spacing w:line="240" w:lineRule="auto"/>
              <w:jc w:val="center"/>
              <w:rPr>
                <w:color w:val="000000"/>
                <w:sz w:val="18"/>
                <w:szCs w:val="18"/>
              </w:rPr>
            </w:pPr>
            <w:r>
              <w:rPr>
                <w:color w:val="000000"/>
                <w:sz w:val="18"/>
                <w:szCs w:val="18"/>
              </w:rPr>
              <w:t>环境空气二类</w:t>
            </w:r>
          </w:p>
        </w:tc>
      </w:tr>
      <w:tr w14:paraId="7F5845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5" w:hRule="atLeast"/>
          <w:jc w:val="center"/>
        </w:trPr>
        <w:tc>
          <w:tcPr>
            <w:tcW w:w="293" w:type="pct"/>
            <w:tcBorders>
              <w:tl2br w:val="nil"/>
              <w:tr2bl w:val="nil"/>
            </w:tcBorders>
            <w:vAlign w:val="center"/>
          </w:tcPr>
          <w:p w14:paraId="060C50E5">
            <w:pPr>
              <w:spacing w:line="240" w:lineRule="auto"/>
              <w:jc w:val="center"/>
              <w:rPr>
                <w:color w:val="000000"/>
                <w:sz w:val="18"/>
                <w:szCs w:val="18"/>
              </w:rPr>
            </w:pPr>
            <w:r>
              <w:rPr>
                <w:color w:val="000000"/>
                <w:sz w:val="18"/>
                <w:szCs w:val="18"/>
              </w:rPr>
              <w:t>7</w:t>
            </w:r>
          </w:p>
        </w:tc>
        <w:tc>
          <w:tcPr>
            <w:tcW w:w="485" w:type="pct"/>
            <w:tcBorders>
              <w:tl2br w:val="nil"/>
              <w:tr2bl w:val="nil"/>
            </w:tcBorders>
            <w:vAlign w:val="center"/>
          </w:tcPr>
          <w:p w14:paraId="7FC63642">
            <w:pPr>
              <w:spacing w:line="240" w:lineRule="auto"/>
              <w:jc w:val="center"/>
              <w:rPr>
                <w:color w:val="000000"/>
                <w:sz w:val="18"/>
                <w:szCs w:val="18"/>
              </w:rPr>
            </w:pPr>
            <w:r>
              <w:rPr>
                <w:color w:val="000000"/>
                <w:sz w:val="18"/>
                <w:szCs w:val="18"/>
              </w:rPr>
              <w:t>油坊村</w:t>
            </w:r>
          </w:p>
        </w:tc>
        <w:tc>
          <w:tcPr>
            <w:tcW w:w="282" w:type="pct"/>
            <w:tcBorders>
              <w:tl2br w:val="nil"/>
              <w:tr2bl w:val="nil"/>
            </w:tcBorders>
            <w:vAlign w:val="center"/>
          </w:tcPr>
          <w:p w14:paraId="2C4EB9A0">
            <w:pPr>
              <w:spacing w:line="240" w:lineRule="auto"/>
              <w:jc w:val="center"/>
              <w:rPr>
                <w:color w:val="000000"/>
                <w:sz w:val="18"/>
                <w:szCs w:val="18"/>
              </w:rPr>
            </w:pPr>
            <w:r>
              <w:rPr>
                <w:color w:val="000000"/>
                <w:sz w:val="18"/>
                <w:szCs w:val="18"/>
              </w:rPr>
              <w:t>W</w:t>
            </w:r>
          </w:p>
        </w:tc>
        <w:tc>
          <w:tcPr>
            <w:tcW w:w="383" w:type="pct"/>
            <w:tcBorders>
              <w:tl2br w:val="nil"/>
              <w:tr2bl w:val="nil"/>
            </w:tcBorders>
            <w:vAlign w:val="center"/>
          </w:tcPr>
          <w:p w14:paraId="550D0813">
            <w:pPr>
              <w:spacing w:line="240" w:lineRule="auto"/>
              <w:jc w:val="center"/>
              <w:rPr>
                <w:color w:val="000000"/>
                <w:sz w:val="18"/>
                <w:szCs w:val="18"/>
              </w:rPr>
            </w:pPr>
            <w:r>
              <w:rPr>
                <w:color w:val="000000"/>
                <w:sz w:val="18"/>
                <w:szCs w:val="18"/>
              </w:rPr>
              <w:t>-709</w:t>
            </w:r>
          </w:p>
        </w:tc>
        <w:tc>
          <w:tcPr>
            <w:tcW w:w="360" w:type="pct"/>
            <w:tcBorders>
              <w:tl2br w:val="nil"/>
              <w:tr2bl w:val="nil"/>
            </w:tcBorders>
            <w:vAlign w:val="center"/>
          </w:tcPr>
          <w:p w14:paraId="6E6B8F79">
            <w:pPr>
              <w:spacing w:line="240" w:lineRule="auto"/>
              <w:jc w:val="center"/>
              <w:rPr>
                <w:color w:val="000000"/>
                <w:sz w:val="18"/>
                <w:szCs w:val="18"/>
              </w:rPr>
            </w:pPr>
            <w:r>
              <w:rPr>
                <w:color w:val="000000"/>
                <w:sz w:val="18"/>
                <w:szCs w:val="18"/>
              </w:rPr>
              <w:t>-2482</w:t>
            </w:r>
          </w:p>
        </w:tc>
        <w:tc>
          <w:tcPr>
            <w:tcW w:w="498" w:type="pct"/>
            <w:tcBorders>
              <w:tl2br w:val="nil"/>
              <w:tr2bl w:val="nil"/>
            </w:tcBorders>
            <w:vAlign w:val="center"/>
          </w:tcPr>
          <w:p w14:paraId="7F4912CA">
            <w:pPr>
              <w:spacing w:line="240" w:lineRule="auto"/>
              <w:jc w:val="center"/>
              <w:rPr>
                <w:color w:val="000000"/>
                <w:sz w:val="18"/>
                <w:szCs w:val="18"/>
              </w:rPr>
            </w:pPr>
            <w:r>
              <w:rPr>
                <w:color w:val="000000"/>
                <w:sz w:val="18"/>
                <w:szCs w:val="18"/>
              </w:rPr>
              <w:t>2520m</w:t>
            </w:r>
          </w:p>
        </w:tc>
        <w:tc>
          <w:tcPr>
            <w:tcW w:w="512" w:type="pct"/>
            <w:tcBorders>
              <w:tl2br w:val="nil"/>
              <w:tr2bl w:val="nil"/>
            </w:tcBorders>
            <w:vAlign w:val="center"/>
          </w:tcPr>
          <w:p w14:paraId="0B4D25ED">
            <w:pPr>
              <w:spacing w:line="240" w:lineRule="auto"/>
              <w:jc w:val="center"/>
              <w:rPr>
                <w:color w:val="000000"/>
                <w:sz w:val="18"/>
                <w:szCs w:val="18"/>
              </w:rPr>
            </w:pPr>
            <w:r>
              <w:rPr>
                <w:color w:val="000000"/>
                <w:sz w:val="18"/>
                <w:szCs w:val="18"/>
              </w:rPr>
              <w:t>2170m</w:t>
            </w:r>
          </w:p>
        </w:tc>
        <w:tc>
          <w:tcPr>
            <w:tcW w:w="539" w:type="pct"/>
            <w:tcBorders>
              <w:tl2br w:val="nil"/>
              <w:tr2bl w:val="nil"/>
            </w:tcBorders>
            <w:vAlign w:val="center"/>
          </w:tcPr>
          <w:p w14:paraId="2DC94BE9">
            <w:pPr>
              <w:spacing w:line="240" w:lineRule="auto"/>
              <w:jc w:val="center"/>
              <w:rPr>
                <w:color w:val="000000"/>
                <w:sz w:val="18"/>
                <w:szCs w:val="18"/>
              </w:rPr>
            </w:pPr>
            <w:r>
              <w:rPr>
                <w:color w:val="000000"/>
                <w:sz w:val="18"/>
                <w:szCs w:val="18"/>
              </w:rPr>
              <w:t>环境空气</w:t>
            </w:r>
          </w:p>
          <w:p w14:paraId="1F7BC399">
            <w:pPr>
              <w:spacing w:line="240" w:lineRule="auto"/>
              <w:jc w:val="center"/>
              <w:rPr>
                <w:color w:val="000000"/>
                <w:sz w:val="18"/>
                <w:szCs w:val="18"/>
              </w:rPr>
            </w:pPr>
            <w:r>
              <w:rPr>
                <w:color w:val="000000"/>
                <w:sz w:val="18"/>
                <w:szCs w:val="18"/>
              </w:rPr>
              <w:t>环境风险</w:t>
            </w:r>
          </w:p>
        </w:tc>
        <w:tc>
          <w:tcPr>
            <w:tcW w:w="821" w:type="pct"/>
            <w:tcBorders>
              <w:tl2br w:val="nil"/>
              <w:tr2bl w:val="nil"/>
            </w:tcBorders>
            <w:vAlign w:val="center"/>
          </w:tcPr>
          <w:p w14:paraId="595EB2F8">
            <w:pPr>
              <w:spacing w:line="240" w:lineRule="auto"/>
              <w:jc w:val="center"/>
              <w:rPr>
                <w:color w:val="000000"/>
                <w:sz w:val="18"/>
                <w:szCs w:val="18"/>
              </w:rPr>
            </w:pPr>
            <w:r>
              <w:rPr>
                <w:color w:val="000000"/>
                <w:sz w:val="18"/>
                <w:szCs w:val="18"/>
              </w:rPr>
              <w:t>15户，45人</w:t>
            </w:r>
          </w:p>
          <w:p w14:paraId="6ED4B315">
            <w:pPr>
              <w:spacing w:line="240" w:lineRule="auto"/>
              <w:jc w:val="center"/>
              <w:rPr>
                <w:color w:val="000000"/>
                <w:sz w:val="18"/>
                <w:szCs w:val="18"/>
              </w:rPr>
            </w:pPr>
            <w:r>
              <w:rPr>
                <w:color w:val="000000"/>
                <w:sz w:val="18"/>
                <w:szCs w:val="18"/>
              </w:rPr>
              <w:t>（园区内，规划搬迁）</w:t>
            </w:r>
          </w:p>
        </w:tc>
        <w:tc>
          <w:tcPr>
            <w:tcW w:w="822" w:type="pct"/>
            <w:tcBorders>
              <w:tl2br w:val="nil"/>
              <w:tr2bl w:val="nil"/>
            </w:tcBorders>
            <w:vAlign w:val="center"/>
          </w:tcPr>
          <w:p w14:paraId="19D67678">
            <w:pPr>
              <w:spacing w:line="240" w:lineRule="auto"/>
              <w:jc w:val="center"/>
              <w:rPr>
                <w:color w:val="000000"/>
                <w:sz w:val="18"/>
                <w:szCs w:val="18"/>
              </w:rPr>
            </w:pPr>
            <w:r>
              <w:rPr>
                <w:color w:val="000000"/>
                <w:sz w:val="18"/>
                <w:szCs w:val="18"/>
              </w:rPr>
              <w:t>环境空气二类</w:t>
            </w:r>
          </w:p>
        </w:tc>
      </w:tr>
      <w:tr w14:paraId="43ECC3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93" w:type="pct"/>
            <w:tcBorders>
              <w:tl2br w:val="nil"/>
              <w:tr2bl w:val="nil"/>
            </w:tcBorders>
            <w:vAlign w:val="center"/>
          </w:tcPr>
          <w:p w14:paraId="20DB9071">
            <w:pPr>
              <w:spacing w:line="240" w:lineRule="auto"/>
              <w:jc w:val="center"/>
              <w:rPr>
                <w:color w:val="000000"/>
                <w:sz w:val="18"/>
                <w:szCs w:val="18"/>
              </w:rPr>
            </w:pPr>
            <w:r>
              <w:rPr>
                <w:color w:val="000000"/>
                <w:sz w:val="18"/>
                <w:szCs w:val="18"/>
              </w:rPr>
              <w:t>9</w:t>
            </w:r>
          </w:p>
        </w:tc>
        <w:tc>
          <w:tcPr>
            <w:tcW w:w="485" w:type="pct"/>
            <w:tcBorders>
              <w:tl2br w:val="nil"/>
              <w:tr2bl w:val="nil"/>
            </w:tcBorders>
            <w:vAlign w:val="center"/>
          </w:tcPr>
          <w:p w14:paraId="1B34C5C4">
            <w:pPr>
              <w:spacing w:line="240" w:lineRule="auto"/>
              <w:jc w:val="center"/>
              <w:rPr>
                <w:color w:val="000000"/>
                <w:sz w:val="18"/>
                <w:szCs w:val="18"/>
              </w:rPr>
            </w:pPr>
            <w:r>
              <w:rPr>
                <w:color w:val="000000"/>
                <w:sz w:val="18"/>
                <w:szCs w:val="18"/>
              </w:rPr>
              <w:t>后溪河</w:t>
            </w:r>
          </w:p>
        </w:tc>
        <w:tc>
          <w:tcPr>
            <w:tcW w:w="282" w:type="pct"/>
            <w:tcBorders>
              <w:tl2br w:val="nil"/>
              <w:tr2bl w:val="nil"/>
            </w:tcBorders>
            <w:vAlign w:val="center"/>
          </w:tcPr>
          <w:p w14:paraId="678D3211">
            <w:pPr>
              <w:spacing w:line="240" w:lineRule="auto"/>
              <w:jc w:val="center"/>
              <w:rPr>
                <w:color w:val="000000"/>
                <w:sz w:val="18"/>
                <w:szCs w:val="18"/>
              </w:rPr>
            </w:pPr>
            <w:r>
              <w:rPr>
                <w:color w:val="000000"/>
                <w:sz w:val="18"/>
                <w:szCs w:val="18"/>
              </w:rPr>
              <w:t>S</w:t>
            </w:r>
          </w:p>
        </w:tc>
        <w:tc>
          <w:tcPr>
            <w:tcW w:w="383" w:type="pct"/>
            <w:tcBorders>
              <w:tl2br w:val="nil"/>
              <w:tr2bl w:val="nil"/>
            </w:tcBorders>
            <w:vAlign w:val="center"/>
          </w:tcPr>
          <w:p w14:paraId="010AB22F">
            <w:pPr>
              <w:spacing w:line="240" w:lineRule="auto"/>
              <w:jc w:val="center"/>
              <w:rPr>
                <w:color w:val="000000"/>
                <w:sz w:val="18"/>
                <w:szCs w:val="18"/>
              </w:rPr>
            </w:pPr>
            <w:r>
              <w:rPr>
                <w:color w:val="000000"/>
                <w:sz w:val="18"/>
                <w:szCs w:val="18"/>
              </w:rPr>
              <w:t>1198</w:t>
            </w:r>
          </w:p>
        </w:tc>
        <w:tc>
          <w:tcPr>
            <w:tcW w:w="360" w:type="pct"/>
            <w:tcBorders>
              <w:tl2br w:val="nil"/>
              <w:tr2bl w:val="nil"/>
            </w:tcBorders>
            <w:vAlign w:val="center"/>
          </w:tcPr>
          <w:p w14:paraId="266D241B">
            <w:pPr>
              <w:spacing w:line="240" w:lineRule="auto"/>
              <w:jc w:val="center"/>
              <w:rPr>
                <w:color w:val="000000"/>
                <w:sz w:val="18"/>
                <w:szCs w:val="18"/>
              </w:rPr>
            </w:pPr>
            <w:r>
              <w:rPr>
                <w:color w:val="000000"/>
                <w:sz w:val="18"/>
                <w:szCs w:val="18"/>
              </w:rPr>
              <w:t>1562</w:t>
            </w:r>
          </w:p>
        </w:tc>
        <w:tc>
          <w:tcPr>
            <w:tcW w:w="498" w:type="pct"/>
            <w:tcBorders>
              <w:tl2br w:val="nil"/>
              <w:tr2bl w:val="nil"/>
            </w:tcBorders>
            <w:vAlign w:val="center"/>
          </w:tcPr>
          <w:p w14:paraId="1C77374C">
            <w:pPr>
              <w:spacing w:line="240" w:lineRule="auto"/>
              <w:jc w:val="center"/>
              <w:rPr>
                <w:color w:val="000000"/>
                <w:sz w:val="18"/>
                <w:szCs w:val="18"/>
              </w:rPr>
            </w:pPr>
            <w:r>
              <w:rPr>
                <w:color w:val="000000"/>
                <w:sz w:val="18"/>
                <w:szCs w:val="18"/>
              </w:rPr>
              <w:t>1330m</w:t>
            </w:r>
          </w:p>
        </w:tc>
        <w:tc>
          <w:tcPr>
            <w:tcW w:w="512" w:type="pct"/>
            <w:tcBorders>
              <w:tl2br w:val="nil"/>
              <w:tr2bl w:val="nil"/>
            </w:tcBorders>
            <w:vAlign w:val="center"/>
          </w:tcPr>
          <w:p w14:paraId="7B8A5B29">
            <w:pPr>
              <w:spacing w:line="240" w:lineRule="auto"/>
              <w:jc w:val="center"/>
              <w:rPr>
                <w:color w:val="000000"/>
                <w:sz w:val="18"/>
                <w:szCs w:val="18"/>
              </w:rPr>
            </w:pPr>
            <w:r>
              <w:rPr>
                <w:color w:val="000000"/>
                <w:sz w:val="18"/>
                <w:szCs w:val="18"/>
              </w:rPr>
              <w:t>1100m</w:t>
            </w:r>
          </w:p>
        </w:tc>
        <w:tc>
          <w:tcPr>
            <w:tcW w:w="539" w:type="pct"/>
            <w:tcBorders>
              <w:tl2br w:val="nil"/>
              <w:tr2bl w:val="nil"/>
            </w:tcBorders>
            <w:vAlign w:val="center"/>
          </w:tcPr>
          <w:p w14:paraId="4DDE7687">
            <w:pPr>
              <w:spacing w:line="240" w:lineRule="auto"/>
              <w:jc w:val="center"/>
              <w:rPr>
                <w:color w:val="000000"/>
                <w:sz w:val="18"/>
                <w:szCs w:val="18"/>
              </w:rPr>
            </w:pPr>
            <w:r>
              <w:rPr>
                <w:color w:val="000000"/>
                <w:sz w:val="18"/>
                <w:szCs w:val="18"/>
              </w:rPr>
              <w:t>地表水、环境风险</w:t>
            </w:r>
          </w:p>
        </w:tc>
        <w:tc>
          <w:tcPr>
            <w:tcW w:w="821" w:type="pct"/>
            <w:tcBorders>
              <w:tl2br w:val="nil"/>
              <w:tr2bl w:val="nil"/>
            </w:tcBorders>
            <w:vAlign w:val="center"/>
          </w:tcPr>
          <w:p w14:paraId="068A1505">
            <w:pPr>
              <w:spacing w:line="240" w:lineRule="auto"/>
              <w:jc w:val="center"/>
              <w:rPr>
                <w:color w:val="000000"/>
                <w:sz w:val="18"/>
                <w:szCs w:val="18"/>
              </w:rPr>
            </w:pPr>
            <w:r>
              <w:rPr>
                <w:color w:val="000000"/>
                <w:sz w:val="18"/>
                <w:szCs w:val="18"/>
              </w:rPr>
              <w:t>Ⅲ类水域</w:t>
            </w:r>
          </w:p>
        </w:tc>
        <w:tc>
          <w:tcPr>
            <w:tcW w:w="822" w:type="pct"/>
            <w:tcBorders>
              <w:tl2br w:val="nil"/>
              <w:tr2bl w:val="nil"/>
            </w:tcBorders>
            <w:vAlign w:val="center"/>
          </w:tcPr>
          <w:p w14:paraId="341271F3">
            <w:pPr>
              <w:spacing w:line="240" w:lineRule="auto"/>
              <w:jc w:val="center"/>
              <w:rPr>
                <w:color w:val="000000"/>
                <w:sz w:val="18"/>
                <w:szCs w:val="18"/>
              </w:rPr>
            </w:pPr>
            <w:r>
              <w:rPr>
                <w:color w:val="000000"/>
                <w:sz w:val="18"/>
                <w:szCs w:val="18"/>
              </w:rPr>
              <w:t>Ⅲ类</w:t>
            </w:r>
          </w:p>
        </w:tc>
      </w:tr>
      <w:tr w14:paraId="701F5D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0" w:hRule="atLeast"/>
          <w:jc w:val="center"/>
        </w:trPr>
        <w:tc>
          <w:tcPr>
            <w:tcW w:w="293" w:type="pct"/>
            <w:tcBorders>
              <w:tl2br w:val="nil"/>
              <w:tr2bl w:val="nil"/>
            </w:tcBorders>
            <w:vAlign w:val="center"/>
          </w:tcPr>
          <w:p w14:paraId="2D27DA0C">
            <w:pPr>
              <w:spacing w:line="240" w:lineRule="auto"/>
              <w:jc w:val="center"/>
              <w:rPr>
                <w:color w:val="000000"/>
                <w:sz w:val="18"/>
                <w:szCs w:val="18"/>
              </w:rPr>
            </w:pPr>
            <w:r>
              <w:rPr>
                <w:color w:val="000000"/>
                <w:sz w:val="18"/>
                <w:szCs w:val="18"/>
              </w:rPr>
              <w:t>10</w:t>
            </w:r>
          </w:p>
        </w:tc>
        <w:tc>
          <w:tcPr>
            <w:tcW w:w="485" w:type="pct"/>
            <w:tcBorders>
              <w:tl2br w:val="nil"/>
              <w:tr2bl w:val="nil"/>
            </w:tcBorders>
            <w:vAlign w:val="center"/>
          </w:tcPr>
          <w:p w14:paraId="1CA508BF">
            <w:pPr>
              <w:spacing w:line="240" w:lineRule="auto"/>
              <w:jc w:val="center"/>
              <w:rPr>
                <w:color w:val="000000"/>
                <w:sz w:val="18"/>
                <w:szCs w:val="18"/>
              </w:rPr>
            </w:pPr>
            <w:r>
              <w:rPr>
                <w:color w:val="000000"/>
                <w:sz w:val="18"/>
                <w:szCs w:val="18"/>
              </w:rPr>
              <w:t>乌江</w:t>
            </w:r>
          </w:p>
        </w:tc>
        <w:tc>
          <w:tcPr>
            <w:tcW w:w="282" w:type="pct"/>
            <w:tcBorders>
              <w:tl2br w:val="nil"/>
              <w:tr2bl w:val="nil"/>
            </w:tcBorders>
            <w:vAlign w:val="center"/>
          </w:tcPr>
          <w:p w14:paraId="4F85583C">
            <w:pPr>
              <w:spacing w:line="240" w:lineRule="auto"/>
              <w:jc w:val="center"/>
              <w:rPr>
                <w:color w:val="000000"/>
                <w:sz w:val="18"/>
                <w:szCs w:val="18"/>
              </w:rPr>
            </w:pPr>
            <w:r>
              <w:rPr>
                <w:color w:val="000000"/>
                <w:sz w:val="18"/>
                <w:szCs w:val="18"/>
              </w:rPr>
              <w:t>SW</w:t>
            </w:r>
          </w:p>
        </w:tc>
        <w:tc>
          <w:tcPr>
            <w:tcW w:w="383" w:type="pct"/>
            <w:tcBorders>
              <w:tl2br w:val="nil"/>
              <w:tr2bl w:val="nil"/>
            </w:tcBorders>
            <w:vAlign w:val="center"/>
          </w:tcPr>
          <w:p w14:paraId="1AB43605">
            <w:pPr>
              <w:spacing w:line="240" w:lineRule="auto"/>
              <w:jc w:val="center"/>
              <w:rPr>
                <w:color w:val="000000"/>
                <w:sz w:val="18"/>
                <w:szCs w:val="18"/>
              </w:rPr>
            </w:pPr>
            <w:r>
              <w:rPr>
                <w:color w:val="000000"/>
                <w:sz w:val="18"/>
                <w:szCs w:val="18"/>
              </w:rPr>
              <w:t>/</w:t>
            </w:r>
          </w:p>
        </w:tc>
        <w:tc>
          <w:tcPr>
            <w:tcW w:w="360" w:type="pct"/>
            <w:tcBorders>
              <w:tl2br w:val="nil"/>
              <w:tr2bl w:val="nil"/>
            </w:tcBorders>
            <w:vAlign w:val="center"/>
          </w:tcPr>
          <w:p w14:paraId="0B4DD8F7">
            <w:pPr>
              <w:spacing w:line="240" w:lineRule="auto"/>
              <w:jc w:val="center"/>
              <w:rPr>
                <w:color w:val="000000"/>
                <w:sz w:val="18"/>
                <w:szCs w:val="18"/>
              </w:rPr>
            </w:pPr>
            <w:r>
              <w:rPr>
                <w:color w:val="000000"/>
                <w:sz w:val="18"/>
                <w:szCs w:val="18"/>
              </w:rPr>
              <w:t>/</w:t>
            </w:r>
          </w:p>
        </w:tc>
        <w:tc>
          <w:tcPr>
            <w:tcW w:w="498" w:type="pct"/>
            <w:tcBorders>
              <w:tl2br w:val="nil"/>
              <w:tr2bl w:val="nil"/>
            </w:tcBorders>
            <w:vAlign w:val="center"/>
          </w:tcPr>
          <w:p w14:paraId="516802D5">
            <w:pPr>
              <w:spacing w:line="240" w:lineRule="auto"/>
              <w:jc w:val="center"/>
              <w:rPr>
                <w:color w:val="000000"/>
                <w:sz w:val="18"/>
                <w:szCs w:val="18"/>
              </w:rPr>
            </w:pPr>
            <w:r>
              <w:rPr>
                <w:color w:val="000000"/>
                <w:sz w:val="18"/>
                <w:szCs w:val="18"/>
              </w:rPr>
              <w:t>6800m</w:t>
            </w:r>
          </w:p>
        </w:tc>
        <w:tc>
          <w:tcPr>
            <w:tcW w:w="512" w:type="pct"/>
            <w:tcBorders>
              <w:tl2br w:val="nil"/>
              <w:tr2bl w:val="nil"/>
            </w:tcBorders>
            <w:vAlign w:val="center"/>
          </w:tcPr>
          <w:p w14:paraId="560B3B2E">
            <w:pPr>
              <w:spacing w:line="240" w:lineRule="auto"/>
              <w:jc w:val="center"/>
              <w:rPr>
                <w:color w:val="000000"/>
                <w:sz w:val="18"/>
                <w:szCs w:val="18"/>
              </w:rPr>
            </w:pPr>
            <w:r>
              <w:rPr>
                <w:color w:val="000000"/>
                <w:sz w:val="18"/>
                <w:szCs w:val="18"/>
              </w:rPr>
              <w:t>6600m</w:t>
            </w:r>
          </w:p>
        </w:tc>
        <w:tc>
          <w:tcPr>
            <w:tcW w:w="539" w:type="pct"/>
            <w:tcBorders>
              <w:tl2br w:val="nil"/>
              <w:tr2bl w:val="nil"/>
            </w:tcBorders>
            <w:vAlign w:val="center"/>
          </w:tcPr>
          <w:p w14:paraId="7984D04D">
            <w:pPr>
              <w:spacing w:line="240" w:lineRule="auto"/>
              <w:jc w:val="center"/>
              <w:rPr>
                <w:color w:val="000000"/>
                <w:sz w:val="18"/>
                <w:szCs w:val="18"/>
              </w:rPr>
            </w:pPr>
            <w:r>
              <w:rPr>
                <w:color w:val="000000"/>
                <w:sz w:val="18"/>
                <w:szCs w:val="18"/>
              </w:rPr>
              <w:t>地表水</w:t>
            </w:r>
          </w:p>
        </w:tc>
        <w:tc>
          <w:tcPr>
            <w:tcW w:w="821" w:type="pct"/>
            <w:tcBorders>
              <w:tl2br w:val="nil"/>
              <w:tr2bl w:val="nil"/>
            </w:tcBorders>
            <w:vAlign w:val="center"/>
          </w:tcPr>
          <w:p w14:paraId="41740C59">
            <w:pPr>
              <w:spacing w:line="240" w:lineRule="auto"/>
              <w:jc w:val="center"/>
              <w:rPr>
                <w:color w:val="000000"/>
                <w:sz w:val="18"/>
                <w:szCs w:val="18"/>
              </w:rPr>
            </w:pPr>
            <w:r>
              <w:rPr>
                <w:color w:val="000000"/>
                <w:sz w:val="18"/>
                <w:szCs w:val="18"/>
              </w:rPr>
              <w:t>Ⅲ类水域</w:t>
            </w:r>
          </w:p>
        </w:tc>
        <w:tc>
          <w:tcPr>
            <w:tcW w:w="822" w:type="pct"/>
            <w:tcBorders>
              <w:tl2br w:val="nil"/>
              <w:tr2bl w:val="nil"/>
            </w:tcBorders>
            <w:vAlign w:val="center"/>
          </w:tcPr>
          <w:p w14:paraId="5A3AF819">
            <w:pPr>
              <w:spacing w:line="240" w:lineRule="auto"/>
              <w:jc w:val="center"/>
              <w:rPr>
                <w:color w:val="000000"/>
                <w:sz w:val="18"/>
                <w:szCs w:val="18"/>
              </w:rPr>
            </w:pPr>
            <w:r>
              <w:rPr>
                <w:color w:val="000000"/>
                <w:sz w:val="18"/>
                <w:szCs w:val="18"/>
              </w:rPr>
              <w:t>Ⅲ类</w:t>
            </w:r>
          </w:p>
        </w:tc>
      </w:tr>
      <w:tr w14:paraId="5DC8AC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7" w:hRule="atLeast"/>
          <w:jc w:val="center"/>
        </w:trPr>
        <w:tc>
          <w:tcPr>
            <w:tcW w:w="293" w:type="pct"/>
            <w:tcBorders>
              <w:tl2br w:val="nil"/>
              <w:tr2bl w:val="nil"/>
            </w:tcBorders>
            <w:vAlign w:val="center"/>
          </w:tcPr>
          <w:p w14:paraId="05B82A96">
            <w:pPr>
              <w:spacing w:line="240" w:lineRule="auto"/>
              <w:jc w:val="center"/>
              <w:rPr>
                <w:color w:val="000000"/>
                <w:sz w:val="18"/>
                <w:szCs w:val="18"/>
              </w:rPr>
            </w:pPr>
            <w:r>
              <w:rPr>
                <w:color w:val="000000"/>
                <w:sz w:val="18"/>
                <w:szCs w:val="18"/>
              </w:rPr>
              <w:t>11</w:t>
            </w:r>
          </w:p>
        </w:tc>
        <w:tc>
          <w:tcPr>
            <w:tcW w:w="485" w:type="pct"/>
            <w:tcBorders>
              <w:tl2br w:val="nil"/>
              <w:tr2bl w:val="nil"/>
            </w:tcBorders>
            <w:vAlign w:val="center"/>
          </w:tcPr>
          <w:p w14:paraId="0E467227">
            <w:pPr>
              <w:spacing w:line="240" w:lineRule="auto"/>
              <w:jc w:val="center"/>
              <w:rPr>
                <w:color w:val="000000"/>
                <w:sz w:val="18"/>
                <w:szCs w:val="18"/>
              </w:rPr>
            </w:pPr>
            <w:r>
              <w:rPr>
                <w:color w:val="000000"/>
                <w:sz w:val="18"/>
                <w:szCs w:val="18"/>
              </w:rPr>
              <w:t>万丈坑落水洞</w:t>
            </w:r>
          </w:p>
        </w:tc>
        <w:tc>
          <w:tcPr>
            <w:tcW w:w="282" w:type="pct"/>
            <w:tcBorders>
              <w:tl2br w:val="nil"/>
              <w:tr2bl w:val="nil"/>
            </w:tcBorders>
            <w:vAlign w:val="center"/>
          </w:tcPr>
          <w:p w14:paraId="258029B1">
            <w:pPr>
              <w:spacing w:line="240" w:lineRule="auto"/>
              <w:jc w:val="center"/>
              <w:rPr>
                <w:color w:val="000000"/>
                <w:sz w:val="18"/>
                <w:szCs w:val="18"/>
              </w:rPr>
            </w:pPr>
            <w:r>
              <w:rPr>
                <w:color w:val="000000"/>
                <w:sz w:val="18"/>
                <w:szCs w:val="18"/>
              </w:rPr>
              <w:t>WS</w:t>
            </w:r>
          </w:p>
        </w:tc>
        <w:tc>
          <w:tcPr>
            <w:tcW w:w="383" w:type="pct"/>
            <w:tcBorders>
              <w:tl2br w:val="nil"/>
              <w:tr2bl w:val="nil"/>
            </w:tcBorders>
            <w:vAlign w:val="center"/>
          </w:tcPr>
          <w:p w14:paraId="1132608C">
            <w:pPr>
              <w:spacing w:line="240" w:lineRule="auto"/>
              <w:jc w:val="center"/>
              <w:rPr>
                <w:color w:val="000000"/>
                <w:sz w:val="18"/>
                <w:szCs w:val="18"/>
              </w:rPr>
            </w:pPr>
            <w:r>
              <w:rPr>
                <w:color w:val="000000"/>
                <w:sz w:val="18"/>
                <w:szCs w:val="18"/>
              </w:rPr>
              <w:t>/</w:t>
            </w:r>
          </w:p>
        </w:tc>
        <w:tc>
          <w:tcPr>
            <w:tcW w:w="360" w:type="pct"/>
            <w:tcBorders>
              <w:tl2br w:val="nil"/>
              <w:tr2bl w:val="nil"/>
            </w:tcBorders>
            <w:vAlign w:val="center"/>
          </w:tcPr>
          <w:p w14:paraId="267C1400">
            <w:pPr>
              <w:spacing w:line="240" w:lineRule="auto"/>
              <w:jc w:val="center"/>
              <w:rPr>
                <w:color w:val="000000"/>
                <w:sz w:val="18"/>
                <w:szCs w:val="18"/>
              </w:rPr>
            </w:pPr>
            <w:r>
              <w:rPr>
                <w:color w:val="000000"/>
                <w:sz w:val="18"/>
                <w:szCs w:val="18"/>
              </w:rPr>
              <w:t>/</w:t>
            </w:r>
          </w:p>
        </w:tc>
        <w:tc>
          <w:tcPr>
            <w:tcW w:w="498" w:type="pct"/>
            <w:tcBorders>
              <w:tl2br w:val="nil"/>
              <w:tr2bl w:val="nil"/>
            </w:tcBorders>
            <w:vAlign w:val="center"/>
          </w:tcPr>
          <w:p w14:paraId="5147A60C">
            <w:pPr>
              <w:spacing w:line="240" w:lineRule="auto"/>
              <w:jc w:val="center"/>
              <w:rPr>
                <w:color w:val="000000"/>
                <w:sz w:val="18"/>
                <w:szCs w:val="18"/>
              </w:rPr>
            </w:pPr>
            <w:r>
              <w:rPr>
                <w:color w:val="000000"/>
                <w:sz w:val="18"/>
                <w:szCs w:val="18"/>
              </w:rPr>
              <w:t>90m</w:t>
            </w:r>
          </w:p>
        </w:tc>
        <w:tc>
          <w:tcPr>
            <w:tcW w:w="512" w:type="pct"/>
            <w:tcBorders>
              <w:tl2br w:val="nil"/>
              <w:tr2bl w:val="nil"/>
            </w:tcBorders>
            <w:vAlign w:val="center"/>
          </w:tcPr>
          <w:p w14:paraId="5195DE97">
            <w:pPr>
              <w:spacing w:line="240" w:lineRule="auto"/>
              <w:jc w:val="center"/>
              <w:rPr>
                <w:color w:val="000000"/>
                <w:sz w:val="18"/>
                <w:szCs w:val="18"/>
              </w:rPr>
            </w:pPr>
            <w:r>
              <w:rPr>
                <w:color w:val="000000"/>
                <w:sz w:val="18"/>
                <w:szCs w:val="18"/>
              </w:rPr>
              <w:t>场地内中部</w:t>
            </w:r>
          </w:p>
        </w:tc>
        <w:tc>
          <w:tcPr>
            <w:tcW w:w="539" w:type="pct"/>
            <w:tcBorders>
              <w:tl2br w:val="nil"/>
              <w:tr2bl w:val="nil"/>
            </w:tcBorders>
            <w:vAlign w:val="center"/>
          </w:tcPr>
          <w:p w14:paraId="139DFB89">
            <w:pPr>
              <w:spacing w:line="240" w:lineRule="auto"/>
              <w:jc w:val="center"/>
              <w:rPr>
                <w:color w:val="000000"/>
                <w:sz w:val="18"/>
                <w:szCs w:val="18"/>
              </w:rPr>
            </w:pPr>
            <w:r>
              <w:rPr>
                <w:color w:val="000000"/>
                <w:sz w:val="18"/>
                <w:szCs w:val="18"/>
              </w:rPr>
              <w:t>地下水</w:t>
            </w:r>
          </w:p>
        </w:tc>
        <w:tc>
          <w:tcPr>
            <w:tcW w:w="821" w:type="pct"/>
            <w:tcBorders>
              <w:tl2br w:val="nil"/>
              <w:tr2bl w:val="nil"/>
            </w:tcBorders>
            <w:vAlign w:val="center"/>
          </w:tcPr>
          <w:p w14:paraId="5CE6F65F">
            <w:pPr>
              <w:spacing w:line="240" w:lineRule="auto"/>
              <w:jc w:val="center"/>
              <w:rPr>
                <w:color w:val="000000"/>
                <w:sz w:val="18"/>
                <w:szCs w:val="18"/>
              </w:rPr>
            </w:pPr>
            <w:r>
              <w:rPr>
                <w:color w:val="000000"/>
                <w:sz w:val="18"/>
                <w:szCs w:val="18"/>
              </w:rPr>
              <w:t>Ⅲ类水域</w:t>
            </w:r>
          </w:p>
        </w:tc>
        <w:tc>
          <w:tcPr>
            <w:tcW w:w="822" w:type="pct"/>
            <w:tcBorders>
              <w:tl2br w:val="nil"/>
              <w:tr2bl w:val="nil"/>
            </w:tcBorders>
            <w:vAlign w:val="center"/>
          </w:tcPr>
          <w:p w14:paraId="52E28927">
            <w:pPr>
              <w:spacing w:line="240" w:lineRule="auto"/>
              <w:jc w:val="center"/>
              <w:rPr>
                <w:color w:val="000000"/>
                <w:sz w:val="18"/>
                <w:szCs w:val="18"/>
              </w:rPr>
            </w:pPr>
            <w:r>
              <w:rPr>
                <w:color w:val="000000"/>
                <w:sz w:val="18"/>
                <w:szCs w:val="18"/>
              </w:rPr>
              <w:t>塌陷深度25m，已填坑</w:t>
            </w:r>
          </w:p>
        </w:tc>
      </w:tr>
      <w:tr w14:paraId="4DCC93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7" w:hRule="atLeast"/>
          <w:jc w:val="center"/>
        </w:trPr>
        <w:tc>
          <w:tcPr>
            <w:tcW w:w="293" w:type="pct"/>
            <w:tcBorders>
              <w:tl2br w:val="nil"/>
              <w:tr2bl w:val="nil"/>
            </w:tcBorders>
            <w:vAlign w:val="center"/>
          </w:tcPr>
          <w:p w14:paraId="35BE331D">
            <w:pPr>
              <w:spacing w:line="240" w:lineRule="auto"/>
              <w:jc w:val="center"/>
              <w:rPr>
                <w:color w:val="000000"/>
                <w:sz w:val="18"/>
                <w:szCs w:val="18"/>
              </w:rPr>
            </w:pPr>
            <w:bookmarkStart w:id="176" w:name="_Toc477144591"/>
            <w:bookmarkStart w:id="177" w:name="_Toc15873_WPSOffice_Level3"/>
            <w:bookmarkStart w:id="178" w:name="_Toc489922444"/>
            <w:bookmarkStart w:id="179" w:name="_Toc500375985"/>
            <w:r>
              <w:rPr>
                <w:color w:val="000000"/>
                <w:sz w:val="18"/>
                <w:szCs w:val="18"/>
              </w:rPr>
              <w:t>12</w:t>
            </w:r>
          </w:p>
        </w:tc>
        <w:tc>
          <w:tcPr>
            <w:tcW w:w="485" w:type="pct"/>
            <w:tcBorders>
              <w:tl2br w:val="nil"/>
              <w:tr2bl w:val="nil"/>
            </w:tcBorders>
            <w:vAlign w:val="center"/>
          </w:tcPr>
          <w:p w14:paraId="2195A7C0">
            <w:pPr>
              <w:spacing w:line="240" w:lineRule="auto"/>
              <w:jc w:val="center"/>
              <w:rPr>
                <w:color w:val="000000"/>
                <w:sz w:val="18"/>
                <w:szCs w:val="18"/>
              </w:rPr>
            </w:pPr>
            <w:r>
              <w:rPr>
                <w:color w:val="000000"/>
                <w:sz w:val="18"/>
                <w:szCs w:val="18"/>
              </w:rPr>
              <w:t>长坑落水洞</w:t>
            </w:r>
          </w:p>
        </w:tc>
        <w:tc>
          <w:tcPr>
            <w:tcW w:w="282" w:type="pct"/>
            <w:tcBorders>
              <w:tl2br w:val="nil"/>
              <w:tr2bl w:val="nil"/>
            </w:tcBorders>
            <w:vAlign w:val="center"/>
          </w:tcPr>
          <w:p w14:paraId="07A71203">
            <w:pPr>
              <w:spacing w:line="240" w:lineRule="auto"/>
              <w:jc w:val="center"/>
              <w:rPr>
                <w:color w:val="000000"/>
                <w:sz w:val="18"/>
                <w:szCs w:val="18"/>
              </w:rPr>
            </w:pPr>
            <w:r>
              <w:rPr>
                <w:color w:val="000000"/>
                <w:sz w:val="18"/>
                <w:szCs w:val="18"/>
              </w:rPr>
              <w:t>WS</w:t>
            </w:r>
          </w:p>
        </w:tc>
        <w:tc>
          <w:tcPr>
            <w:tcW w:w="383" w:type="pct"/>
            <w:tcBorders>
              <w:tl2br w:val="nil"/>
              <w:tr2bl w:val="nil"/>
            </w:tcBorders>
            <w:vAlign w:val="center"/>
          </w:tcPr>
          <w:p w14:paraId="64E4DCA9">
            <w:pPr>
              <w:spacing w:line="240" w:lineRule="auto"/>
              <w:jc w:val="center"/>
              <w:rPr>
                <w:color w:val="000000"/>
                <w:sz w:val="18"/>
                <w:szCs w:val="18"/>
              </w:rPr>
            </w:pPr>
            <w:r>
              <w:rPr>
                <w:color w:val="000000"/>
                <w:sz w:val="18"/>
                <w:szCs w:val="18"/>
              </w:rPr>
              <w:t>/</w:t>
            </w:r>
          </w:p>
        </w:tc>
        <w:tc>
          <w:tcPr>
            <w:tcW w:w="360" w:type="pct"/>
            <w:tcBorders>
              <w:tl2br w:val="nil"/>
              <w:tr2bl w:val="nil"/>
            </w:tcBorders>
            <w:vAlign w:val="center"/>
          </w:tcPr>
          <w:p w14:paraId="27842C19">
            <w:pPr>
              <w:spacing w:line="240" w:lineRule="auto"/>
              <w:jc w:val="center"/>
              <w:rPr>
                <w:color w:val="000000"/>
                <w:sz w:val="18"/>
                <w:szCs w:val="18"/>
              </w:rPr>
            </w:pPr>
            <w:r>
              <w:rPr>
                <w:color w:val="000000"/>
                <w:sz w:val="18"/>
                <w:szCs w:val="18"/>
              </w:rPr>
              <w:t>/</w:t>
            </w:r>
          </w:p>
        </w:tc>
        <w:tc>
          <w:tcPr>
            <w:tcW w:w="498" w:type="pct"/>
            <w:tcBorders>
              <w:tl2br w:val="nil"/>
              <w:tr2bl w:val="nil"/>
            </w:tcBorders>
            <w:vAlign w:val="center"/>
          </w:tcPr>
          <w:p w14:paraId="0324F922">
            <w:pPr>
              <w:spacing w:line="240" w:lineRule="auto"/>
              <w:jc w:val="center"/>
              <w:rPr>
                <w:color w:val="000000"/>
                <w:sz w:val="18"/>
                <w:szCs w:val="18"/>
              </w:rPr>
            </w:pPr>
            <w:r>
              <w:rPr>
                <w:color w:val="000000"/>
                <w:sz w:val="18"/>
                <w:szCs w:val="18"/>
              </w:rPr>
              <w:t>250m</w:t>
            </w:r>
          </w:p>
        </w:tc>
        <w:tc>
          <w:tcPr>
            <w:tcW w:w="512" w:type="pct"/>
            <w:tcBorders>
              <w:tl2br w:val="nil"/>
              <w:tr2bl w:val="nil"/>
            </w:tcBorders>
            <w:vAlign w:val="center"/>
          </w:tcPr>
          <w:p w14:paraId="38681270">
            <w:pPr>
              <w:spacing w:line="240" w:lineRule="auto"/>
              <w:jc w:val="center"/>
              <w:rPr>
                <w:color w:val="000000"/>
                <w:sz w:val="18"/>
                <w:szCs w:val="18"/>
              </w:rPr>
            </w:pPr>
            <w:r>
              <w:rPr>
                <w:color w:val="000000"/>
                <w:sz w:val="18"/>
                <w:szCs w:val="18"/>
              </w:rPr>
              <w:t>场地内南侧</w:t>
            </w:r>
          </w:p>
        </w:tc>
        <w:tc>
          <w:tcPr>
            <w:tcW w:w="539" w:type="pct"/>
            <w:tcBorders>
              <w:tl2br w:val="nil"/>
              <w:tr2bl w:val="nil"/>
            </w:tcBorders>
            <w:vAlign w:val="center"/>
          </w:tcPr>
          <w:p w14:paraId="653DFC0C">
            <w:pPr>
              <w:spacing w:line="240" w:lineRule="auto"/>
              <w:jc w:val="center"/>
              <w:rPr>
                <w:color w:val="000000"/>
                <w:sz w:val="18"/>
                <w:szCs w:val="18"/>
              </w:rPr>
            </w:pPr>
            <w:r>
              <w:rPr>
                <w:color w:val="000000"/>
                <w:sz w:val="18"/>
                <w:szCs w:val="18"/>
              </w:rPr>
              <w:t>地下水</w:t>
            </w:r>
          </w:p>
        </w:tc>
        <w:tc>
          <w:tcPr>
            <w:tcW w:w="821" w:type="pct"/>
            <w:tcBorders>
              <w:tl2br w:val="nil"/>
              <w:tr2bl w:val="nil"/>
            </w:tcBorders>
            <w:vAlign w:val="center"/>
          </w:tcPr>
          <w:p w14:paraId="76154CEE">
            <w:pPr>
              <w:spacing w:line="240" w:lineRule="auto"/>
              <w:jc w:val="center"/>
              <w:rPr>
                <w:color w:val="000000"/>
                <w:sz w:val="18"/>
                <w:szCs w:val="18"/>
              </w:rPr>
            </w:pPr>
            <w:r>
              <w:rPr>
                <w:color w:val="000000"/>
                <w:sz w:val="18"/>
                <w:szCs w:val="18"/>
              </w:rPr>
              <w:t>Ⅲ类水域</w:t>
            </w:r>
          </w:p>
        </w:tc>
        <w:tc>
          <w:tcPr>
            <w:tcW w:w="822" w:type="pct"/>
            <w:tcBorders>
              <w:tl2br w:val="nil"/>
              <w:tr2bl w:val="nil"/>
            </w:tcBorders>
            <w:vAlign w:val="center"/>
          </w:tcPr>
          <w:p w14:paraId="301D87B8">
            <w:pPr>
              <w:spacing w:line="240" w:lineRule="auto"/>
              <w:jc w:val="center"/>
              <w:rPr>
                <w:color w:val="000000"/>
                <w:sz w:val="18"/>
                <w:szCs w:val="18"/>
              </w:rPr>
            </w:pPr>
            <w:r>
              <w:rPr>
                <w:color w:val="000000"/>
                <w:sz w:val="18"/>
                <w:szCs w:val="18"/>
              </w:rPr>
              <w:t>塌陷深度27m，已填坑</w:t>
            </w:r>
          </w:p>
        </w:tc>
      </w:tr>
      <w:tr w14:paraId="216312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7" w:hRule="atLeast"/>
          <w:jc w:val="center"/>
        </w:trPr>
        <w:tc>
          <w:tcPr>
            <w:tcW w:w="293" w:type="pct"/>
            <w:tcBorders>
              <w:tl2br w:val="nil"/>
              <w:tr2bl w:val="nil"/>
            </w:tcBorders>
            <w:vAlign w:val="center"/>
          </w:tcPr>
          <w:p w14:paraId="033F28C4">
            <w:pPr>
              <w:spacing w:line="240" w:lineRule="auto"/>
              <w:jc w:val="center"/>
              <w:rPr>
                <w:color w:val="000000"/>
                <w:sz w:val="18"/>
                <w:szCs w:val="18"/>
              </w:rPr>
            </w:pPr>
            <w:r>
              <w:rPr>
                <w:color w:val="000000"/>
                <w:sz w:val="18"/>
                <w:szCs w:val="18"/>
              </w:rPr>
              <w:t>13</w:t>
            </w:r>
          </w:p>
        </w:tc>
        <w:tc>
          <w:tcPr>
            <w:tcW w:w="485" w:type="pct"/>
            <w:tcBorders>
              <w:tl2br w:val="nil"/>
              <w:tr2bl w:val="nil"/>
            </w:tcBorders>
            <w:vAlign w:val="center"/>
          </w:tcPr>
          <w:p w14:paraId="66103F3D">
            <w:pPr>
              <w:spacing w:line="240" w:lineRule="auto"/>
              <w:jc w:val="center"/>
              <w:rPr>
                <w:color w:val="000000"/>
                <w:sz w:val="18"/>
                <w:szCs w:val="18"/>
              </w:rPr>
            </w:pPr>
            <w:r>
              <w:rPr>
                <w:color w:val="000000"/>
                <w:sz w:val="18"/>
                <w:szCs w:val="18"/>
              </w:rPr>
              <w:t>大坑落水洞</w:t>
            </w:r>
          </w:p>
        </w:tc>
        <w:tc>
          <w:tcPr>
            <w:tcW w:w="282" w:type="pct"/>
            <w:tcBorders>
              <w:tl2br w:val="nil"/>
              <w:tr2bl w:val="nil"/>
            </w:tcBorders>
            <w:vAlign w:val="center"/>
          </w:tcPr>
          <w:p w14:paraId="1B9F2ED3">
            <w:pPr>
              <w:spacing w:line="240" w:lineRule="auto"/>
              <w:jc w:val="center"/>
              <w:rPr>
                <w:color w:val="000000"/>
                <w:sz w:val="18"/>
                <w:szCs w:val="18"/>
              </w:rPr>
            </w:pPr>
            <w:r>
              <w:rPr>
                <w:color w:val="000000"/>
                <w:sz w:val="18"/>
                <w:szCs w:val="18"/>
              </w:rPr>
              <w:t>WS</w:t>
            </w:r>
          </w:p>
        </w:tc>
        <w:tc>
          <w:tcPr>
            <w:tcW w:w="383" w:type="pct"/>
            <w:tcBorders>
              <w:tl2br w:val="nil"/>
              <w:tr2bl w:val="nil"/>
            </w:tcBorders>
            <w:vAlign w:val="center"/>
          </w:tcPr>
          <w:p w14:paraId="52D2CE9B">
            <w:pPr>
              <w:spacing w:line="240" w:lineRule="auto"/>
              <w:jc w:val="center"/>
              <w:rPr>
                <w:color w:val="000000"/>
                <w:sz w:val="18"/>
                <w:szCs w:val="18"/>
              </w:rPr>
            </w:pPr>
            <w:r>
              <w:rPr>
                <w:color w:val="000000"/>
                <w:sz w:val="18"/>
                <w:szCs w:val="18"/>
              </w:rPr>
              <w:t>/</w:t>
            </w:r>
          </w:p>
        </w:tc>
        <w:tc>
          <w:tcPr>
            <w:tcW w:w="360" w:type="pct"/>
            <w:tcBorders>
              <w:tl2br w:val="nil"/>
              <w:tr2bl w:val="nil"/>
            </w:tcBorders>
            <w:vAlign w:val="center"/>
          </w:tcPr>
          <w:p w14:paraId="47FD1A38">
            <w:pPr>
              <w:spacing w:line="240" w:lineRule="auto"/>
              <w:jc w:val="center"/>
              <w:rPr>
                <w:color w:val="000000"/>
                <w:sz w:val="18"/>
                <w:szCs w:val="18"/>
              </w:rPr>
            </w:pPr>
            <w:r>
              <w:rPr>
                <w:color w:val="000000"/>
                <w:sz w:val="18"/>
                <w:szCs w:val="18"/>
              </w:rPr>
              <w:t>/</w:t>
            </w:r>
          </w:p>
        </w:tc>
        <w:tc>
          <w:tcPr>
            <w:tcW w:w="498" w:type="pct"/>
            <w:tcBorders>
              <w:tl2br w:val="nil"/>
              <w:tr2bl w:val="nil"/>
            </w:tcBorders>
            <w:vAlign w:val="center"/>
          </w:tcPr>
          <w:p w14:paraId="5998566B">
            <w:pPr>
              <w:spacing w:line="240" w:lineRule="auto"/>
              <w:jc w:val="center"/>
              <w:rPr>
                <w:color w:val="000000"/>
                <w:sz w:val="18"/>
                <w:szCs w:val="18"/>
              </w:rPr>
            </w:pPr>
            <w:r>
              <w:rPr>
                <w:color w:val="000000"/>
                <w:sz w:val="18"/>
                <w:szCs w:val="18"/>
              </w:rPr>
              <w:t>345m</w:t>
            </w:r>
          </w:p>
        </w:tc>
        <w:tc>
          <w:tcPr>
            <w:tcW w:w="512" w:type="pct"/>
            <w:tcBorders>
              <w:tl2br w:val="nil"/>
              <w:tr2bl w:val="nil"/>
            </w:tcBorders>
            <w:vAlign w:val="center"/>
          </w:tcPr>
          <w:p w14:paraId="33308132">
            <w:pPr>
              <w:spacing w:line="240" w:lineRule="auto"/>
              <w:jc w:val="center"/>
              <w:rPr>
                <w:color w:val="000000"/>
                <w:sz w:val="18"/>
                <w:szCs w:val="18"/>
              </w:rPr>
            </w:pPr>
            <w:r>
              <w:rPr>
                <w:color w:val="000000"/>
                <w:sz w:val="18"/>
                <w:szCs w:val="18"/>
              </w:rPr>
              <w:t>场地内西南角</w:t>
            </w:r>
          </w:p>
        </w:tc>
        <w:tc>
          <w:tcPr>
            <w:tcW w:w="539" w:type="pct"/>
            <w:tcBorders>
              <w:tl2br w:val="nil"/>
              <w:tr2bl w:val="nil"/>
            </w:tcBorders>
            <w:vAlign w:val="center"/>
          </w:tcPr>
          <w:p w14:paraId="47546512">
            <w:pPr>
              <w:spacing w:line="240" w:lineRule="auto"/>
              <w:jc w:val="center"/>
              <w:rPr>
                <w:color w:val="000000"/>
                <w:sz w:val="18"/>
                <w:szCs w:val="18"/>
              </w:rPr>
            </w:pPr>
            <w:r>
              <w:rPr>
                <w:color w:val="000000"/>
                <w:sz w:val="18"/>
                <w:szCs w:val="18"/>
              </w:rPr>
              <w:t>地下水</w:t>
            </w:r>
          </w:p>
        </w:tc>
        <w:tc>
          <w:tcPr>
            <w:tcW w:w="821" w:type="pct"/>
            <w:tcBorders>
              <w:tl2br w:val="nil"/>
              <w:tr2bl w:val="nil"/>
            </w:tcBorders>
            <w:vAlign w:val="center"/>
          </w:tcPr>
          <w:p w14:paraId="02D8BE15">
            <w:pPr>
              <w:spacing w:line="240" w:lineRule="auto"/>
              <w:jc w:val="center"/>
              <w:rPr>
                <w:color w:val="000000"/>
                <w:sz w:val="18"/>
                <w:szCs w:val="18"/>
              </w:rPr>
            </w:pPr>
            <w:r>
              <w:rPr>
                <w:color w:val="000000"/>
                <w:sz w:val="18"/>
                <w:szCs w:val="18"/>
              </w:rPr>
              <w:t>Ⅲ类水域</w:t>
            </w:r>
          </w:p>
        </w:tc>
        <w:tc>
          <w:tcPr>
            <w:tcW w:w="822" w:type="pct"/>
            <w:tcBorders>
              <w:tl2br w:val="nil"/>
              <w:tr2bl w:val="nil"/>
            </w:tcBorders>
            <w:vAlign w:val="center"/>
          </w:tcPr>
          <w:p w14:paraId="43B4682D">
            <w:pPr>
              <w:spacing w:line="240" w:lineRule="auto"/>
              <w:jc w:val="center"/>
              <w:rPr>
                <w:color w:val="000000"/>
                <w:sz w:val="18"/>
                <w:szCs w:val="18"/>
              </w:rPr>
            </w:pPr>
            <w:r>
              <w:rPr>
                <w:color w:val="000000"/>
                <w:sz w:val="18"/>
                <w:szCs w:val="18"/>
              </w:rPr>
              <w:t>塌陷深度16.2m</w:t>
            </w:r>
          </w:p>
        </w:tc>
      </w:tr>
      <w:tr w14:paraId="1B8259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7" w:hRule="atLeast"/>
          <w:jc w:val="center"/>
        </w:trPr>
        <w:tc>
          <w:tcPr>
            <w:tcW w:w="293" w:type="pct"/>
            <w:tcBorders>
              <w:tl2br w:val="nil"/>
              <w:tr2bl w:val="nil"/>
            </w:tcBorders>
            <w:vAlign w:val="center"/>
          </w:tcPr>
          <w:p w14:paraId="5E1D24CD">
            <w:pPr>
              <w:spacing w:line="240" w:lineRule="auto"/>
              <w:jc w:val="center"/>
              <w:rPr>
                <w:color w:val="000000"/>
                <w:sz w:val="18"/>
                <w:szCs w:val="18"/>
              </w:rPr>
            </w:pPr>
            <w:r>
              <w:rPr>
                <w:color w:val="000000"/>
                <w:sz w:val="18"/>
                <w:szCs w:val="18"/>
              </w:rPr>
              <w:t>14</w:t>
            </w:r>
          </w:p>
        </w:tc>
        <w:tc>
          <w:tcPr>
            <w:tcW w:w="485" w:type="pct"/>
            <w:tcBorders>
              <w:tl2br w:val="nil"/>
              <w:tr2bl w:val="nil"/>
            </w:tcBorders>
            <w:vAlign w:val="center"/>
          </w:tcPr>
          <w:p w14:paraId="459B4911">
            <w:pPr>
              <w:spacing w:line="240" w:lineRule="auto"/>
              <w:jc w:val="center"/>
              <w:rPr>
                <w:color w:val="000000"/>
                <w:sz w:val="18"/>
                <w:szCs w:val="18"/>
              </w:rPr>
            </w:pPr>
            <w:r>
              <w:rPr>
                <w:color w:val="000000"/>
                <w:sz w:val="18"/>
                <w:szCs w:val="18"/>
              </w:rPr>
              <w:t>TX1落水洞</w:t>
            </w:r>
          </w:p>
        </w:tc>
        <w:tc>
          <w:tcPr>
            <w:tcW w:w="282" w:type="pct"/>
            <w:tcBorders>
              <w:tl2br w:val="nil"/>
              <w:tr2bl w:val="nil"/>
            </w:tcBorders>
            <w:vAlign w:val="center"/>
          </w:tcPr>
          <w:p w14:paraId="5AD04F7B">
            <w:pPr>
              <w:spacing w:line="240" w:lineRule="auto"/>
              <w:jc w:val="center"/>
              <w:rPr>
                <w:color w:val="000000"/>
                <w:sz w:val="18"/>
                <w:szCs w:val="18"/>
              </w:rPr>
            </w:pPr>
            <w:r>
              <w:rPr>
                <w:color w:val="000000"/>
                <w:sz w:val="18"/>
                <w:szCs w:val="18"/>
              </w:rPr>
              <w:t>ES</w:t>
            </w:r>
          </w:p>
        </w:tc>
        <w:tc>
          <w:tcPr>
            <w:tcW w:w="383" w:type="pct"/>
            <w:tcBorders>
              <w:tl2br w:val="nil"/>
              <w:tr2bl w:val="nil"/>
            </w:tcBorders>
            <w:vAlign w:val="center"/>
          </w:tcPr>
          <w:p w14:paraId="7FB56017">
            <w:pPr>
              <w:spacing w:line="240" w:lineRule="auto"/>
              <w:jc w:val="center"/>
              <w:rPr>
                <w:color w:val="000000"/>
                <w:sz w:val="18"/>
                <w:szCs w:val="18"/>
              </w:rPr>
            </w:pPr>
            <w:r>
              <w:rPr>
                <w:color w:val="000000"/>
                <w:sz w:val="18"/>
                <w:szCs w:val="18"/>
              </w:rPr>
              <w:t>/</w:t>
            </w:r>
          </w:p>
        </w:tc>
        <w:tc>
          <w:tcPr>
            <w:tcW w:w="360" w:type="pct"/>
            <w:tcBorders>
              <w:tl2br w:val="nil"/>
              <w:tr2bl w:val="nil"/>
            </w:tcBorders>
            <w:vAlign w:val="center"/>
          </w:tcPr>
          <w:p w14:paraId="356C71C2">
            <w:pPr>
              <w:spacing w:line="240" w:lineRule="auto"/>
              <w:jc w:val="center"/>
              <w:rPr>
                <w:color w:val="000000"/>
                <w:sz w:val="18"/>
                <w:szCs w:val="18"/>
              </w:rPr>
            </w:pPr>
            <w:r>
              <w:rPr>
                <w:color w:val="000000"/>
                <w:sz w:val="18"/>
                <w:szCs w:val="18"/>
              </w:rPr>
              <w:t>/</w:t>
            </w:r>
          </w:p>
        </w:tc>
        <w:tc>
          <w:tcPr>
            <w:tcW w:w="498" w:type="pct"/>
            <w:tcBorders>
              <w:tl2br w:val="nil"/>
              <w:tr2bl w:val="nil"/>
            </w:tcBorders>
            <w:vAlign w:val="center"/>
          </w:tcPr>
          <w:p w14:paraId="458B38DD">
            <w:pPr>
              <w:spacing w:line="240" w:lineRule="auto"/>
              <w:jc w:val="center"/>
              <w:rPr>
                <w:color w:val="000000"/>
                <w:sz w:val="18"/>
                <w:szCs w:val="18"/>
              </w:rPr>
            </w:pPr>
            <w:r>
              <w:rPr>
                <w:color w:val="000000"/>
                <w:sz w:val="18"/>
                <w:szCs w:val="18"/>
              </w:rPr>
              <w:t>222m</w:t>
            </w:r>
          </w:p>
        </w:tc>
        <w:tc>
          <w:tcPr>
            <w:tcW w:w="512" w:type="pct"/>
            <w:tcBorders>
              <w:tl2br w:val="nil"/>
              <w:tr2bl w:val="nil"/>
            </w:tcBorders>
            <w:vAlign w:val="center"/>
          </w:tcPr>
          <w:p w14:paraId="023A6D64">
            <w:pPr>
              <w:spacing w:line="240" w:lineRule="auto"/>
              <w:jc w:val="center"/>
              <w:rPr>
                <w:color w:val="000000"/>
                <w:sz w:val="18"/>
                <w:szCs w:val="18"/>
              </w:rPr>
            </w:pPr>
            <w:r>
              <w:rPr>
                <w:color w:val="000000"/>
                <w:sz w:val="18"/>
                <w:szCs w:val="18"/>
              </w:rPr>
              <w:t>场地内东南角</w:t>
            </w:r>
          </w:p>
        </w:tc>
        <w:tc>
          <w:tcPr>
            <w:tcW w:w="539" w:type="pct"/>
            <w:tcBorders>
              <w:tl2br w:val="nil"/>
              <w:tr2bl w:val="nil"/>
            </w:tcBorders>
            <w:vAlign w:val="center"/>
          </w:tcPr>
          <w:p w14:paraId="54D6AFC7">
            <w:pPr>
              <w:spacing w:line="240" w:lineRule="auto"/>
              <w:jc w:val="center"/>
              <w:rPr>
                <w:color w:val="000000"/>
                <w:sz w:val="18"/>
                <w:szCs w:val="18"/>
              </w:rPr>
            </w:pPr>
            <w:r>
              <w:rPr>
                <w:color w:val="000000"/>
                <w:sz w:val="18"/>
                <w:szCs w:val="18"/>
              </w:rPr>
              <w:t>地下水</w:t>
            </w:r>
          </w:p>
        </w:tc>
        <w:tc>
          <w:tcPr>
            <w:tcW w:w="821" w:type="pct"/>
            <w:tcBorders>
              <w:tl2br w:val="nil"/>
              <w:tr2bl w:val="nil"/>
            </w:tcBorders>
            <w:vAlign w:val="center"/>
          </w:tcPr>
          <w:p w14:paraId="311DFBD8">
            <w:pPr>
              <w:spacing w:line="240" w:lineRule="auto"/>
              <w:jc w:val="center"/>
              <w:rPr>
                <w:color w:val="000000"/>
                <w:sz w:val="18"/>
                <w:szCs w:val="18"/>
              </w:rPr>
            </w:pPr>
            <w:r>
              <w:rPr>
                <w:color w:val="000000"/>
                <w:sz w:val="18"/>
                <w:szCs w:val="18"/>
              </w:rPr>
              <w:t>Ⅲ类水域</w:t>
            </w:r>
          </w:p>
        </w:tc>
        <w:tc>
          <w:tcPr>
            <w:tcW w:w="822" w:type="pct"/>
            <w:tcBorders>
              <w:tl2br w:val="nil"/>
              <w:tr2bl w:val="nil"/>
            </w:tcBorders>
            <w:vAlign w:val="center"/>
          </w:tcPr>
          <w:p w14:paraId="42C8DF83">
            <w:pPr>
              <w:spacing w:line="240" w:lineRule="auto"/>
              <w:jc w:val="center"/>
              <w:rPr>
                <w:color w:val="000000"/>
                <w:sz w:val="18"/>
                <w:szCs w:val="18"/>
              </w:rPr>
            </w:pPr>
            <w:r>
              <w:rPr>
                <w:color w:val="000000"/>
                <w:sz w:val="18"/>
                <w:szCs w:val="18"/>
              </w:rPr>
              <w:t>塌陷深度2.5m</w:t>
            </w:r>
          </w:p>
        </w:tc>
      </w:tr>
      <w:tr w14:paraId="540861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7" w:hRule="atLeast"/>
          <w:jc w:val="center"/>
        </w:trPr>
        <w:tc>
          <w:tcPr>
            <w:tcW w:w="293" w:type="pct"/>
            <w:tcBorders>
              <w:tl2br w:val="nil"/>
              <w:tr2bl w:val="nil"/>
            </w:tcBorders>
            <w:vAlign w:val="center"/>
          </w:tcPr>
          <w:p w14:paraId="1EF60E2A">
            <w:pPr>
              <w:spacing w:line="240" w:lineRule="auto"/>
              <w:jc w:val="center"/>
              <w:rPr>
                <w:color w:val="000000"/>
                <w:sz w:val="18"/>
                <w:szCs w:val="18"/>
              </w:rPr>
            </w:pPr>
            <w:r>
              <w:rPr>
                <w:color w:val="000000"/>
                <w:sz w:val="18"/>
                <w:szCs w:val="18"/>
              </w:rPr>
              <w:t>15</w:t>
            </w:r>
          </w:p>
        </w:tc>
        <w:tc>
          <w:tcPr>
            <w:tcW w:w="485" w:type="pct"/>
            <w:tcBorders>
              <w:tl2br w:val="nil"/>
              <w:tr2bl w:val="nil"/>
            </w:tcBorders>
            <w:vAlign w:val="center"/>
          </w:tcPr>
          <w:p w14:paraId="51FBC049">
            <w:pPr>
              <w:spacing w:line="240" w:lineRule="auto"/>
              <w:jc w:val="center"/>
              <w:rPr>
                <w:color w:val="000000"/>
                <w:sz w:val="18"/>
                <w:szCs w:val="18"/>
              </w:rPr>
            </w:pPr>
            <w:r>
              <w:rPr>
                <w:color w:val="000000"/>
                <w:sz w:val="18"/>
                <w:szCs w:val="18"/>
              </w:rPr>
              <w:t>暗河</w:t>
            </w:r>
          </w:p>
        </w:tc>
        <w:tc>
          <w:tcPr>
            <w:tcW w:w="282" w:type="pct"/>
            <w:tcBorders>
              <w:tl2br w:val="nil"/>
              <w:tr2bl w:val="nil"/>
            </w:tcBorders>
            <w:vAlign w:val="center"/>
          </w:tcPr>
          <w:p w14:paraId="12AB9E42">
            <w:pPr>
              <w:spacing w:line="240" w:lineRule="auto"/>
              <w:jc w:val="center"/>
              <w:rPr>
                <w:color w:val="000000"/>
                <w:sz w:val="18"/>
                <w:szCs w:val="18"/>
              </w:rPr>
            </w:pPr>
            <w:r>
              <w:rPr>
                <w:color w:val="000000"/>
                <w:sz w:val="18"/>
                <w:szCs w:val="18"/>
              </w:rPr>
              <w:t>WS</w:t>
            </w:r>
          </w:p>
        </w:tc>
        <w:tc>
          <w:tcPr>
            <w:tcW w:w="383" w:type="pct"/>
            <w:tcBorders>
              <w:tl2br w:val="nil"/>
              <w:tr2bl w:val="nil"/>
            </w:tcBorders>
            <w:vAlign w:val="center"/>
          </w:tcPr>
          <w:p w14:paraId="479F0A10">
            <w:pPr>
              <w:spacing w:line="240" w:lineRule="auto"/>
              <w:jc w:val="center"/>
              <w:rPr>
                <w:color w:val="000000"/>
                <w:sz w:val="18"/>
                <w:szCs w:val="18"/>
              </w:rPr>
            </w:pPr>
            <w:r>
              <w:rPr>
                <w:color w:val="000000"/>
                <w:sz w:val="18"/>
                <w:szCs w:val="18"/>
              </w:rPr>
              <w:t>/</w:t>
            </w:r>
          </w:p>
        </w:tc>
        <w:tc>
          <w:tcPr>
            <w:tcW w:w="360" w:type="pct"/>
            <w:tcBorders>
              <w:tl2br w:val="nil"/>
              <w:tr2bl w:val="nil"/>
            </w:tcBorders>
            <w:vAlign w:val="center"/>
          </w:tcPr>
          <w:p w14:paraId="47A41AE5">
            <w:pPr>
              <w:spacing w:line="240" w:lineRule="auto"/>
              <w:jc w:val="center"/>
              <w:rPr>
                <w:color w:val="000000"/>
                <w:sz w:val="18"/>
                <w:szCs w:val="18"/>
              </w:rPr>
            </w:pPr>
            <w:r>
              <w:rPr>
                <w:color w:val="000000"/>
                <w:sz w:val="18"/>
                <w:szCs w:val="18"/>
              </w:rPr>
              <w:t>/</w:t>
            </w:r>
          </w:p>
        </w:tc>
        <w:tc>
          <w:tcPr>
            <w:tcW w:w="498" w:type="pct"/>
            <w:tcBorders>
              <w:tl2br w:val="nil"/>
              <w:tr2bl w:val="nil"/>
            </w:tcBorders>
            <w:vAlign w:val="center"/>
          </w:tcPr>
          <w:p w14:paraId="32AC5FE8">
            <w:pPr>
              <w:spacing w:line="240" w:lineRule="auto"/>
              <w:jc w:val="center"/>
              <w:rPr>
                <w:color w:val="000000"/>
                <w:sz w:val="18"/>
                <w:szCs w:val="18"/>
              </w:rPr>
            </w:pPr>
            <w:r>
              <w:rPr>
                <w:color w:val="000000"/>
                <w:sz w:val="18"/>
                <w:szCs w:val="18"/>
              </w:rPr>
              <w:t>90m</w:t>
            </w:r>
          </w:p>
        </w:tc>
        <w:tc>
          <w:tcPr>
            <w:tcW w:w="512" w:type="pct"/>
            <w:tcBorders>
              <w:tl2br w:val="nil"/>
              <w:tr2bl w:val="nil"/>
            </w:tcBorders>
            <w:vAlign w:val="center"/>
          </w:tcPr>
          <w:p w14:paraId="51BEA425">
            <w:pPr>
              <w:spacing w:line="240" w:lineRule="auto"/>
              <w:jc w:val="center"/>
              <w:rPr>
                <w:color w:val="000000"/>
                <w:sz w:val="18"/>
                <w:szCs w:val="18"/>
              </w:rPr>
            </w:pPr>
            <w:r>
              <w:rPr>
                <w:color w:val="000000"/>
                <w:sz w:val="18"/>
                <w:szCs w:val="18"/>
              </w:rPr>
              <w:t>场地内</w:t>
            </w:r>
          </w:p>
        </w:tc>
        <w:tc>
          <w:tcPr>
            <w:tcW w:w="539" w:type="pct"/>
            <w:tcBorders>
              <w:tl2br w:val="nil"/>
              <w:tr2bl w:val="nil"/>
            </w:tcBorders>
            <w:vAlign w:val="center"/>
          </w:tcPr>
          <w:p w14:paraId="2871075B">
            <w:pPr>
              <w:spacing w:line="240" w:lineRule="auto"/>
              <w:jc w:val="center"/>
              <w:rPr>
                <w:color w:val="000000"/>
                <w:sz w:val="18"/>
                <w:szCs w:val="18"/>
              </w:rPr>
            </w:pPr>
            <w:r>
              <w:rPr>
                <w:color w:val="000000"/>
                <w:sz w:val="18"/>
                <w:szCs w:val="18"/>
              </w:rPr>
              <w:t>地下水</w:t>
            </w:r>
          </w:p>
        </w:tc>
        <w:tc>
          <w:tcPr>
            <w:tcW w:w="821" w:type="pct"/>
            <w:tcBorders>
              <w:tl2br w:val="nil"/>
              <w:tr2bl w:val="nil"/>
            </w:tcBorders>
            <w:vAlign w:val="center"/>
          </w:tcPr>
          <w:p w14:paraId="57F342FD">
            <w:pPr>
              <w:spacing w:line="240" w:lineRule="auto"/>
              <w:jc w:val="center"/>
              <w:rPr>
                <w:color w:val="000000"/>
                <w:sz w:val="18"/>
                <w:szCs w:val="18"/>
              </w:rPr>
            </w:pPr>
            <w:r>
              <w:rPr>
                <w:color w:val="000000"/>
                <w:sz w:val="18"/>
                <w:szCs w:val="18"/>
              </w:rPr>
              <w:t>Ⅲ类水域</w:t>
            </w:r>
          </w:p>
        </w:tc>
        <w:tc>
          <w:tcPr>
            <w:tcW w:w="822" w:type="pct"/>
            <w:tcBorders>
              <w:tl2br w:val="nil"/>
              <w:tr2bl w:val="nil"/>
            </w:tcBorders>
            <w:vAlign w:val="center"/>
          </w:tcPr>
          <w:p w14:paraId="5B71FBB7">
            <w:pPr>
              <w:spacing w:line="240" w:lineRule="auto"/>
              <w:jc w:val="center"/>
              <w:rPr>
                <w:color w:val="000000"/>
                <w:sz w:val="18"/>
                <w:szCs w:val="18"/>
              </w:rPr>
            </w:pPr>
            <w:r>
              <w:rPr>
                <w:color w:val="000000"/>
                <w:sz w:val="18"/>
                <w:szCs w:val="18"/>
              </w:rPr>
              <w:t>/</w:t>
            </w:r>
          </w:p>
        </w:tc>
      </w:tr>
    </w:tbl>
    <w:p w14:paraId="2669D013">
      <w:pPr>
        <w:rPr>
          <w:color w:val="000000"/>
        </w:rPr>
      </w:pPr>
      <w:r>
        <w:rPr>
          <w:color w:val="000000"/>
          <w:sz w:val="18"/>
          <w:szCs w:val="18"/>
        </w:rPr>
        <w:t>注：以厂区西北角东经107°32'27.07"，北纬29°35'40.72"点，为坐标原点（0，0），东西向为X、南北向为Y。</w:t>
      </w:r>
    </w:p>
    <w:p w14:paraId="021626E5">
      <w:pPr>
        <w:pStyle w:val="770"/>
        <w:rPr>
          <w:bCs w:val="0"/>
          <w:color w:val="000000"/>
        </w:rPr>
      </w:pPr>
      <w:bookmarkStart w:id="180" w:name="_Toc272"/>
      <w:r>
        <w:rPr>
          <w:bCs w:val="0"/>
          <w:color w:val="000000"/>
        </w:rPr>
        <w:t>1.6 相关政策及规划符合性分析</w:t>
      </w:r>
      <w:bookmarkEnd w:id="176"/>
      <w:bookmarkEnd w:id="177"/>
      <w:bookmarkEnd w:id="178"/>
      <w:bookmarkEnd w:id="179"/>
      <w:bookmarkEnd w:id="180"/>
    </w:p>
    <w:p w14:paraId="63A1DE16">
      <w:pPr>
        <w:pStyle w:val="771"/>
        <w:rPr>
          <w:color w:val="000000"/>
        </w:rPr>
      </w:pPr>
      <w:bookmarkStart w:id="181" w:name="_Toc489922445"/>
      <w:bookmarkStart w:id="182" w:name="_Toc500375986"/>
      <w:r>
        <w:rPr>
          <w:color w:val="000000"/>
        </w:rPr>
        <w:t>1.6.1 产业政策符合性分析</w:t>
      </w:r>
      <w:bookmarkEnd w:id="181"/>
      <w:bookmarkEnd w:id="182"/>
    </w:p>
    <w:p w14:paraId="6E650F98">
      <w:pPr>
        <w:outlineLvl w:val="3"/>
        <w:rPr>
          <w:color w:val="000000"/>
          <w:szCs w:val="24"/>
        </w:rPr>
      </w:pPr>
      <w:bookmarkStart w:id="183" w:name="_Toc500375987"/>
      <w:bookmarkStart w:id="184" w:name="_Toc489922446"/>
      <w:r>
        <w:rPr>
          <w:color w:val="000000"/>
          <w:szCs w:val="24"/>
        </w:rPr>
        <w:t>1.6.1.1与国家产业政策的符合性分析</w:t>
      </w:r>
    </w:p>
    <w:p w14:paraId="1D5E26FB">
      <w:pPr>
        <w:ind w:firstLine="480" w:firstLineChars="200"/>
        <w:rPr>
          <w:color w:val="000000"/>
          <w:szCs w:val="20"/>
        </w:rPr>
      </w:pPr>
      <w:r>
        <w:rPr>
          <w:color w:val="000000"/>
          <w:szCs w:val="20"/>
        </w:rPr>
        <w:t>本项目利用现有LNG工厂BOG尾气生产高纯氦气，属于C2619其他基础化学原料制造，不属于《产业结构调整指导目录（2019 年本）》中的鼓励类、限制类和淘汰类建设</w:t>
      </w:r>
      <w:r>
        <w:rPr>
          <w:rFonts w:hint="eastAsia"/>
          <w:color w:val="000000"/>
          <w:szCs w:val="20"/>
          <w:lang w:eastAsia="zh-CN"/>
        </w:rPr>
        <w:t>项目</w:t>
      </w:r>
      <w:r>
        <w:rPr>
          <w:color w:val="000000"/>
          <w:szCs w:val="20"/>
        </w:rPr>
        <w:t>，属于允许类，工程建设符合现行国家产业政策，同时本项目已获得了重庆市涪陵区发展和改革委员会下发的重庆市企业投资项目备案证（2107-500102-04-02-373372）。</w:t>
      </w:r>
    </w:p>
    <w:p w14:paraId="3E4226E7">
      <w:pPr>
        <w:outlineLvl w:val="3"/>
        <w:rPr>
          <w:color w:val="000000"/>
          <w:szCs w:val="24"/>
        </w:rPr>
      </w:pPr>
      <w:r>
        <w:rPr>
          <w:color w:val="000000"/>
          <w:szCs w:val="24"/>
        </w:rPr>
        <w:t>1.6.1.2与《重庆市工业项目环境准入规定》符合性分析</w:t>
      </w:r>
    </w:p>
    <w:p w14:paraId="3704297F">
      <w:pPr>
        <w:ind w:firstLine="480" w:firstLineChars="200"/>
        <w:rPr>
          <w:color w:val="000000"/>
          <w:szCs w:val="20"/>
        </w:rPr>
      </w:pPr>
      <w:r>
        <w:rPr>
          <w:color w:val="000000"/>
          <w:szCs w:val="20"/>
        </w:rPr>
        <w:t>根据《重庆市工业项目环境准入规定》（修订）（渝办发[2012]142号），为合理利用资源，促进全市产业结构调整，要求工业项目建设必须贯彻执行对照准入条件分析见表1.6.1-1。</w:t>
      </w:r>
    </w:p>
    <w:p w14:paraId="053B4955">
      <w:pPr>
        <w:spacing w:line="240" w:lineRule="auto"/>
        <w:ind w:firstLine="420" w:firstLineChars="200"/>
        <w:jc w:val="center"/>
        <w:rPr>
          <w:color w:val="000000"/>
          <w:sz w:val="21"/>
        </w:rPr>
      </w:pPr>
      <w:r>
        <w:rPr>
          <w:color w:val="000000"/>
          <w:sz w:val="21"/>
        </w:rPr>
        <w:t>表1.6.1-1重庆市工业项目环境污染准入规定</w:t>
      </w:r>
    </w:p>
    <w:tbl>
      <w:tblPr>
        <w:tblStyle w:val="73"/>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3878"/>
        <w:gridCol w:w="3211"/>
        <w:gridCol w:w="1060"/>
      </w:tblGrid>
      <w:tr w14:paraId="0B97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300" w:type="pct"/>
            <w:tcBorders>
              <w:tl2br w:val="nil"/>
              <w:tr2bl w:val="nil"/>
            </w:tcBorders>
            <w:vAlign w:val="center"/>
          </w:tcPr>
          <w:p w14:paraId="65C5EF5D">
            <w:pPr>
              <w:widowControl w:val="0"/>
              <w:spacing w:line="240" w:lineRule="auto"/>
              <w:ind w:firstLine="420" w:firstLineChars="200"/>
              <w:jc w:val="both"/>
              <w:rPr>
                <w:color w:val="000000"/>
                <w:sz w:val="21"/>
              </w:rPr>
            </w:pPr>
            <w:r>
              <w:rPr>
                <w:color w:val="000000"/>
                <w:sz w:val="21"/>
              </w:rPr>
              <w:t>序号</w:t>
            </w:r>
          </w:p>
        </w:tc>
        <w:tc>
          <w:tcPr>
            <w:tcW w:w="2207" w:type="pct"/>
            <w:tcBorders>
              <w:tl2br w:val="nil"/>
              <w:tr2bl w:val="nil"/>
            </w:tcBorders>
            <w:vAlign w:val="center"/>
          </w:tcPr>
          <w:p w14:paraId="7F0016CF">
            <w:pPr>
              <w:widowControl w:val="0"/>
              <w:spacing w:line="240" w:lineRule="auto"/>
              <w:ind w:firstLine="420" w:firstLineChars="200"/>
              <w:jc w:val="center"/>
              <w:rPr>
                <w:color w:val="000000"/>
                <w:sz w:val="21"/>
              </w:rPr>
            </w:pPr>
            <w:r>
              <w:rPr>
                <w:color w:val="000000"/>
                <w:sz w:val="21"/>
              </w:rPr>
              <w:t>环境准入条件</w:t>
            </w:r>
          </w:p>
        </w:tc>
        <w:tc>
          <w:tcPr>
            <w:tcW w:w="1839" w:type="pct"/>
            <w:tcBorders>
              <w:tl2br w:val="nil"/>
              <w:tr2bl w:val="nil"/>
            </w:tcBorders>
            <w:vAlign w:val="center"/>
          </w:tcPr>
          <w:p w14:paraId="5B87243C">
            <w:pPr>
              <w:widowControl w:val="0"/>
              <w:spacing w:line="240" w:lineRule="auto"/>
              <w:ind w:firstLine="420" w:firstLineChars="200"/>
              <w:jc w:val="center"/>
              <w:rPr>
                <w:color w:val="000000"/>
                <w:sz w:val="21"/>
              </w:rPr>
            </w:pPr>
            <w:r>
              <w:rPr>
                <w:color w:val="000000"/>
                <w:sz w:val="21"/>
              </w:rPr>
              <w:t>本项目情况</w:t>
            </w:r>
          </w:p>
        </w:tc>
        <w:tc>
          <w:tcPr>
            <w:tcW w:w="651" w:type="pct"/>
            <w:tcBorders>
              <w:tl2br w:val="nil"/>
              <w:tr2bl w:val="nil"/>
            </w:tcBorders>
            <w:vAlign w:val="center"/>
          </w:tcPr>
          <w:p w14:paraId="4B7EFCE1">
            <w:pPr>
              <w:widowControl w:val="0"/>
              <w:spacing w:line="240" w:lineRule="auto"/>
              <w:ind w:firstLine="420" w:firstLineChars="200"/>
              <w:jc w:val="both"/>
              <w:rPr>
                <w:color w:val="000000"/>
                <w:sz w:val="21"/>
              </w:rPr>
            </w:pPr>
            <w:r>
              <w:rPr>
                <w:color w:val="000000"/>
                <w:sz w:val="21"/>
              </w:rPr>
              <w:t>是否符合准入规定</w:t>
            </w:r>
          </w:p>
        </w:tc>
      </w:tr>
      <w:tr w14:paraId="7A36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0" w:type="pct"/>
            <w:tcBorders>
              <w:tl2br w:val="nil"/>
              <w:tr2bl w:val="nil"/>
            </w:tcBorders>
            <w:vAlign w:val="center"/>
          </w:tcPr>
          <w:p w14:paraId="1ABAE8FC">
            <w:pPr>
              <w:widowControl w:val="0"/>
              <w:spacing w:line="240" w:lineRule="auto"/>
              <w:ind w:firstLine="420" w:firstLineChars="200"/>
              <w:rPr>
                <w:color w:val="000000"/>
                <w:sz w:val="21"/>
              </w:rPr>
            </w:pPr>
            <w:r>
              <w:rPr>
                <w:color w:val="000000"/>
                <w:sz w:val="21"/>
              </w:rPr>
              <w:t>1</w:t>
            </w:r>
          </w:p>
        </w:tc>
        <w:tc>
          <w:tcPr>
            <w:tcW w:w="2207" w:type="pct"/>
            <w:tcBorders>
              <w:tl2br w:val="nil"/>
              <w:tr2bl w:val="nil"/>
            </w:tcBorders>
            <w:vAlign w:val="center"/>
          </w:tcPr>
          <w:p w14:paraId="1D46C8BB">
            <w:pPr>
              <w:widowControl w:val="0"/>
              <w:spacing w:line="240" w:lineRule="auto"/>
              <w:rPr>
                <w:color w:val="000000"/>
                <w:sz w:val="21"/>
              </w:rPr>
            </w:pPr>
            <w:r>
              <w:rPr>
                <w:color w:val="000000"/>
                <w:sz w:val="21"/>
              </w:rPr>
              <w:t>工业项目应符合产业政策，不得采用国家和本市淘汰的或禁止使用的工艺、技术和设备，不得建设生产工艺或污染防治技术不成熟的项目。</w:t>
            </w:r>
          </w:p>
        </w:tc>
        <w:tc>
          <w:tcPr>
            <w:tcW w:w="1839" w:type="pct"/>
            <w:tcBorders>
              <w:tl2br w:val="nil"/>
              <w:tr2bl w:val="nil"/>
            </w:tcBorders>
            <w:vAlign w:val="center"/>
          </w:tcPr>
          <w:p w14:paraId="5D21E278">
            <w:pPr>
              <w:widowControl w:val="0"/>
              <w:spacing w:line="240" w:lineRule="auto"/>
              <w:rPr>
                <w:color w:val="000000"/>
                <w:sz w:val="21"/>
              </w:rPr>
            </w:pPr>
            <w:r>
              <w:rPr>
                <w:color w:val="000000"/>
                <w:sz w:val="21"/>
              </w:rPr>
              <w:t>本项目符合国家产业政策，未采用国家和我市淘汰或禁止使用的工艺、技术和设备</w:t>
            </w:r>
          </w:p>
        </w:tc>
        <w:tc>
          <w:tcPr>
            <w:tcW w:w="651" w:type="pct"/>
            <w:tcBorders>
              <w:tl2br w:val="nil"/>
              <w:tr2bl w:val="nil"/>
            </w:tcBorders>
            <w:vAlign w:val="center"/>
          </w:tcPr>
          <w:p w14:paraId="03E55C7C">
            <w:pPr>
              <w:widowControl w:val="0"/>
              <w:spacing w:line="240" w:lineRule="auto"/>
              <w:ind w:firstLine="420" w:firstLineChars="200"/>
              <w:rPr>
                <w:color w:val="000000"/>
                <w:sz w:val="21"/>
              </w:rPr>
            </w:pPr>
            <w:r>
              <w:rPr>
                <w:color w:val="000000"/>
                <w:sz w:val="21"/>
              </w:rPr>
              <w:t>符合</w:t>
            </w:r>
          </w:p>
        </w:tc>
      </w:tr>
      <w:tr w14:paraId="00C3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300" w:type="pct"/>
            <w:tcBorders>
              <w:tl2br w:val="nil"/>
              <w:tr2bl w:val="nil"/>
            </w:tcBorders>
            <w:vAlign w:val="center"/>
          </w:tcPr>
          <w:p w14:paraId="70E54233">
            <w:pPr>
              <w:widowControl w:val="0"/>
              <w:spacing w:line="240" w:lineRule="auto"/>
              <w:ind w:firstLine="420" w:firstLineChars="200"/>
              <w:rPr>
                <w:color w:val="000000"/>
                <w:sz w:val="21"/>
              </w:rPr>
            </w:pPr>
            <w:r>
              <w:rPr>
                <w:color w:val="000000"/>
                <w:sz w:val="21"/>
              </w:rPr>
              <w:t>2</w:t>
            </w:r>
          </w:p>
        </w:tc>
        <w:tc>
          <w:tcPr>
            <w:tcW w:w="2207" w:type="pct"/>
            <w:tcBorders>
              <w:tl2br w:val="nil"/>
              <w:tr2bl w:val="nil"/>
            </w:tcBorders>
            <w:vAlign w:val="center"/>
          </w:tcPr>
          <w:p w14:paraId="1B642432">
            <w:pPr>
              <w:widowControl w:val="0"/>
              <w:spacing w:line="240" w:lineRule="auto"/>
              <w:rPr>
                <w:color w:val="000000"/>
                <w:sz w:val="21"/>
              </w:rPr>
            </w:pPr>
            <w:r>
              <w:rPr>
                <w:color w:val="000000"/>
                <w:sz w:val="21"/>
              </w:rPr>
              <w:t>工业项目清洁生产水平不得低于国家清洁生产标准的国内基本水平；“一小时经济圈”内工业项目清洁生产水平应达到国家清洁生产标准的国内先进水平。</w:t>
            </w:r>
          </w:p>
        </w:tc>
        <w:tc>
          <w:tcPr>
            <w:tcW w:w="1839" w:type="pct"/>
            <w:tcBorders>
              <w:tl2br w:val="nil"/>
              <w:tr2bl w:val="nil"/>
            </w:tcBorders>
            <w:vAlign w:val="center"/>
          </w:tcPr>
          <w:p w14:paraId="299D9BA3">
            <w:pPr>
              <w:widowControl w:val="0"/>
              <w:spacing w:line="240" w:lineRule="auto"/>
              <w:rPr>
                <w:color w:val="000000"/>
                <w:sz w:val="21"/>
              </w:rPr>
            </w:pPr>
            <w:r>
              <w:rPr>
                <w:color w:val="000000"/>
                <w:sz w:val="21"/>
              </w:rPr>
              <w:t>本项目建成后企业按照规定达到清洁生产国内先进水平。</w:t>
            </w:r>
          </w:p>
        </w:tc>
        <w:tc>
          <w:tcPr>
            <w:tcW w:w="651" w:type="pct"/>
            <w:tcBorders>
              <w:tl2br w:val="nil"/>
              <w:tr2bl w:val="nil"/>
            </w:tcBorders>
            <w:vAlign w:val="center"/>
          </w:tcPr>
          <w:p w14:paraId="67744BFF">
            <w:pPr>
              <w:widowControl w:val="0"/>
              <w:spacing w:line="240" w:lineRule="auto"/>
              <w:ind w:firstLine="420" w:firstLineChars="200"/>
              <w:rPr>
                <w:color w:val="000000"/>
                <w:sz w:val="21"/>
              </w:rPr>
            </w:pPr>
            <w:r>
              <w:rPr>
                <w:color w:val="000000"/>
                <w:sz w:val="21"/>
              </w:rPr>
              <w:t>符合</w:t>
            </w:r>
          </w:p>
        </w:tc>
      </w:tr>
      <w:tr w14:paraId="3CF5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300" w:type="pct"/>
            <w:tcBorders>
              <w:tl2br w:val="nil"/>
              <w:tr2bl w:val="nil"/>
            </w:tcBorders>
            <w:vAlign w:val="center"/>
          </w:tcPr>
          <w:p w14:paraId="33BDBC1E">
            <w:pPr>
              <w:widowControl w:val="0"/>
              <w:spacing w:line="240" w:lineRule="auto"/>
              <w:ind w:firstLine="420" w:firstLineChars="200"/>
              <w:rPr>
                <w:color w:val="000000"/>
                <w:sz w:val="21"/>
              </w:rPr>
            </w:pPr>
            <w:r>
              <w:rPr>
                <w:color w:val="000000"/>
                <w:sz w:val="21"/>
              </w:rPr>
              <w:t>3</w:t>
            </w:r>
          </w:p>
        </w:tc>
        <w:tc>
          <w:tcPr>
            <w:tcW w:w="2207" w:type="pct"/>
            <w:tcBorders>
              <w:tl2br w:val="nil"/>
              <w:tr2bl w:val="nil"/>
            </w:tcBorders>
            <w:vAlign w:val="center"/>
          </w:tcPr>
          <w:p w14:paraId="73367FF5">
            <w:pPr>
              <w:widowControl w:val="0"/>
              <w:spacing w:line="240" w:lineRule="auto"/>
              <w:rPr>
                <w:color w:val="000000"/>
                <w:sz w:val="21"/>
              </w:rPr>
            </w:pPr>
            <w:r>
              <w:rPr>
                <w:color w:val="000000"/>
                <w:sz w:val="21"/>
              </w:rPr>
              <w:t>工业项目选址应符合产业发展规划、城乡总体规划、土地利用规划等规划。新建有污染物排放的工业项目应进入工业园区或工业集中区。</w:t>
            </w:r>
          </w:p>
        </w:tc>
        <w:tc>
          <w:tcPr>
            <w:tcW w:w="1839" w:type="pct"/>
            <w:tcBorders>
              <w:tl2br w:val="nil"/>
              <w:tr2bl w:val="nil"/>
            </w:tcBorders>
            <w:vAlign w:val="center"/>
          </w:tcPr>
          <w:p w14:paraId="14422654">
            <w:pPr>
              <w:widowControl w:val="0"/>
              <w:spacing w:line="240" w:lineRule="auto"/>
              <w:rPr>
                <w:color w:val="000000"/>
                <w:sz w:val="21"/>
              </w:rPr>
            </w:pPr>
            <w:r>
              <w:rPr>
                <w:color w:val="000000"/>
                <w:sz w:val="21"/>
              </w:rPr>
              <w:t>本项目位于涪陵现有LNG工厂内，选址符合上述相关规划。项目周围不存在自然保护区、饮用水源保护区、风景名胜区、森林公园、文物古迹、居住文教区等环境敏感区</w:t>
            </w:r>
          </w:p>
        </w:tc>
        <w:tc>
          <w:tcPr>
            <w:tcW w:w="651" w:type="pct"/>
            <w:tcBorders>
              <w:tl2br w:val="nil"/>
              <w:tr2bl w:val="nil"/>
            </w:tcBorders>
            <w:vAlign w:val="center"/>
          </w:tcPr>
          <w:p w14:paraId="14EACA7F">
            <w:pPr>
              <w:widowControl w:val="0"/>
              <w:spacing w:line="240" w:lineRule="auto"/>
              <w:ind w:firstLine="420" w:firstLineChars="200"/>
              <w:rPr>
                <w:color w:val="000000"/>
                <w:sz w:val="21"/>
              </w:rPr>
            </w:pPr>
            <w:r>
              <w:rPr>
                <w:color w:val="000000"/>
                <w:sz w:val="21"/>
              </w:rPr>
              <w:t>符合</w:t>
            </w:r>
          </w:p>
        </w:tc>
      </w:tr>
      <w:tr w14:paraId="1EE1B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300" w:type="pct"/>
            <w:tcBorders>
              <w:tl2br w:val="nil"/>
              <w:tr2bl w:val="nil"/>
            </w:tcBorders>
            <w:vAlign w:val="center"/>
          </w:tcPr>
          <w:p w14:paraId="721C0E3C">
            <w:pPr>
              <w:widowControl w:val="0"/>
              <w:spacing w:line="240" w:lineRule="auto"/>
              <w:ind w:firstLine="420" w:firstLineChars="200"/>
              <w:rPr>
                <w:color w:val="000000"/>
                <w:sz w:val="21"/>
              </w:rPr>
            </w:pPr>
            <w:r>
              <w:rPr>
                <w:color w:val="000000"/>
                <w:sz w:val="21"/>
              </w:rPr>
              <w:t>4</w:t>
            </w:r>
          </w:p>
        </w:tc>
        <w:tc>
          <w:tcPr>
            <w:tcW w:w="2207" w:type="pct"/>
            <w:tcBorders>
              <w:tl2br w:val="nil"/>
              <w:tr2bl w:val="nil"/>
            </w:tcBorders>
            <w:vAlign w:val="center"/>
          </w:tcPr>
          <w:p w14:paraId="12414167">
            <w:pPr>
              <w:widowControl w:val="0"/>
              <w:spacing w:line="240" w:lineRule="auto"/>
              <w:rPr>
                <w:color w:val="000000"/>
                <w:sz w:val="21"/>
              </w:rPr>
            </w:pPr>
            <w:r>
              <w:rPr>
                <w:color w:val="000000"/>
                <w:sz w:val="21"/>
              </w:rPr>
              <w:t>在长江、嘉陵江主城区江段及其上游沿江河地区严格限制建设可能对饮用水源带来安全隐患的化工、造纸、印染及排放有毒有害物质和重金属的工业项目。</w:t>
            </w:r>
          </w:p>
        </w:tc>
        <w:tc>
          <w:tcPr>
            <w:tcW w:w="1839" w:type="pct"/>
            <w:tcBorders>
              <w:tl2br w:val="nil"/>
              <w:tr2bl w:val="nil"/>
            </w:tcBorders>
            <w:vAlign w:val="center"/>
          </w:tcPr>
          <w:p w14:paraId="4A495B27">
            <w:pPr>
              <w:widowControl w:val="0"/>
              <w:spacing w:line="240" w:lineRule="auto"/>
              <w:rPr>
                <w:color w:val="000000"/>
                <w:sz w:val="21"/>
              </w:rPr>
            </w:pPr>
            <w:r>
              <w:rPr>
                <w:color w:val="000000"/>
                <w:sz w:val="21"/>
              </w:rPr>
              <w:t>项目位于涪陵现有LNG工厂内，位于长江鱼嘴以下江段，不属于主城区江段。</w:t>
            </w:r>
          </w:p>
        </w:tc>
        <w:tc>
          <w:tcPr>
            <w:tcW w:w="651" w:type="pct"/>
            <w:tcBorders>
              <w:tl2br w:val="nil"/>
              <w:tr2bl w:val="nil"/>
            </w:tcBorders>
            <w:vAlign w:val="center"/>
          </w:tcPr>
          <w:p w14:paraId="144E979C">
            <w:pPr>
              <w:widowControl w:val="0"/>
              <w:spacing w:line="240" w:lineRule="auto"/>
              <w:ind w:firstLine="420" w:firstLineChars="200"/>
              <w:rPr>
                <w:color w:val="000000"/>
                <w:sz w:val="21"/>
              </w:rPr>
            </w:pPr>
            <w:r>
              <w:rPr>
                <w:color w:val="000000"/>
                <w:sz w:val="21"/>
              </w:rPr>
              <w:t>符合</w:t>
            </w:r>
          </w:p>
        </w:tc>
      </w:tr>
      <w:tr w14:paraId="0ADC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300" w:type="pct"/>
            <w:tcBorders>
              <w:tl2br w:val="nil"/>
              <w:tr2bl w:val="nil"/>
            </w:tcBorders>
            <w:vAlign w:val="center"/>
          </w:tcPr>
          <w:p w14:paraId="78C49251">
            <w:pPr>
              <w:widowControl w:val="0"/>
              <w:spacing w:line="240" w:lineRule="auto"/>
              <w:ind w:firstLine="420" w:firstLineChars="200"/>
              <w:rPr>
                <w:color w:val="000000"/>
                <w:sz w:val="21"/>
              </w:rPr>
            </w:pPr>
            <w:r>
              <w:rPr>
                <w:color w:val="000000"/>
                <w:sz w:val="21"/>
              </w:rPr>
              <w:t>5</w:t>
            </w:r>
          </w:p>
        </w:tc>
        <w:tc>
          <w:tcPr>
            <w:tcW w:w="2207" w:type="pct"/>
            <w:tcBorders>
              <w:tl2br w:val="nil"/>
              <w:tr2bl w:val="nil"/>
            </w:tcBorders>
            <w:vAlign w:val="center"/>
          </w:tcPr>
          <w:p w14:paraId="2C5BE405">
            <w:pPr>
              <w:widowControl w:val="0"/>
              <w:spacing w:line="240" w:lineRule="auto"/>
              <w:rPr>
                <w:color w:val="000000"/>
                <w:sz w:val="21"/>
              </w:rPr>
            </w:pPr>
            <w:r>
              <w:rPr>
                <w:color w:val="000000"/>
                <w:sz w:val="21"/>
              </w:rPr>
              <w:t>在主城区禁止新建、改建、扩建以煤、重油为燃料的工业项目；在合川区、江津区、长寿区、璧山区等地区严格限制新建、扩建可能对主城区大气产生影响的燃用煤、重油等高污染燃料的工业项目。</w:t>
            </w:r>
          </w:p>
        </w:tc>
        <w:tc>
          <w:tcPr>
            <w:tcW w:w="1839" w:type="pct"/>
            <w:tcBorders>
              <w:tl2br w:val="nil"/>
              <w:tr2bl w:val="nil"/>
            </w:tcBorders>
            <w:vAlign w:val="center"/>
          </w:tcPr>
          <w:p w14:paraId="2F4F0B48">
            <w:pPr>
              <w:widowControl w:val="0"/>
              <w:spacing w:line="240" w:lineRule="auto"/>
              <w:rPr>
                <w:color w:val="000000"/>
                <w:sz w:val="21"/>
              </w:rPr>
            </w:pPr>
            <w:r>
              <w:rPr>
                <w:color w:val="000000"/>
                <w:sz w:val="21"/>
              </w:rPr>
              <w:t>项目位于涪陵现有LNG工厂内，不属主城区及其主导风上风向10公里范围内。</w:t>
            </w:r>
          </w:p>
        </w:tc>
        <w:tc>
          <w:tcPr>
            <w:tcW w:w="651" w:type="pct"/>
            <w:tcBorders>
              <w:tl2br w:val="nil"/>
              <w:tr2bl w:val="nil"/>
            </w:tcBorders>
            <w:vAlign w:val="center"/>
          </w:tcPr>
          <w:p w14:paraId="03D7E167">
            <w:pPr>
              <w:widowControl w:val="0"/>
              <w:spacing w:line="240" w:lineRule="auto"/>
              <w:ind w:firstLine="420" w:firstLineChars="200"/>
              <w:rPr>
                <w:color w:val="000000"/>
                <w:sz w:val="21"/>
              </w:rPr>
            </w:pPr>
            <w:r>
              <w:rPr>
                <w:color w:val="000000"/>
                <w:sz w:val="21"/>
              </w:rPr>
              <w:t>符合</w:t>
            </w:r>
          </w:p>
        </w:tc>
      </w:tr>
      <w:tr w14:paraId="3C826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00" w:type="pct"/>
            <w:tcBorders>
              <w:tl2br w:val="nil"/>
              <w:tr2bl w:val="nil"/>
            </w:tcBorders>
            <w:vAlign w:val="center"/>
          </w:tcPr>
          <w:p w14:paraId="4E362EFE">
            <w:pPr>
              <w:widowControl w:val="0"/>
              <w:spacing w:line="240" w:lineRule="auto"/>
              <w:ind w:firstLine="420" w:firstLineChars="200"/>
              <w:rPr>
                <w:color w:val="000000"/>
                <w:sz w:val="21"/>
              </w:rPr>
            </w:pPr>
            <w:r>
              <w:rPr>
                <w:color w:val="000000"/>
                <w:sz w:val="21"/>
              </w:rPr>
              <w:t>6</w:t>
            </w:r>
          </w:p>
        </w:tc>
        <w:tc>
          <w:tcPr>
            <w:tcW w:w="2207" w:type="pct"/>
            <w:tcBorders>
              <w:tl2br w:val="nil"/>
              <w:tr2bl w:val="nil"/>
            </w:tcBorders>
            <w:vAlign w:val="center"/>
          </w:tcPr>
          <w:p w14:paraId="4DB249E7">
            <w:pPr>
              <w:widowControl w:val="0"/>
              <w:spacing w:line="240" w:lineRule="auto"/>
              <w:rPr>
                <w:color w:val="000000"/>
                <w:sz w:val="21"/>
              </w:rPr>
            </w:pPr>
            <w:r>
              <w:rPr>
                <w:color w:val="000000"/>
                <w:sz w:val="21"/>
              </w:rPr>
              <w:t>工业项目选址区域应有相应的环境容量，新增主要污染物排放量的工业项目必须取得排污指标，不得影响污染物总量减排计划的完成。未按要求完成污染物总量削减任务的企业、流域和区域，不得建设新增相应污染物排放量的工业项目。</w:t>
            </w:r>
          </w:p>
        </w:tc>
        <w:tc>
          <w:tcPr>
            <w:tcW w:w="1839" w:type="pct"/>
            <w:tcBorders>
              <w:tl2br w:val="nil"/>
              <w:tr2bl w:val="nil"/>
            </w:tcBorders>
            <w:vAlign w:val="center"/>
          </w:tcPr>
          <w:p w14:paraId="24526D00">
            <w:pPr>
              <w:widowControl w:val="0"/>
              <w:spacing w:line="240" w:lineRule="auto"/>
              <w:rPr>
                <w:color w:val="000000"/>
                <w:sz w:val="21"/>
              </w:rPr>
            </w:pPr>
            <w:r>
              <w:rPr>
                <w:color w:val="000000"/>
                <w:sz w:val="21"/>
              </w:rPr>
              <w:t>根据环境现状监测结果，本项目选址区域环境现状质量较好，有一定的环境容量。</w:t>
            </w:r>
          </w:p>
        </w:tc>
        <w:tc>
          <w:tcPr>
            <w:tcW w:w="651" w:type="pct"/>
            <w:tcBorders>
              <w:tl2br w:val="nil"/>
              <w:tr2bl w:val="nil"/>
            </w:tcBorders>
            <w:vAlign w:val="center"/>
          </w:tcPr>
          <w:p w14:paraId="30DC2750">
            <w:pPr>
              <w:widowControl w:val="0"/>
              <w:spacing w:line="240" w:lineRule="auto"/>
              <w:ind w:firstLine="420" w:firstLineChars="200"/>
              <w:rPr>
                <w:color w:val="000000"/>
                <w:sz w:val="21"/>
              </w:rPr>
            </w:pPr>
            <w:r>
              <w:rPr>
                <w:color w:val="000000"/>
                <w:sz w:val="21"/>
              </w:rPr>
              <w:t>符合</w:t>
            </w:r>
          </w:p>
        </w:tc>
      </w:tr>
      <w:tr w14:paraId="4630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300" w:type="pct"/>
            <w:tcBorders>
              <w:tl2br w:val="nil"/>
              <w:tr2bl w:val="nil"/>
            </w:tcBorders>
            <w:vAlign w:val="center"/>
          </w:tcPr>
          <w:p w14:paraId="79905582">
            <w:pPr>
              <w:widowControl w:val="0"/>
              <w:spacing w:line="240" w:lineRule="auto"/>
              <w:ind w:firstLine="420" w:firstLineChars="200"/>
              <w:rPr>
                <w:color w:val="000000"/>
                <w:sz w:val="21"/>
              </w:rPr>
            </w:pPr>
            <w:r>
              <w:rPr>
                <w:color w:val="000000"/>
                <w:sz w:val="21"/>
              </w:rPr>
              <w:t>7</w:t>
            </w:r>
          </w:p>
        </w:tc>
        <w:tc>
          <w:tcPr>
            <w:tcW w:w="2207" w:type="pct"/>
            <w:tcBorders>
              <w:tl2br w:val="nil"/>
              <w:tr2bl w:val="nil"/>
            </w:tcBorders>
            <w:vAlign w:val="center"/>
          </w:tcPr>
          <w:p w14:paraId="48E44697">
            <w:pPr>
              <w:widowControl w:val="0"/>
              <w:spacing w:line="240" w:lineRule="auto"/>
              <w:rPr>
                <w:color w:val="000000"/>
                <w:sz w:val="21"/>
              </w:rPr>
            </w:pPr>
            <w:r>
              <w:rPr>
                <w:color w:val="000000"/>
                <w:sz w:val="21"/>
              </w:rPr>
              <w:t>新增重金属排放量的工业项目应落实污染物排放指标来源，确保国家重金属重点防控区域重金属排放总量按计划削减，其余区域的重金属排放总量不增加。优先保障市级重点项目的重金属污染物排放指标。</w:t>
            </w:r>
          </w:p>
        </w:tc>
        <w:tc>
          <w:tcPr>
            <w:tcW w:w="1839" w:type="pct"/>
            <w:tcBorders>
              <w:tl2br w:val="nil"/>
              <w:tr2bl w:val="nil"/>
            </w:tcBorders>
            <w:vAlign w:val="center"/>
          </w:tcPr>
          <w:p w14:paraId="4B548726">
            <w:pPr>
              <w:widowControl w:val="0"/>
              <w:spacing w:line="240" w:lineRule="auto"/>
              <w:rPr>
                <w:color w:val="000000"/>
                <w:sz w:val="21"/>
              </w:rPr>
            </w:pPr>
            <w:r>
              <w:rPr>
                <w:color w:val="000000"/>
                <w:sz w:val="21"/>
              </w:rPr>
              <w:t>项目不涉及重金属排放</w:t>
            </w:r>
          </w:p>
        </w:tc>
        <w:tc>
          <w:tcPr>
            <w:tcW w:w="651" w:type="pct"/>
            <w:tcBorders>
              <w:tl2br w:val="nil"/>
              <w:tr2bl w:val="nil"/>
            </w:tcBorders>
            <w:vAlign w:val="center"/>
          </w:tcPr>
          <w:p w14:paraId="7F759FE8">
            <w:pPr>
              <w:widowControl w:val="0"/>
              <w:spacing w:line="240" w:lineRule="auto"/>
              <w:ind w:firstLine="420" w:firstLineChars="200"/>
              <w:rPr>
                <w:color w:val="000000"/>
                <w:sz w:val="21"/>
              </w:rPr>
            </w:pPr>
            <w:r>
              <w:rPr>
                <w:color w:val="000000"/>
                <w:sz w:val="21"/>
              </w:rPr>
              <w:t>符合</w:t>
            </w:r>
          </w:p>
        </w:tc>
      </w:tr>
      <w:tr w14:paraId="547C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300" w:type="pct"/>
            <w:tcBorders>
              <w:tl2br w:val="nil"/>
              <w:tr2bl w:val="nil"/>
            </w:tcBorders>
            <w:vAlign w:val="center"/>
          </w:tcPr>
          <w:p w14:paraId="2222E49A">
            <w:pPr>
              <w:widowControl w:val="0"/>
              <w:spacing w:line="240" w:lineRule="auto"/>
              <w:ind w:firstLine="420" w:firstLineChars="200"/>
              <w:rPr>
                <w:color w:val="000000"/>
                <w:sz w:val="21"/>
              </w:rPr>
            </w:pPr>
            <w:r>
              <w:rPr>
                <w:color w:val="000000"/>
                <w:sz w:val="21"/>
              </w:rPr>
              <w:t>8</w:t>
            </w:r>
          </w:p>
        </w:tc>
        <w:tc>
          <w:tcPr>
            <w:tcW w:w="2207" w:type="pct"/>
            <w:tcBorders>
              <w:tl2br w:val="nil"/>
              <w:tr2bl w:val="nil"/>
            </w:tcBorders>
            <w:vAlign w:val="center"/>
          </w:tcPr>
          <w:p w14:paraId="3E0547A4">
            <w:pPr>
              <w:widowControl w:val="0"/>
              <w:spacing w:line="240" w:lineRule="auto"/>
              <w:rPr>
                <w:color w:val="000000"/>
                <w:sz w:val="21"/>
              </w:rPr>
            </w:pPr>
            <w:r>
              <w:rPr>
                <w:color w:val="000000"/>
                <w:sz w:val="21"/>
              </w:rPr>
              <w:t>禁止建设存在重大环境安全隐患的工业项目。</w:t>
            </w:r>
          </w:p>
        </w:tc>
        <w:tc>
          <w:tcPr>
            <w:tcW w:w="1839" w:type="pct"/>
            <w:tcBorders>
              <w:tl2br w:val="nil"/>
              <w:tr2bl w:val="nil"/>
            </w:tcBorders>
            <w:vAlign w:val="center"/>
          </w:tcPr>
          <w:p w14:paraId="680B3BB0">
            <w:pPr>
              <w:widowControl w:val="0"/>
              <w:spacing w:line="240" w:lineRule="auto"/>
              <w:rPr>
                <w:color w:val="000000"/>
                <w:sz w:val="21"/>
              </w:rPr>
            </w:pPr>
            <w:r>
              <w:rPr>
                <w:color w:val="000000"/>
                <w:sz w:val="21"/>
              </w:rPr>
              <w:t>项目提出了风险防范措施落实及风险应急预案，可将环境风险概率降低到可接受的程度。</w:t>
            </w:r>
          </w:p>
        </w:tc>
        <w:tc>
          <w:tcPr>
            <w:tcW w:w="651" w:type="pct"/>
            <w:tcBorders>
              <w:tl2br w:val="nil"/>
              <w:tr2bl w:val="nil"/>
            </w:tcBorders>
            <w:vAlign w:val="center"/>
          </w:tcPr>
          <w:p w14:paraId="1512F267">
            <w:pPr>
              <w:widowControl w:val="0"/>
              <w:spacing w:line="240" w:lineRule="auto"/>
              <w:ind w:firstLine="420" w:firstLineChars="200"/>
              <w:rPr>
                <w:color w:val="000000"/>
                <w:sz w:val="21"/>
              </w:rPr>
            </w:pPr>
            <w:r>
              <w:rPr>
                <w:color w:val="000000"/>
                <w:sz w:val="21"/>
              </w:rPr>
              <w:t>符合</w:t>
            </w:r>
          </w:p>
        </w:tc>
      </w:tr>
      <w:tr w14:paraId="233A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300" w:type="pct"/>
            <w:tcBorders>
              <w:tl2br w:val="nil"/>
              <w:tr2bl w:val="nil"/>
            </w:tcBorders>
            <w:vAlign w:val="center"/>
          </w:tcPr>
          <w:p w14:paraId="3366ECF1">
            <w:pPr>
              <w:widowControl w:val="0"/>
              <w:spacing w:line="240" w:lineRule="auto"/>
              <w:ind w:firstLine="420" w:firstLineChars="200"/>
              <w:rPr>
                <w:color w:val="000000"/>
                <w:sz w:val="21"/>
              </w:rPr>
            </w:pPr>
            <w:r>
              <w:rPr>
                <w:color w:val="000000"/>
                <w:sz w:val="21"/>
              </w:rPr>
              <w:t>9</w:t>
            </w:r>
          </w:p>
        </w:tc>
        <w:tc>
          <w:tcPr>
            <w:tcW w:w="2207" w:type="pct"/>
            <w:tcBorders>
              <w:tl2br w:val="nil"/>
              <w:tr2bl w:val="nil"/>
            </w:tcBorders>
            <w:vAlign w:val="center"/>
          </w:tcPr>
          <w:p w14:paraId="70EA739D">
            <w:pPr>
              <w:widowControl w:val="0"/>
              <w:spacing w:line="240" w:lineRule="auto"/>
              <w:rPr>
                <w:color w:val="000000"/>
                <w:sz w:val="21"/>
              </w:rPr>
            </w:pPr>
            <w:r>
              <w:rPr>
                <w:color w:val="000000"/>
                <w:sz w:val="21"/>
              </w:rPr>
              <w:t>在长江、嘉陵江都市区江段及其上游严格限制在沿江河建设可能对饮用水源带来安全隐患的化工、造纸、印染、电镀等工业项目，禁止建设可能排放剧毒物质和持久性有机污染物的工业项目。</w:t>
            </w:r>
          </w:p>
        </w:tc>
        <w:tc>
          <w:tcPr>
            <w:tcW w:w="1839" w:type="pct"/>
            <w:tcBorders>
              <w:tl2br w:val="nil"/>
              <w:tr2bl w:val="nil"/>
            </w:tcBorders>
            <w:vAlign w:val="center"/>
          </w:tcPr>
          <w:p w14:paraId="2AEBF628">
            <w:pPr>
              <w:widowControl w:val="0"/>
              <w:spacing w:line="240" w:lineRule="auto"/>
              <w:rPr>
                <w:color w:val="000000"/>
                <w:sz w:val="21"/>
              </w:rPr>
            </w:pPr>
            <w:r>
              <w:rPr>
                <w:color w:val="000000"/>
                <w:sz w:val="21"/>
              </w:rPr>
              <w:t>本项目位于乌江流域，不属于长江、嘉陵江都市区江段及其上游区域。项目废水量小、污染物浓度低，不涉及剧毒物质和持久性有机污染物。</w:t>
            </w:r>
          </w:p>
        </w:tc>
        <w:tc>
          <w:tcPr>
            <w:tcW w:w="651" w:type="pct"/>
            <w:tcBorders>
              <w:tl2br w:val="nil"/>
              <w:tr2bl w:val="nil"/>
            </w:tcBorders>
            <w:vAlign w:val="center"/>
          </w:tcPr>
          <w:p w14:paraId="0C997095">
            <w:pPr>
              <w:widowControl w:val="0"/>
              <w:spacing w:line="240" w:lineRule="auto"/>
              <w:ind w:firstLine="420" w:firstLineChars="200"/>
              <w:rPr>
                <w:color w:val="000000"/>
                <w:sz w:val="21"/>
              </w:rPr>
            </w:pPr>
            <w:r>
              <w:rPr>
                <w:color w:val="000000"/>
                <w:sz w:val="21"/>
              </w:rPr>
              <w:t>符合</w:t>
            </w:r>
          </w:p>
        </w:tc>
      </w:tr>
      <w:tr w14:paraId="157D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300" w:type="pct"/>
            <w:tcBorders>
              <w:tl2br w:val="nil"/>
              <w:tr2bl w:val="nil"/>
            </w:tcBorders>
            <w:vAlign w:val="center"/>
          </w:tcPr>
          <w:p w14:paraId="586DED30">
            <w:pPr>
              <w:widowControl w:val="0"/>
              <w:spacing w:line="240" w:lineRule="auto"/>
              <w:ind w:firstLine="420" w:firstLineChars="200"/>
              <w:rPr>
                <w:color w:val="000000"/>
                <w:sz w:val="21"/>
              </w:rPr>
            </w:pPr>
            <w:r>
              <w:rPr>
                <w:color w:val="000000"/>
                <w:sz w:val="21"/>
              </w:rPr>
              <w:t>10</w:t>
            </w:r>
          </w:p>
        </w:tc>
        <w:tc>
          <w:tcPr>
            <w:tcW w:w="2207" w:type="pct"/>
            <w:tcBorders>
              <w:tl2br w:val="nil"/>
              <w:tr2bl w:val="nil"/>
            </w:tcBorders>
            <w:vAlign w:val="center"/>
          </w:tcPr>
          <w:p w14:paraId="1C9474EF">
            <w:pPr>
              <w:widowControl w:val="0"/>
              <w:spacing w:line="240" w:lineRule="auto"/>
              <w:rPr>
                <w:color w:val="000000"/>
                <w:sz w:val="21"/>
              </w:rPr>
            </w:pPr>
            <w:r>
              <w:rPr>
                <w:color w:val="000000"/>
                <w:sz w:val="21"/>
              </w:rPr>
              <w:t>工业项目排放污染物必须达到国家和地方规定的污染物排放标准，资源环境绩效水平应达到本规定要求。</w:t>
            </w:r>
          </w:p>
        </w:tc>
        <w:tc>
          <w:tcPr>
            <w:tcW w:w="1839" w:type="pct"/>
            <w:tcBorders>
              <w:tl2br w:val="nil"/>
              <w:tr2bl w:val="nil"/>
            </w:tcBorders>
            <w:vAlign w:val="center"/>
          </w:tcPr>
          <w:p w14:paraId="481C7200">
            <w:pPr>
              <w:widowControl w:val="0"/>
              <w:spacing w:line="240" w:lineRule="auto"/>
              <w:rPr>
                <w:color w:val="000000"/>
                <w:sz w:val="21"/>
              </w:rPr>
            </w:pPr>
            <w:r>
              <w:rPr>
                <w:color w:val="000000"/>
                <w:sz w:val="21"/>
              </w:rPr>
              <w:t>采取措施后排放污染物可达到国家和地方规定污染物排放标准。</w:t>
            </w:r>
          </w:p>
        </w:tc>
        <w:tc>
          <w:tcPr>
            <w:tcW w:w="651" w:type="pct"/>
            <w:tcBorders>
              <w:tl2br w:val="nil"/>
              <w:tr2bl w:val="nil"/>
            </w:tcBorders>
            <w:vAlign w:val="center"/>
          </w:tcPr>
          <w:p w14:paraId="6D5F7764">
            <w:pPr>
              <w:widowControl w:val="0"/>
              <w:spacing w:line="240" w:lineRule="auto"/>
              <w:ind w:firstLine="420" w:firstLineChars="200"/>
              <w:rPr>
                <w:color w:val="000000"/>
                <w:sz w:val="21"/>
              </w:rPr>
            </w:pPr>
            <w:r>
              <w:rPr>
                <w:color w:val="000000"/>
                <w:sz w:val="21"/>
              </w:rPr>
              <w:t>符合</w:t>
            </w:r>
          </w:p>
        </w:tc>
      </w:tr>
    </w:tbl>
    <w:p w14:paraId="77F73855">
      <w:pPr>
        <w:tabs>
          <w:tab w:val="left" w:pos="993"/>
        </w:tabs>
        <w:ind w:firstLine="480"/>
        <w:rPr>
          <w:color w:val="000000"/>
        </w:rPr>
      </w:pPr>
      <w:r>
        <w:rPr>
          <w:color w:val="000000"/>
        </w:rPr>
        <w:t>由表1.6.1-1可知，项目的建设符合《重庆市工业项目环境准入规定》（修订）要求。</w:t>
      </w:r>
    </w:p>
    <w:p w14:paraId="522DC1A0">
      <w:pPr>
        <w:pStyle w:val="31"/>
        <w:outlineLvl w:val="3"/>
        <w:rPr>
          <w:color w:val="000000"/>
          <w:sz w:val="21"/>
          <w:szCs w:val="21"/>
        </w:rPr>
      </w:pPr>
      <w:r>
        <w:rPr>
          <w:color w:val="000000"/>
          <w:szCs w:val="24"/>
        </w:rPr>
        <w:t>1.6.1.3</w:t>
      </w:r>
      <w:r>
        <w:rPr>
          <w:color w:val="000000"/>
        </w:rPr>
        <w:t>与《重庆市经济和信息化委员会关于严格工业布局和准入的通知》（渝发改工[2018]781号）符合性分析</w:t>
      </w:r>
    </w:p>
    <w:p w14:paraId="19C61CDA">
      <w:pPr>
        <w:widowControl w:val="0"/>
        <w:jc w:val="center"/>
        <w:rPr>
          <w:color w:val="000000"/>
          <w:sz w:val="21"/>
        </w:rPr>
      </w:pPr>
      <w:r>
        <w:rPr>
          <w:color w:val="000000"/>
          <w:sz w:val="21"/>
        </w:rPr>
        <w:t>表1.6.1-2与重庆市经济和信息化委员会关于严格工业布局和准入的符合性分析</w:t>
      </w:r>
    </w:p>
    <w:tbl>
      <w:tblPr>
        <w:tblStyle w:val="7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4872"/>
        <w:gridCol w:w="1973"/>
        <w:gridCol w:w="1555"/>
      </w:tblGrid>
      <w:tr w14:paraId="366D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362" w:type="pct"/>
            <w:tcBorders>
              <w:tl2br w:val="nil"/>
              <w:tr2bl w:val="nil"/>
            </w:tcBorders>
            <w:vAlign w:val="center"/>
          </w:tcPr>
          <w:p w14:paraId="63025B8F">
            <w:pPr>
              <w:pStyle w:val="131"/>
              <w:spacing w:line="240" w:lineRule="auto"/>
              <w:jc w:val="center"/>
              <w:rPr>
                <w:rFonts w:ascii="Times New Roman"/>
                <w:sz w:val="21"/>
                <w:szCs w:val="21"/>
              </w:rPr>
            </w:pPr>
            <w:r>
              <w:rPr>
                <w:rFonts w:ascii="Times New Roman"/>
                <w:sz w:val="21"/>
                <w:szCs w:val="21"/>
              </w:rPr>
              <w:t>序号</w:t>
            </w:r>
          </w:p>
        </w:tc>
        <w:tc>
          <w:tcPr>
            <w:tcW w:w="2689" w:type="pct"/>
            <w:tcBorders>
              <w:tl2br w:val="nil"/>
              <w:tr2bl w:val="nil"/>
            </w:tcBorders>
            <w:vAlign w:val="center"/>
          </w:tcPr>
          <w:p w14:paraId="64B39841">
            <w:pPr>
              <w:pStyle w:val="131"/>
              <w:spacing w:line="240" w:lineRule="auto"/>
              <w:jc w:val="center"/>
              <w:rPr>
                <w:rFonts w:ascii="Times New Roman"/>
                <w:sz w:val="21"/>
                <w:szCs w:val="21"/>
              </w:rPr>
            </w:pPr>
            <w:r>
              <w:rPr>
                <w:rFonts w:ascii="Times New Roman"/>
                <w:sz w:val="21"/>
                <w:szCs w:val="21"/>
              </w:rPr>
              <w:t>准入条件</w:t>
            </w:r>
          </w:p>
        </w:tc>
        <w:tc>
          <w:tcPr>
            <w:tcW w:w="1089" w:type="pct"/>
            <w:tcBorders>
              <w:tl2br w:val="nil"/>
              <w:tr2bl w:val="nil"/>
            </w:tcBorders>
            <w:vAlign w:val="center"/>
          </w:tcPr>
          <w:p w14:paraId="040774C9">
            <w:pPr>
              <w:pStyle w:val="131"/>
              <w:spacing w:line="240" w:lineRule="auto"/>
              <w:jc w:val="center"/>
              <w:rPr>
                <w:rFonts w:ascii="Times New Roman"/>
                <w:sz w:val="21"/>
                <w:szCs w:val="21"/>
              </w:rPr>
            </w:pPr>
            <w:r>
              <w:rPr>
                <w:rFonts w:ascii="Times New Roman"/>
                <w:sz w:val="21"/>
                <w:szCs w:val="21"/>
              </w:rPr>
              <w:t>本项目情况</w:t>
            </w:r>
          </w:p>
        </w:tc>
        <w:tc>
          <w:tcPr>
            <w:tcW w:w="858" w:type="pct"/>
            <w:tcBorders>
              <w:tl2br w:val="nil"/>
              <w:tr2bl w:val="nil"/>
            </w:tcBorders>
            <w:vAlign w:val="center"/>
          </w:tcPr>
          <w:p w14:paraId="56F517AE">
            <w:pPr>
              <w:pStyle w:val="131"/>
              <w:spacing w:line="240" w:lineRule="auto"/>
              <w:jc w:val="center"/>
              <w:rPr>
                <w:rFonts w:ascii="Times New Roman"/>
                <w:sz w:val="21"/>
                <w:szCs w:val="21"/>
              </w:rPr>
            </w:pPr>
            <w:r>
              <w:rPr>
                <w:rFonts w:ascii="Times New Roman"/>
                <w:sz w:val="21"/>
                <w:szCs w:val="21"/>
              </w:rPr>
              <w:t>是否符合准入规定</w:t>
            </w:r>
          </w:p>
        </w:tc>
      </w:tr>
      <w:tr w14:paraId="3480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3" w:hRule="atLeast"/>
          <w:jc w:val="center"/>
        </w:trPr>
        <w:tc>
          <w:tcPr>
            <w:tcW w:w="362" w:type="pct"/>
            <w:tcBorders>
              <w:tl2br w:val="nil"/>
              <w:tr2bl w:val="nil"/>
            </w:tcBorders>
            <w:vAlign w:val="center"/>
          </w:tcPr>
          <w:p w14:paraId="3B40DA38">
            <w:pPr>
              <w:pStyle w:val="131"/>
              <w:spacing w:line="240" w:lineRule="auto"/>
              <w:jc w:val="center"/>
              <w:rPr>
                <w:rFonts w:ascii="Times New Roman"/>
                <w:sz w:val="21"/>
                <w:szCs w:val="21"/>
              </w:rPr>
            </w:pPr>
            <w:r>
              <w:rPr>
                <w:rFonts w:ascii="Times New Roman"/>
                <w:sz w:val="21"/>
                <w:szCs w:val="21"/>
              </w:rPr>
              <w:t>1</w:t>
            </w:r>
          </w:p>
        </w:tc>
        <w:tc>
          <w:tcPr>
            <w:tcW w:w="2689" w:type="pct"/>
            <w:tcBorders>
              <w:tl2br w:val="nil"/>
              <w:tr2bl w:val="nil"/>
            </w:tcBorders>
            <w:vAlign w:val="center"/>
          </w:tcPr>
          <w:p w14:paraId="6BC55358">
            <w:pPr>
              <w:pStyle w:val="131"/>
              <w:spacing w:line="240" w:lineRule="auto"/>
              <w:jc w:val="both"/>
              <w:rPr>
                <w:rFonts w:ascii="Times New Roman"/>
                <w:sz w:val="21"/>
                <w:szCs w:val="21"/>
              </w:rPr>
            </w:pPr>
            <w:r>
              <w:rPr>
                <w:rFonts w:ascii="Times New Roman"/>
                <w:sz w:val="21"/>
                <w:szCs w:val="21"/>
              </w:rPr>
              <w:t>一、优化空间布局</w:t>
            </w:r>
          </w:p>
          <w:p w14:paraId="130D0D4C">
            <w:pPr>
              <w:pStyle w:val="131"/>
              <w:spacing w:line="240" w:lineRule="auto"/>
              <w:jc w:val="both"/>
              <w:rPr>
                <w:rFonts w:ascii="Times New Roman"/>
                <w:sz w:val="21"/>
                <w:szCs w:val="21"/>
              </w:rPr>
            </w:pPr>
            <w:r>
              <w:rPr>
                <w:rFonts w:ascii="Times New Roman"/>
                <w:sz w:val="21"/>
                <w:szCs w:val="21"/>
              </w:rPr>
              <w:t>对在长江干流及主要支流岸线1公里范围内新建重化工、纺织、造纸等存在污染风险的工业项目，不得办理项目核准或备案手续。禁止在长江干流及主要支流岸线5公里范围内新布局工业园区，有序推进现有工业园区空间布局的调整优化。</w:t>
            </w:r>
          </w:p>
        </w:tc>
        <w:tc>
          <w:tcPr>
            <w:tcW w:w="1089" w:type="pct"/>
            <w:tcBorders>
              <w:tl2br w:val="nil"/>
              <w:tr2bl w:val="nil"/>
            </w:tcBorders>
            <w:vAlign w:val="center"/>
          </w:tcPr>
          <w:p w14:paraId="4011FD64">
            <w:pPr>
              <w:pStyle w:val="131"/>
              <w:spacing w:line="240" w:lineRule="auto"/>
              <w:jc w:val="both"/>
              <w:rPr>
                <w:rFonts w:ascii="Times New Roman"/>
                <w:sz w:val="21"/>
                <w:szCs w:val="21"/>
              </w:rPr>
            </w:pPr>
            <w:r>
              <w:rPr>
                <w:rFonts w:ascii="Times New Roman"/>
                <w:sz w:val="21"/>
                <w:szCs w:val="21"/>
              </w:rPr>
              <w:t>项目位于涪陵白涛工业园涪陵LNG工厂内，与乌江最近距离约6.8km，与后溪河最近距离约1.33km。</w:t>
            </w:r>
          </w:p>
        </w:tc>
        <w:tc>
          <w:tcPr>
            <w:tcW w:w="858" w:type="pct"/>
            <w:tcBorders>
              <w:tl2br w:val="nil"/>
              <w:tr2bl w:val="nil"/>
            </w:tcBorders>
            <w:vAlign w:val="center"/>
          </w:tcPr>
          <w:p w14:paraId="4E335DF5">
            <w:pPr>
              <w:pStyle w:val="131"/>
              <w:spacing w:line="240" w:lineRule="auto"/>
              <w:jc w:val="center"/>
              <w:rPr>
                <w:rFonts w:ascii="Times New Roman"/>
                <w:sz w:val="21"/>
                <w:szCs w:val="21"/>
              </w:rPr>
            </w:pPr>
            <w:r>
              <w:rPr>
                <w:rFonts w:ascii="Times New Roman"/>
                <w:sz w:val="21"/>
                <w:szCs w:val="21"/>
              </w:rPr>
              <w:t>符合</w:t>
            </w:r>
          </w:p>
        </w:tc>
      </w:tr>
      <w:tr w14:paraId="7BA6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jc w:val="center"/>
        </w:trPr>
        <w:tc>
          <w:tcPr>
            <w:tcW w:w="362" w:type="pct"/>
            <w:tcBorders>
              <w:tl2br w:val="nil"/>
              <w:tr2bl w:val="nil"/>
            </w:tcBorders>
            <w:vAlign w:val="center"/>
          </w:tcPr>
          <w:p w14:paraId="3828F44C">
            <w:pPr>
              <w:pStyle w:val="131"/>
              <w:spacing w:line="240" w:lineRule="auto"/>
              <w:jc w:val="center"/>
              <w:rPr>
                <w:rFonts w:ascii="Times New Roman"/>
                <w:sz w:val="21"/>
                <w:szCs w:val="21"/>
              </w:rPr>
            </w:pPr>
            <w:r>
              <w:rPr>
                <w:rFonts w:ascii="Times New Roman"/>
                <w:sz w:val="21"/>
                <w:szCs w:val="21"/>
              </w:rPr>
              <w:t>2</w:t>
            </w:r>
          </w:p>
        </w:tc>
        <w:tc>
          <w:tcPr>
            <w:tcW w:w="2689" w:type="pct"/>
            <w:tcBorders>
              <w:tl2br w:val="nil"/>
              <w:tr2bl w:val="nil"/>
            </w:tcBorders>
            <w:vAlign w:val="center"/>
          </w:tcPr>
          <w:p w14:paraId="68A2C01D">
            <w:pPr>
              <w:pStyle w:val="131"/>
              <w:spacing w:line="240" w:lineRule="auto"/>
              <w:jc w:val="both"/>
              <w:rPr>
                <w:rFonts w:ascii="Times New Roman"/>
                <w:sz w:val="21"/>
                <w:szCs w:val="21"/>
              </w:rPr>
            </w:pPr>
            <w:r>
              <w:rPr>
                <w:rFonts w:ascii="Times New Roman"/>
                <w:sz w:val="21"/>
                <w:szCs w:val="21"/>
              </w:rPr>
              <w:t>二、新建项目入园</w:t>
            </w:r>
          </w:p>
          <w:p w14:paraId="57376B83">
            <w:pPr>
              <w:pStyle w:val="131"/>
              <w:spacing w:line="240" w:lineRule="auto"/>
              <w:jc w:val="both"/>
              <w:rPr>
                <w:rFonts w:ascii="Times New Roman"/>
                <w:sz w:val="21"/>
                <w:szCs w:val="21"/>
              </w:rPr>
            </w:pPr>
            <w:r>
              <w:rPr>
                <w:rFonts w:ascii="Times New Roman"/>
                <w:sz w:val="21"/>
                <w:szCs w:val="21"/>
              </w:rPr>
              <w:t>新建有污染物排放的工业项目，除在安全生产或者产业布局等方面有特殊要求外，应当进入工业园区（工业集聚区，下同）。对未进入工业园区的项目，或在工业园区（工业集聚区）以外区域实施单纯增加产能的技改（扩建）的项目，不得办理项目核准或备案手续。</w:t>
            </w:r>
          </w:p>
        </w:tc>
        <w:tc>
          <w:tcPr>
            <w:tcW w:w="1089" w:type="pct"/>
            <w:tcBorders>
              <w:tl2br w:val="nil"/>
              <w:tr2bl w:val="nil"/>
            </w:tcBorders>
            <w:vAlign w:val="center"/>
          </w:tcPr>
          <w:p w14:paraId="1F563F58">
            <w:pPr>
              <w:pStyle w:val="131"/>
              <w:spacing w:line="240" w:lineRule="auto"/>
              <w:jc w:val="both"/>
              <w:rPr>
                <w:rFonts w:ascii="Times New Roman"/>
                <w:sz w:val="21"/>
                <w:szCs w:val="21"/>
              </w:rPr>
            </w:pPr>
            <w:r>
              <w:rPr>
                <w:rFonts w:ascii="Times New Roman"/>
                <w:sz w:val="21"/>
                <w:szCs w:val="21"/>
              </w:rPr>
              <w:t>项目位于涪陵白涛工业园涪陵LNG工厂内</w:t>
            </w:r>
          </w:p>
        </w:tc>
        <w:tc>
          <w:tcPr>
            <w:tcW w:w="858" w:type="pct"/>
            <w:tcBorders>
              <w:tl2br w:val="nil"/>
              <w:tr2bl w:val="nil"/>
            </w:tcBorders>
            <w:vAlign w:val="center"/>
          </w:tcPr>
          <w:p w14:paraId="251880B7">
            <w:pPr>
              <w:pStyle w:val="131"/>
              <w:spacing w:line="240" w:lineRule="auto"/>
              <w:jc w:val="center"/>
              <w:rPr>
                <w:rFonts w:ascii="Times New Roman"/>
                <w:sz w:val="21"/>
                <w:szCs w:val="21"/>
              </w:rPr>
            </w:pPr>
            <w:r>
              <w:rPr>
                <w:rFonts w:ascii="Times New Roman"/>
                <w:sz w:val="21"/>
                <w:szCs w:val="21"/>
              </w:rPr>
              <w:t>符合</w:t>
            </w:r>
          </w:p>
        </w:tc>
      </w:tr>
      <w:tr w14:paraId="1F90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362" w:type="pct"/>
            <w:tcBorders>
              <w:tl2br w:val="nil"/>
              <w:tr2bl w:val="nil"/>
            </w:tcBorders>
            <w:vAlign w:val="center"/>
          </w:tcPr>
          <w:p w14:paraId="4B3CB35C">
            <w:pPr>
              <w:pStyle w:val="131"/>
              <w:spacing w:line="240" w:lineRule="auto"/>
              <w:jc w:val="center"/>
              <w:rPr>
                <w:rFonts w:ascii="Times New Roman"/>
                <w:sz w:val="21"/>
                <w:szCs w:val="21"/>
              </w:rPr>
            </w:pPr>
            <w:r>
              <w:rPr>
                <w:rFonts w:ascii="Times New Roman"/>
                <w:sz w:val="21"/>
                <w:szCs w:val="21"/>
              </w:rPr>
              <w:t>3</w:t>
            </w:r>
          </w:p>
        </w:tc>
        <w:tc>
          <w:tcPr>
            <w:tcW w:w="2689" w:type="pct"/>
            <w:tcBorders>
              <w:tl2br w:val="nil"/>
              <w:tr2bl w:val="nil"/>
            </w:tcBorders>
            <w:vAlign w:val="center"/>
          </w:tcPr>
          <w:p w14:paraId="6D2A8FD5">
            <w:pPr>
              <w:pStyle w:val="131"/>
              <w:spacing w:line="240" w:lineRule="auto"/>
              <w:jc w:val="both"/>
              <w:rPr>
                <w:rFonts w:ascii="Times New Roman"/>
                <w:sz w:val="21"/>
                <w:szCs w:val="21"/>
              </w:rPr>
            </w:pPr>
            <w:r>
              <w:rPr>
                <w:rFonts w:ascii="Times New Roman"/>
                <w:sz w:val="21"/>
                <w:szCs w:val="21"/>
              </w:rPr>
              <w:t>三、严格产业准入</w:t>
            </w:r>
          </w:p>
          <w:p w14:paraId="67E58BDA">
            <w:pPr>
              <w:pStyle w:val="131"/>
              <w:spacing w:line="240" w:lineRule="auto"/>
              <w:jc w:val="both"/>
              <w:rPr>
                <w:rFonts w:ascii="Times New Roman"/>
                <w:sz w:val="21"/>
                <w:szCs w:val="21"/>
              </w:rPr>
            </w:pPr>
            <w:r>
              <w:rPr>
                <w:rFonts w:ascii="Times New Roman"/>
                <w:sz w:val="21"/>
                <w:szCs w:val="21"/>
              </w:rPr>
              <w:t>严格控制过剩产能和“两高一资”项目，严格限制造纸、印染、煤电、传统化工、传统燃油汽车、涉及重金属以及有毒有害和持久性污染物排放的项目。新建或扩建上述项目，必须符合国家及我市产业政策和布局，依法办理环境保护、安全生产、资源（能源）节约等有关手续。</w:t>
            </w:r>
          </w:p>
        </w:tc>
        <w:tc>
          <w:tcPr>
            <w:tcW w:w="1089" w:type="pct"/>
            <w:tcBorders>
              <w:tl2br w:val="nil"/>
              <w:tr2bl w:val="nil"/>
            </w:tcBorders>
            <w:vAlign w:val="center"/>
          </w:tcPr>
          <w:p w14:paraId="6B13222D">
            <w:pPr>
              <w:pStyle w:val="131"/>
              <w:spacing w:line="240" w:lineRule="auto"/>
              <w:jc w:val="both"/>
              <w:rPr>
                <w:rFonts w:ascii="Times New Roman"/>
                <w:sz w:val="21"/>
                <w:szCs w:val="21"/>
              </w:rPr>
            </w:pPr>
            <w:r>
              <w:rPr>
                <w:rFonts w:ascii="Times New Roman"/>
                <w:sz w:val="21"/>
                <w:szCs w:val="21"/>
              </w:rPr>
              <w:t>项目不属于过剩产能和“两高一资”项目；项目不使用和排放重金属和持久性污染物。</w:t>
            </w:r>
          </w:p>
        </w:tc>
        <w:tc>
          <w:tcPr>
            <w:tcW w:w="858" w:type="pct"/>
            <w:tcBorders>
              <w:tl2br w:val="nil"/>
              <w:tr2bl w:val="nil"/>
            </w:tcBorders>
            <w:vAlign w:val="center"/>
          </w:tcPr>
          <w:p w14:paraId="280CEA3C">
            <w:pPr>
              <w:pStyle w:val="131"/>
              <w:spacing w:line="240" w:lineRule="auto"/>
              <w:jc w:val="center"/>
              <w:rPr>
                <w:rFonts w:ascii="Times New Roman"/>
                <w:sz w:val="21"/>
                <w:szCs w:val="21"/>
              </w:rPr>
            </w:pPr>
            <w:r>
              <w:rPr>
                <w:rFonts w:ascii="Times New Roman"/>
                <w:sz w:val="21"/>
                <w:szCs w:val="21"/>
              </w:rPr>
              <w:t>符合</w:t>
            </w:r>
          </w:p>
        </w:tc>
      </w:tr>
    </w:tbl>
    <w:p w14:paraId="3DD1B9C5">
      <w:pPr>
        <w:pStyle w:val="131"/>
        <w:adjustRightInd w:val="0"/>
        <w:snapToGrid w:val="0"/>
        <w:ind w:firstLine="480" w:firstLineChars="200"/>
        <w:jc w:val="both"/>
        <w:rPr>
          <w:rFonts w:ascii="Times New Roman"/>
        </w:rPr>
      </w:pPr>
      <w:r>
        <w:rPr>
          <w:rFonts w:ascii="Times New Roman"/>
          <w:kern w:val="2"/>
          <w:szCs w:val="21"/>
        </w:rPr>
        <w:t>通过以上分析可知，项目符合《重庆市经济和信息化委员会关于严格工业布局和准入的通知》（渝发改工[2018]781号）中相关要求。</w:t>
      </w:r>
    </w:p>
    <w:p w14:paraId="21520CBD">
      <w:pPr>
        <w:pStyle w:val="771"/>
        <w:rPr>
          <w:color w:val="000000"/>
        </w:rPr>
      </w:pPr>
      <w:r>
        <w:rPr>
          <w:color w:val="000000"/>
        </w:rPr>
        <w:t>1.6.2 环保政策符合性分析</w:t>
      </w:r>
      <w:bookmarkEnd w:id="183"/>
      <w:bookmarkEnd w:id="184"/>
    </w:p>
    <w:p w14:paraId="308F4B05">
      <w:pPr>
        <w:pStyle w:val="785"/>
        <w:rPr>
          <w:color w:val="000000"/>
          <w:szCs w:val="24"/>
          <w:lang w:val="en-US"/>
        </w:rPr>
      </w:pPr>
      <w:r>
        <w:rPr>
          <w:color w:val="000000"/>
          <w:szCs w:val="24"/>
          <w:lang w:val="en-US"/>
        </w:rPr>
        <w:t>1.6.2.1</w:t>
      </w:r>
      <w:r>
        <w:rPr>
          <w:color w:val="000000"/>
          <w:szCs w:val="24"/>
        </w:rPr>
        <w:t>与气、水、土、地下水污染防治</w:t>
      </w:r>
      <w:r>
        <w:rPr>
          <w:color w:val="000000"/>
          <w:szCs w:val="24"/>
          <w:lang w:val="en-US"/>
        </w:rPr>
        <w:t>政策的</w:t>
      </w:r>
      <w:r>
        <w:rPr>
          <w:color w:val="000000"/>
          <w:szCs w:val="24"/>
        </w:rPr>
        <w:t>符合性分析</w:t>
      </w:r>
    </w:p>
    <w:p w14:paraId="0E7E0787">
      <w:pPr>
        <w:tabs>
          <w:tab w:val="left" w:pos="993"/>
        </w:tabs>
        <w:ind w:firstLine="480"/>
        <w:rPr>
          <w:color w:val="000000"/>
        </w:rPr>
      </w:pPr>
      <w:r>
        <w:rPr>
          <w:color w:val="000000"/>
        </w:rPr>
        <w:t>本项目与《大气污染防治行动计划》（国发[2013]37号）、</w:t>
      </w:r>
      <w:r>
        <w:rPr>
          <w:bCs/>
          <w:color w:val="000000"/>
        </w:rPr>
        <w:t>《水污染防治行动计划》</w:t>
      </w:r>
      <w:r>
        <w:rPr>
          <w:color w:val="000000"/>
        </w:rPr>
        <w:t>（国发[2015]17号）</w:t>
      </w:r>
      <w:r>
        <w:rPr>
          <w:bCs/>
          <w:color w:val="000000"/>
        </w:rPr>
        <w:t>、《土壤污染防治行动计划》</w:t>
      </w:r>
      <w:r>
        <w:rPr>
          <w:color w:val="000000"/>
        </w:rPr>
        <w:t>（国发[2016]31号）</w:t>
      </w:r>
      <w:r>
        <w:rPr>
          <w:bCs/>
          <w:color w:val="000000"/>
        </w:rPr>
        <w:t>、</w:t>
      </w:r>
      <w:r>
        <w:rPr>
          <w:color w:val="000000"/>
        </w:rPr>
        <w:t>《地下水污染防治实施方案》（环土壤[2019]25号）以及《地下水污染防治实施方案》》、《地下水管理条例》</w:t>
      </w:r>
      <w:r>
        <w:rPr>
          <w:bCs/>
          <w:color w:val="000000"/>
        </w:rPr>
        <w:t>的符合性分析见表1.6.2-1。</w:t>
      </w:r>
    </w:p>
    <w:p w14:paraId="27D0CE81">
      <w:pPr>
        <w:ind w:firstLine="480"/>
        <w:rPr>
          <w:color w:val="000000"/>
        </w:rPr>
      </w:pPr>
      <w:r>
        <w:rPr>
          <w:color w:val="000000"/>
        </w:rPr>
        <w:t>由表1.6.2-1可知，本项目符合国家产业政策，位于重庆白涛化工园区，用地性质为</w:t>
      </w:r>
      <w:r>
        <w:rPr>
          <w:bCs/>
          <w:color w:val="000000"/>
        </w:rPr>
        <w:t>工业用地，距离后溪河1330m，距离乌江6800m，本项目区域不涉及地下溶洞及暗河；</w:t>
      </w:r>
      <w:r>
        <w:rPr>
          <w:color w:val="000000"/>
        </w:rPr>
        <w:t>严格执行“三同时”制度；</w:t>
      </w:r>
      <w:r>
        <w:rPr>
          <w:bCs/>
          <w:color w:val="000000"/>
        </w:rPr>
        <w:t>采取节水、节能措施，强化资源管理；</w:t>
      </w:r>
      <w:r>
        <w:rPr>
          <w:color w:val="000000"/>
        </w:rPr>
        <w:t>污染物</w:t>
      </w:r>
      <w:r>
        <w:rPr>
          <w:bCs/>
          <w:color w:val="000000"/>
        </w:rPr>
        <w:t>防范措施</w:t>
      </w:r>
      <w:r>
        <w:rPr>
          <w:color w:val="000000"/>
        </w:rPr>
        <w:t>均符合相关要求</w:t>
      </w:r>
      <w:r>
        <w:rPr>
          <w:bCs/>
          <w:color w:val="000000"/>
        </w:rPr>
        <w:t>；不涉及重金属排放；</w:t>
      </w:r>
      <w:r>
        <w:rPr>
          <w:color w:val="000000"/>
        </w:rPr>
        <w:t>符合</w:t>
      </w:r>
      <w:r>
        <w:rPr>
          <w:color w:val="000000"/>
          <w:szCs w:val="20"/>
        </w:rPr>
        <w:t>气、水、土、地下水污染防治政策的</w:t>
      </w:r>
      <w:r>
        <w:rPr>
          <w:color w:val="000000"/>
        </w:rPr>
        <w:t>相关要求。</w:t>
      </w:r>
    </w:p>
    <w:p w14:paraId="2490A17B">
      <w:pPr>
        <w:pStyle w:val="133"/>
        <w:outlineLvl w:val="9"/>
        <w:rPr>
          <w:rFonts w:ascii="Times New Roman" w:hAnsi="Times New Roman"/>
          <w:color w:val="000000"/>
        </w:rPr>
      </w:pPr>
      <w:bookmarkStart w:id="185" w:name="_Ref10565156"/>
      <w:r>
        <w:rPr>
          <w:rFonts w:ascii="Times New Roman" w:hAnsi="Times New Roman"/>
          <w:color w:val="000000"/>
        </w:rPr>
        <w:t>表</w:t>
      </w:r>
      <w:bookmarkEnd w:id="185"/>
      <w:r>
        <w:rPr>
          <w:rFonts w:ascii="Times New Roman" w:hAnsi="Times New Roman"/>
          <w:color w:val="000000"/>
        </w:rPr>
        <w:t>1.6.2-</w:t>
      </w:r>
      <w:r>
        <w:rPr>
          <w:rFonts w:ascii="Times New Roman" w:hAnsi="Times New Roman"/>
          <w:color w:val="000000"/>
          <w:lang w:val="en-US"/>
        </w:rPr>
        <w:t>1</w:t>
      </w:r>
      <w:r>
        <w:rPr>
          <w:rFonts w:ascii="Times New Roman" w:hAnsi="Times New Roman"/>
          <w:color w:val="000000"/>
        </w:rPr>
        <w:t xml:space="preserve">  项目与气、水、土、地下水污染防治政策的符合性对照表</w:t>
      </w:r>
    </w:p>
    <w:tbl>
      <w:tblPr>
        <w:tblStyle w:val="7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4936"/>
        <w:gridCol w:w="2044"/>
        <w:gridCol w:w="775"/>
      </w:tblGrid>
      <w:tr w14:paraId="2106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716" w:type="pct"/>
            <w:tcBorders>
              <w:tl2br w:val="nil"/>
              <w:tr2bl w:val="nil"/>
            </w:tcBorders>
            <w:vAlign w:val="center"/>
          </w:tcPr>
          <w:p w14:paraId="474A5E61">
            <w:pPr>
              <w:spacing w:line="240" w:lineRule="auto"/>
              <w:jc w:val="center"/>
              <w:rPr>
                <w:color w:val="000000"/>
                <w:sz w:val="21"/>
              </w:rPr>
            </w:pPr>
            <w:r>
              <w:rPr>
                <w:color w:val="000000"/>
                <w:sz w:val="21"/>
              </w:rPr>
              <w:t>环保政策</w:t>
            </w:r>
          </w:p>
        </w:tc>
        <w:tc>
          <w:tcPr>
            <w:tcW w:w="2726" w:type="pct"/>
            <w:tcBorders>
              <w:tl2br w:val="nil"/>
              <w:tr2bl w:val="nil"/>
            </w:tcBorders>
            <w:vAlign w:val="center"/>
          </w:tcPr>
          <w:p w14:paraId="0F8D944E">
            <w:pPr>
              <w:spacing w:line="240" w:lineRule="auto"/>
              <w:jc w:val="center"/>
              <w:rPr>
                <w:color w:val="000000"/>
                <w:sz w:val="21"/>
              </w:rPr>
            </w:pPr>
            <w:r>
              <w:rPr>
                <w:color w:val="000000"/>
                <w:sz w:val="21"/>
              </w:rPr>
              <w:t>政策要求</w:t>
            </w:r>
          </w:p>
        </w:tc>
        <w:tc>
          <w:tcPr>
            <w:tcW w:w="1129" w:type="pct"/>
            <w:tcBorders>
              <w:tl2br w:val="nil"/>
              <w:tr2bl w:val="nil"/>
            </w:tcBorders>
            <w:vAlign w:val="center"/>
          </w:tcPr>
          <w:p w14:paraId="79779755">
            <w:pPr>
              <w:spacing w:line="240" w:lineRule="auto"/>
              <w:jc w:val="center"/>
              <w:rPr>
                <w:color w:val="000000"/>
                <w:sz w:val="21"/>
              </w:rPr>
            </w:pPr>
            <w:r>
              <w:rPr>
                <w:color w:val="000000"/>
                <w:sz w:val="21"/>
              </w:rPr>
              <w:t>本项目情况</w:t>
            </w:r>
          </w:p>
        </w:tc>
        <w:tc>
          <w:tcPr>
            <w:tcW w:w="428" w:type="pct"/>
            <w:tcBorders>
              <w:tl2br w:val="nil"/>
              <w:tr2bl w:val="nil"/>
            </w:tcBorders>
            <w:vAlign w:val="center"/>
          </w:tcPr>
          <w:p w14:paraId="3E919D19">
            <w:pPr>
              <w:spacing w:line="240" w:lineRule="auto"/>
              <w:jc w:val="center"/>
              <w:rPr>
                <w:color w:val="000000"/>
                <w:sz w:val="21"/>
              </w:rPr>
            </w:pPr>
            <w:r>
              <w:rPr>
                <w:color w:val="000000"/>
                <w:sz w:val="21"/>
              </w:rPr>
              <w:t>符合性分析</w:t>
            </w:r>
          </w:p>
        </w:tc>
      </w:tr>
      <w:tr w14:paraId="42D1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pct"/>
            <w:vMerge w:val="restart"/>
            <w:tcBorders>
              <w:tl2br w:val="nil"/>
              <w:tr2bl w:val="nil"/>
            </w:tcBorders>
            <w:vAlign w:val="center"/>
          </w:tcPr>
          <w:p w14:paraId="218786D6">
            <w:pPr>
              <w:spacing w:line="240" w:lineRule="auto"/>
              <w:jc w:val="center"/>
              <w:rPr>
                <w:color w:val="000000"/>
                <w:sz w:val="21"/>
              </w:rPr>
            </w:pPr>
            <w:r>
              <w:rPr>
                <w:color w:val="000000"/>
                <w:sz w:val="21"/>
              </w:rPr>
              <w:t>《大气污染防治行动计划》（国发[2013]37号）</w:t>
            </w:r>
          </w:p>
        </w:tc>
        <w:tc>
          <w:tcPr>
            <w:tcW w:w="2726" w:type="pct"/>
            <w:tcBorders>
              <w:tl2br w:val="nil"/>
              <w:tr2bl w:val="nil"/>
            </w:tcBorders>
            <w:vAlign w:val="center"/>
          </w:tcPr>
          <w:p w14:paraId="259D392B">
            <w:pPr>
              <w:spacing w:line="240" w:lineRule="auto"/>
              <w:rPr>
                <w:color w:val="000000"/>
                <w:sz w:val="21"/>
              </w:rPr>
            </w:pPr>
            <w:r>
              <w:rPr>
                <w:color w:val="000000"/>
                <w:sz w:val="21"/>
                <w:shd w:val="clear" w:color="auto" w:fill="FFFFFF"/>
              </w:rPr>
              <w:t>全面整治燃煤小锅炉。到2017年，除必要保留的以外，地级及以上城市建成区基本淘汰每小时10蒸吨及以下的燃煤锅炉，禁止新建每小时20蒸吨以下的燃煤锅炉；其他地区原则上不再新建每小时10蒸吨以下的燃煤锅炉。</w:t>
            </w:r>
          </w:p>
        </w:tc>
        <w:tc>
          <w:tcPr>
            <w:tcW w:w="1129" w:type="pct"/>
            <w:tcBorders>
              <w:tl2br w:val="nil"/>
              <w:tr2bl w:val="nil"/>
            </w:tcBorders>
            <w:vAlign w:val="center"/>
          </w:tcPr>
          <w:p w14:paraId="7FB4B2EF">
            <w:pPr>
              <w:spacing w:line="240" w:lineRule="auto"/>
              <w:jc w:val="center"/>
              <w:rPr>
                <w:color w:val="000000"/>
                <w:sz w:val="21"/>
              </w:rPr>
            </w:pPr>
            <w:r>
              <w:rPr>
                <w:color w:val="000000"/>
                <w:sz w:val="21"/>
              </w:rPr>
              <w:t>本项目不使用燃煤锅炉</w:t>
            </w:r>
          </w:p>
        </w:tc>
        <w:tc>
          <w:tcPr>
            <w:tcW w:w="428" w:type="pct"/>
            <w:tcBorders>
              <w:tl2br w:val="nil"/>
              <w:tr2bl w:val="nil"/>
            </w:tcBorders>
            <w:vAlign w:val="center"/>
          </w:tcPr>
          <w:p w14:paraId="14FA547B">
            <w:pPr>
              <w:spacing w:line="240" w:lineRule="auto"/>
              <w:jc w:val="center"/>
              <w:rPr>
                <w:color w:val="000000"/>
                <w:sz w:val="21"/>
              </w:rPr>
            </w:pPr>
            <w:r>
              <w:rPr>
                <w:color w:val="000000"/>
                <w:sz w:val="21"/>
              </w:rPr>
              <w:t>符合</w:t>
            </w:r>
          </w:p>
        </w:tc>
      </w:tr>
      <w:tr w14:paraId="7AF4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716" w:type="pct"/>
            <w:vMerge w:val="continue"/>
            <w:tcBorders>
              <w:tl2br w:val="nil"/>
              <w:tr2bl w:val="nil"/>
            </w:tcBorders>
            <w:vAlign w:val="center"/>
          </w:tcPr>
          <w:p w14:paraId="6D7CA5EB">
            <w:pPr>
              <w:spacing w:line="240" w:lineRule="auto"/>
              <w:jc w:val="center"/>
              <w:rPr>
                <w:color w:val="000000"/>
                <w:sz w:val="21"/>
              </w:rPr>
            </w:pPr>
          </w:p>
        </w:tc>
        <w:tc>
          <w:tcPr>
            <w:tcW w:w="2726" w:type="pct"/>
            <w:tcBorders>
              <w:tl2br w:val="nil"/>
              <w:tr2bl w:val="nil"/>
            </w:tcBorders>
            <w:vAlign w:val="center"/>
          </w:tcPr>
          <w:p w14:paraId="5E4D3961">
            <w:pPr>
              <w:spacing w:line="240" w:lineRule="auto"/>
              <w:rPr>
                <w:color w:val="000000"/>
                <w:sz w:val="21"/>
              </w:rPr>
            </w:pPr>
            <w:r>
              <w:rPr>
                <w:color w:val="000000"/>
                <w:sz w:val="21"/>
                <w:shd w:val="clear" w:color="auto" w:fill="FFFFFF"/>
              </w:rPr>
              <w:t>严控“两高”行业新增产能。加快淘汰落后产能。压缩过剩产能。坚决停建产能严重过剩行业违规在建项目。</w:t>
            </w:r>
          </w:p>
        </w:tc>
        <w:tc>
          <w:tcPr>
            <w:tcW w:w="1129" w:type="pct"/>
            <w:tcBorders>
              <w:tl2br w:val="nil"/>
              <w:tr2bl w:val="nil"/>
            </w:tcBorders>
            <w:vAlign w:val="center"/>
          </w:tcPr>
          <w:p w14:paraId="3E126316">
            <w:pPr>
              <w:spacing w:line="240" w:lineRule="auto"/>
              <w:jc w:val="center"/>
              <w:rPr>
                <w:color w:val="000000"/>
                <w:sz w:val="21"/>
              </w:rPr>
            </w:pPr>
            <w:r>
              <w:rPr>
                <w:color w:val="000000"/>
                <w:sz w:val="21"/>
              </w:rPr>
              <w:t>不属于产能过剩行业，符合产业政策要求</w:t>
            </w:r>
          </w:p>
        </w:tc>
        <w:tc>
          <w:tcPr>
            <w:tcW w:w="428" w:type="pct"/>
            <w:tcBorders>
              <w:tl2br w:val="nil"/>
              <w:tr2bl w:val="nil"/>
            </w:tcBorders>
            <w:vAlign w:val="center"/>
          </w:tcPr>
          <w:p w14:paraId="05F7C5ED">
            <w:pPr>
              <w:spacing w:line="240" w:lineRule="auto"/>
              <w:jc w:val="center"/>
              <w:rPr>
                <w:color w:val="000000"/>
                <w:sz w:val="21"/>
              </w:rPr>
            </w:pPr>
            <w:r>
              <w:rPr>
                <w:color w:val="000000"/>
                <w:sz w:val="21"/>
              </w:rPr>
              <w:t>符合</w:t>
            </w:r>
          </w:p>
        </w:tc>
      </w:tr>
      <w:tr w14:paraId="48F2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4" w:hRule="atLeast"/>
          <w:jc w:val="center"/>
        </w:trPr>
        <w:tc>
          <w:tcPr>
            <w:tcW w:w="716" w:type="pct"/>
            <w:vMerge w:val="continue"/>
            <w:tcBorders>
              <w:tl2br w:val="nil"/>
              <w:tr2bl w:val="nil"/>
            </w:tcBorders>
            <w:vAlign w:val="center"/>
          </w:tcPr>
          <w:p w14:paraId="065D7901">
            <w:pPr>
              <w:spacing w:line="240" w:lineRule="auto"/>
              <w:jc w:val="center"/>
              <w:rPr>
                <w:color w:val="000000"/>
                <w:sz w:val="21"/>
              </w:rPr>
            </w:pPr>
          </w:p>
        </w:tc>
        <w:tc>
          <w:tcPr>
            <w:tcW w:w="2726" w:type="pct"/>
            <w:tcBorders>
              <w:tl2br w:val="nil"/>
              <w:tr2bl w:val="nil"/>
            </w:tcBorders>
            <w:vAlign w:val="center"/>
          </w:tcPr>
          <w:p w14:paraId="135FFA00">
            <w:pPr>
              <w:spacing w:line="240" w:lineRule="auto"/>
              <w:rPr>
                <w:color w:val="000000"/>
                <w:sz w:val="21"/>
              </w:rPr>
            </w:pPr>
            <w:r>
              <w:rPr>
                <w:color w:val="000000"/>
                <w:sz w:val="21"/>
                <w:shd w:val="clear" w:color="auto" w:fill="FFFFFF"/>
              </w:rPr>
              <w:t>所有新、改、扩建项目，必须全部进行环境影响评价；未通过环境影响评价审批的，一律不准开工建设；违规建设的，要依法进行处罚。加强产业政策在产业转移过程中的引导与约束作用，严格限制在生态脆弱或环境敏感地区建设“两高”行业项目。严格实施污染物排放总量控制，将二氧化硫、氮氧化物、烟粉尘和挥发性有机物排放是否符合总量控制要求作为建设项目环境影响评价审批的前置条件。</w:t>
            </w:r>
          </w:p>
        </w:tc>
        <w:tc>
          <w:tcPr>
            <w:tcW w:w="1129" w:type="pct"/>
            <w:tcBorders>
              <w:tl2br w:val="nil"/>
              <w:tr2bl w:val="nil"/>
            </w:tcBorders>
            <w:vAlign w:val="center"/>
          </w:tcPr>
          <w:p w14:paraId="7056EB5A">
            <w:pPr>
              <w:spacing w:line="240" w:lineRule="auto"/>
              <w:jc w:val="center"/>
              <w:rPr>
                <w:color w:val="000000"/>
                <w:sz w:val="21"/>
              </w:rPr>
            </w:pPr>
            <w:r>
              <w:rPr>
                <w:color w:val="000000"/>
                <w:sz w:val="21"/>
              </w:rPr>
              <w:t>本扩建项目正在进行环境影响评价</w:t>
            </w:r>
          </w:p>
        </w:tc>
        <w:tc>
          <w:tcPr>
            <w:tcW w:w="428" w:type="pct"/>
            <w:tcBorders>
              <w:tl2br w:val="nil"/>
              <w:tr2bl w:val="nil"/>
            </w:tcBorders>
            <w:vAlign w:val="center"/>
          </w:tcPr>
          <w:p w14:paraId="01D384A5">
            <w:pPr>
              <w:spacing w:line="240" w:lineRule="auto"/>
              <w:jc w:val="center"/>
              <w:rPr>
                <w:color w:val="000000"/>
                <w:sz w:val="21"/>
              </w:rPr>
            </w:pPr>
            <w:r>
              <w:rPr>
                <w:color w:val="000000"/>
                <w:sz w:val="21"/>
              </w:rPr>
              <w:t>符合</w:t>
            </w:r>
          </w:p>
        </w:tc>
      </w:tr>
      <w:tr w14:paraId="3A3C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16" w:type="pct"/>
            <w:vMerge w:val="restart"/>
            <w:tcBorders>
              <w:tl2br w:val="nil"/>
              <w:tr2bl w:val="nil"/>
            </w:tcBorders>
            <w:vAlign w:val="center"/>
          </w:tcPr>
          <w:p w14:paraId="3B296754">
            <w:pPr>
              <w:spacing w:line="240" w:lineRule="auto"/>
              <w:jc w:val="center"/>
              <w:rPr>
                <w:color w:val="000000"/>
                <w:sz w:val="21"/>
              </w:rPr>
            </w:pPr>
            <w:r>
              <w:rPr>
                <w:color w:val="000000"/>
                <w:sz w:val="21"/>
              </w:rPr>
              <w:t>《水污染防治行动计划》（国发[2015]17号）</w:t>
            </w:r>
          </w:p>
        </w:tc>
        <w:tc>
          <w:tcPr>
            <w:tcW w:w="2726" w:type="pct"/>
            <w:tcBorders>
              <w:tl2br w:val="nil"/>
              <w:tr2bl w:val="nil"/>
            </w:tcBorders>
            <w:vAlign w:val="center"/>
          </w:tcPr>
          <w:p w14:paraId="5D7E753D">
            <w:pPr>
              <w:spacing w:line="240" w:lineRule="atLeast"/>
              <w:rPr>
                <w:color w:val="000000"/>
                <w:sz w:val="21"/>
                <w:shd w:val="clear" w:color="auto" w:fill="FFFFFF"/>
              </w:rPr>
            </w:pPr>
            <w:r>
              <w:rPr>
                <w:color w:val="000000"/>
                <w:sz w:val="21"/>
                <w:shd w:val="clear" w:color="auto" w:fill="FFFFFF"/>
              </w:rPr>
              <w:t>取缔“十一小”企业。专项整治“十一大”重点行业，新建、改建和扩建项目实行污染物等量置换或减量置换。①专项整治"十一大"重点行业。制定造纸、焦化、氮肥、有色金属、印染、农副产品及食品加工、原料药制造(生化制药)、制革、农药、电镀以及涉磷产品等"十一大"行业专项治理方案。②取缔"十一小"企业。深入排查装备水平低、环保设施差的小型工业企业。按照有关法律法规要求，2016年年底前取缔不符合国家产业政策的小型造纸、制革、印染、染料、炼焦、炼硫、炼砷、炼油、电镀、农药、涉磷生产和使用等严重污染水环境的生产项目。</w:t>
            </w:r>
          </w:p>
        </w:tc>
        <w:tc>
          <w:tcPr>
            <w:tcW w:w="1129" w:type="pct"/>
            <w:tcBorders>
              <w:tl2br w:val="nil"/>
              <w:tr2bl w:val="nil"/>
            </w:tcBorders>
            <w:vAlign w:val="center"/>
          </w:tcPr>
          <w:p w14:paraId="0948DCCC">
            <w:pPr>
              <w:spacing w:line="240" w:lineRule="atLeast"/>
              <w:rPr>
                <w:color w:val="000000"/>
                <w:sz w:val="21"/>
                <w:shd w:val="clear" w:color="auto" w:fill="FFFFFF"/>
              </w:rPr>
            </w:pPr>
            <w:r>
              <w:rPr>
                <w:color w:val="000000"/>
                <w:sz w:val="21"/>
                <w:shd w:val="clear" w:color="auto" w:fill="FFFFFF"/>
              </w:rPr>
              <w:t>项目不属于“十一小”企业及专项整治“十一大”重点行业</w:t>
            </w:r>
          </w:p>
        </w:tc>
        <w:tc>
          <w:tcPr>
            <w:tcW w:w="428" w:type="pct"/>
            <w:tcBorders>
              <w:tl2br w:val="nil"/>
              <w:tr2bl w:val="nil"/>
            </w:tcBorders>
            <w:vAlign w:val="center"/>
          </w:tcPr>
          <w:p w14:paraId="51C2D9B7">
            <w:pPr>
              <w:spacing w:line="240" w:lineRule="auto"/>
              <w:rPr>
                <w:color w:val="000000"/>
                <w:sz w:val="21"/>
                <w:shd w:val="clear" w:color="auto" w:fill="FFFFFF"/>
              </w:rPr>
            </w:pPr>
            <w:r>
              <w:rPr>
                <w:color w:val="000000"/>
                <w:sz w:val="21"/>
                <w:shd w:val="clear" w:color="auto" w:fill="FFFFFF"/>
              </w:rPr>
              <w:t>符合</w:t>
            </w:r>
          </w:p>
        </w:tc>
      </w:tr>
      <w:tr w14:paraId="0700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716" w:type="pct"/>
            <w:vMerge w:val="continue"/>
            <w:tcBorders>
              <w:tl2br w:val="nil"/>
              <w:tr2bl w:val="nil"/>
            </w:tcBorders>
            <w:vAlign w:val="center"/>
          </w:tcPr>
          <w:p w14:paraId="30243CF2">
            <w:pPr>
              <w:spacing w:line="240" w:lineRule="auto"/>
              <w:jc w:val="center"/>
              <w:rPr>
                <w:color w:val="000000"/>
                <w:sz w:val="21"/>
              </w:rPr>
            </w:pPr>
          </w:p>
        </w:tc>
        <w:tc>
          <w:tcPr>
            <w:tcW w:w="2726" w:type="pct"/>
            <w:tcBorders>
              <w:tl2br w:val="nil"/>
              <w:tr2bl w:val="nil"/>
            </w:tcBorders>
            <w:vAlign w:val="center"/>
          </w:tcPr>
          <w:p w14:paraId="0DD31186">
            <w:pPr>
              <w:pStyle w:val="817"/>
              <w:spacing w:line="240" w:lineRule="atLeast"/>
              <w:jc w:val="left"/>
              <w:rPr>
                <w:rFonts w:eastAsia="宋体"/>
                <w:snapToGrid/>
                <w:color w:val="000000"/>
                <w:kern w:val="2"/>
                <w:sz w:val="21"/>
                <w:szCs w:val="18"/>
              </w:rPr>
            </w:pPr>
            <w:r>
              <w:rPr>
                <w:rFonts w:eastAsia="宋体"/>
                <w:snapToGrid/>
                <w:color w:val="000000"/>
                <w:kern w:val="2"/>
                <w:sz w:val="21"/>
                <w:szCs w:val="18"/>
              </w:rPr>
              <w:t>抓好工业节水。制定国家鼓励和淘汰的用水技术、工艺、产品和设备目录，完善高耗水行业取用水定额标准。开展节水诊断、水平衡测试、用水效率评估，严格用水定额管理。到2020年，电力、钢铁、纺织、造纸、石油石化、化工、食品发酵等高耗水行业达到先进定额标准。</w:t>
            </w:r>
          </w:p>
        </w:tc>
        <w:tc>
          <w:tcPr>
            <w:tcW w:w="1129" w:type="pct"/>
            <w:tcBorders>
              <w:tl2br w:val="nil"/>
              <w:tr2bl w:val="nil"/>
            </w:tcBorders>
            <w:vAlign w:val="center"/>
          </w:tcPr>
          <w:p w14:paraId="58ECF87E">
            <w:pPr>
              <w:pStyle w:val="817"/>
              <w:spacing w:line="240" w:lineRule="atLeast"/>
              <w:jc w:val="left"/>
              <w:rPr>
                <w:rFonts w:eastAsia="宋体"/>
                <w:snapToGrid/>
                <w:color w:val="000000"/>
                <w:kern w:val="2"/>
                <w:sz w:val="21"/>
                <w:szCs w:val="18"/>
              </w:rPr>
            </w:pPr>
            <w:r>
              <w:rPr>
                <w:rFonts w:eastAsia="宋体"/>
                <w:snapToGrid/>
                <w:color w:val="000000"/>
                <w:kern w:val="2"/>
                <w:sz w:val="21"/>
                <w:szCs w:val="18"/>
              </w:rPr>
              <w:t>改建后全厂冷却循环水消耗量为32440m</w:t>
            </w:r>
            <w:r>
              <w:rPr>
                <w:rFonts w:eastAsia="宋体"/>
                <w:snapToGrid/>
                <w:color w:val="000000"/>
                <w:kern w:val="2"/>
                <w:sz w:val="21"/>
                <w:szCs w:val="18"/>
                <w:vertAlign w:val="superscript"/>
              </w:rPr>
              <w:t>3</w:t>
            </w:r>
            <w:r>
              <w:rPr>
                <w:rFonts w:eastAsia="宋体"/>
                <w:snapToGrid/>
                <w:color w:val="000000"/>
                <w:kern w:val="2"/>
                <w:sz w:val="21"/>
                <w:szCs w:val="18"/>
              </w:rPr>
              <w:t>/a，用水指标满足相关行业清洁生产要求。</w:t>
            </w:r>
          </w:p>
        </w:tc>
        <w:tc>
          <w:tcPr>
            <w:tcW w:w="428" w:type="pct"/>
            <w:tcBorders>
              <w:tl2br w:val="nil"/>
              <w:tr2bl w:val="nil"/>
            </w:tcBorders>
            <w:vAlign w:val="center"/>
          </w:tcPr>
          <w:p w14:paraId="2EFA5CC8">
            <w:pPr>
              <w:spacing w:line="240" w:lineRule="auto"/>
              <w:jc w:val="center"/>
              <w:rPr>
                <w:color w:val="000000"/>
                <w:sz w:val="21"/>
              </w:rPr>
            </w:pPr>
          </w:p>
        </w:tc>
      </w:tr>
      <w:tr w14:paraId="3C40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6" w:type="pct"/>
            <w:vMerge w:val="continue"/>
            <w:tcBorders>
              <w:tl2br w:val="nil"/>
              <w:tr2bl w:val="nil"/>
            </w:tcBorders>
            <w:vAlign w:val="center"/>
          </w:tcPr>
          <w:p w14:paraId="0BAA148F">
            <w:pPr>
              <w:spacing w:line="240" w:lineRule="auto"/>
              <w:jc w:val="center"/>
              <w:rPr>
                <w:color w:val="000000"/>
                <w:sz w:val="21"/>
              </w:rPr>
            </w:pPr>
          </w:p>
        </w:tc>
        <w:tc>
          <w:tcPr>
            <w:tcW w:w="2726" w:type="pct"/>
            <w:tcBorders>
              <w:tl2br w:val="nil"/>
              <w:tr2bl w:val="nil"/>
            </w:tcBorders>
            <w:vAlign w:val="center"/>
          </w:tcPr>
          <w:p w14:paraId="2A015084">
            <w:pPr>
              <w:spacing w:line="240" w:lineRule="atLeast"/>
              <w:rPr>
                <w:color w:val="000000"/>
                <w:sz w:val="21"/>
              </w:rPr>
            </w:pPr>
            <w:r>
              <w:rPr>
                <w:color w:val="000000"/>
                <w:sz w:val="21"/>
              </w:rPr>
              <w:t>依法淘汰落后产能。严格环境准入。</w:t>
            </w:r>
          </w:p>
        </w:tc>
        <w:tc>
          <w:tcPr>
            <w:tcW w:w="1129" w:type="pct"/>
            <w:tcBorders>
              <w:tl2br w:val="nil"/>
              <w:tr2bl w:val="nil"/>
            </w:tcBorders>
            <w:vAlign w:val="center"/>
          </w:tcPr>
          <w:p w14:paraId="6286E0C2">
            <w:pPr>
              <w:spacing w:line="240" w:lineRule="atLeast"/>
              <w:rPr>
                <w:color w:val="000000"/>
                <w:sz w:val="21"/>
              </w:rPr>
            </w:pPr>
            <w:r>
              <w:rPr>
                <w:color w:val="000000"/>
                <w:sz w:val="21"/>
              </w:rPr>
              <w:t>项目符合产业政策要求及重庆市工业项目环境准入规定</w:t>
            </w:r>
          </w:p>
        </w:tc>
        <w:tc>
          <w:tcPr>
            <w:tcW w:w="428" w:type="pct"/>
            <w:tcBorders>
              <w:tl2br w:val="nil"/>
              <w:tr2bl w:val="nil"/>
            </w:tcBorders>
            <w:vAlign w:val="center"/>
          </w:tcPr>
          <w:p w14:paraId="3115E059">
            <w:pPr>
              <w:spacing w:line="240" w:lineRule="auto"/>
              <w:jc w:val="center"/>
              <w:rPr>
                <w:color w:val="000000"/>
                <w:sz w:val="21"/>
              </w:rPr>
            </w:pPr>
            <w:r>
              <w:rPr>
                <w:color w:val="000000"/>
                <w:sz w:val="21"/>
              </w:rPr>
              <w:t>符合</w:t>
            </w:r>
          </w:p>
        </w:tc>
      </w:tr>
      <w:tr w14:paraId="2C71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16" w:type="pct"/>
            <w:vMerge w:val="continue"/>
            <w:tcBorders>
              <w:tl2br w:val="nil"/>
              <w:tr2bl w:val="nil"/>
            </w:tcBorders>
            <w:vAlign w:val="center"/>
          </w:tcPr>
          <w:p w14:paraId="004DAAE9">
            <w:pPr>
              <w:spacing w:line="240" w:lineRule="auto"/>
              <w:jc w:val="center"/>
              <w:rPr>
                <w:color w:val="000000"/>
                <w:sz w:val="21"/>
              </w:rPr>
            </w:pPr>
          </w:p>
        </w:tc>
        <w:tc>
          <w:tcPr>
            <w:tcW w:w="2726" w:type="pct"/>
            <w:tcBorders>
              <w:tl2br w:val="nil"/>
              <w:tr2bl w:val="nil"/>
            </w:tcBorders>
            <w:vAlign w:val="center"/>
          </w:tcPr>
          <w:p w14:paraId="3581FAE3">
            <w:pPr>
              <w:spacing w:line="240" w:lineRule="atLeast"/>
              <w:rPr>
                <w:color w:val="000000"/>
                <w:sz w:val="21"/>
              </w:rPr>
            </w:pPr>
            <w:r>
              <w:rPr>
                <w:color w:val="000000"/>
                <w:sz w:val="21"/>
                <w:shd w:val="clear" w:color="auto" w:fill="FFFFFF"/>
              </w:rPr>
              <w:t>严格控制缺水地区、水污染严重地区和敏感区域高耗水、高污染行业发展。七大重点流域干流沿岸，要严格控制石油加工、化学原料和化学制品制造、医药制造、化学纤维制造、有色金属冶炼、纺织印染等项目环境风险，合理布局生产装置及危险化学品仓储等设施。推动污染企业退出。城市建成区内现有钢铁、有色金属、造纸、印染、原料药制造、化工等污染较重的企业应有序搬迁改造或依法关闭。</w:t>
            </w:r>
          </w:p>
        </w:tc>
        <w:tc>
          <w:tcPr>
            <w:tcW w:w="1129" w:type="pct"/>
            <w:tcBorders>
              <w:tl2br w:val="nil"/>
              <w:tr2bl w:val="nil"/>
            </w:tcBorders>
            <w:vAlign w:val="center"/>
          </w:tcPr>
          <w:p w14:paraId="1DBE0CC7">
            <w:pPr>
              <w:spacing w:line="240" w:lineRule="atLeast"/>
              <w:rPr>
                <w:color w:val="000000"/>
                <w:sz w:val="21"/>
              </w:rPr>
            </w:pPr>
            <w:r>
              <w:rPr>
                <w:color w:val="000000"/>
                <w:sz w:val="21"/>
              </w:rPr>
              <w:t>项目位于白涛工业园区，不属于污染较重的企业</w:t>
            </w:r>
          </w:p>
        </w:tc>
        <w:tc>
          <w:tcPr>
            <w:tcW w:w="428" w:type="pct"/>
            <w:tcBorders>
              <w:tl2br w:val="nil"/>
              <w:tr2bl w:val="nil"/>
            </w:tcBorders>
            <w:vAlign w:val="center"/>
          </w:tcPr>
          <w:p w14:paraId="398CF2AB">
            <w:pPr>
              <w:spacing w:line="240" w:lineRule="auto"/>
              <w:jc w:val="center"/>
              <w:rPr>
                <w:color w:val="000000"/>
                <w:sz w:val="21"/>
              </w:rPr>
            </w:pPr>
            <w:r>
              <w:rPr>
                <w:color w:val="000000"/>
                <w:sz w:val="21"/>
              </w:rPr>
              <w:t>符合</w:t>
            </w:r>
          </w:p>
        </w:tc>
      </w:tr>
      <w:tr w14:paraId="6511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716" w:type="pct"/>
            <w:vMerge w:val="restart"/>
            <w:tcBorders>
              <w:tl2br w:val="nil"/>
              <w:tr2bl w:val="nil"/>
            </w:tcBorders>
            <w:vAlign w:val="center"/>
          </w:tcPr>
          <w:p w14:paraId="14CAF5E0">
            <w:pPr>
              <w:spacing w:line="240" w:lineRule="auto"/>
              <w:jc w:val="center"/>
              <w:rPr>
                <w:color w:val="000000"/>
                <w:sz w:val="21"/>
              </w:rPr>
            </w:pPr>
            <w:r>
              <w:rPr>
                <w:color w:val="000000"/>
                <w:sz w:val="21"/>
              </w:rPr>
              <w:t>《土壤污染防治行动计划》（国发[2016]31号）</w:t>
            </w:r>
          </w:p>
        </w:tc>
        <w:tc>
          <w:tcPr>
            <w:tcW w:w="2726" w:type="pct"/>
            <w:tcBorders>
              <w:tl2br w:val="nil"/>
              <w:tr2bl w:val="nil"/>
            </w:tcBorders>
            <w:vAlign w:val="center"/>
          </w:tcPr>
          <w:p w14:paraId="0E461FC0">
            <w:pPr>
              <w:spacing w:line="240" w:lineRule="auto"/>
              <w:rPr>
                <w:color w:val="000000"/>
                <w:sz w:val="21"/>
              </w:rPr>
            </w:pPr>
            <w:r>
              <w:rPr>
                <w:color w:val="000000"/>
                <w:sz w:val="21"/>
                <w:shd w:val="clear" w:color="auto" w:fill="FFFFFF"/>
              </w:rPr>
              <w:t>自2017年起，对拟收回土地使用权的有色金属冶炼、石油加工、化工、焦化、电镀、制革等行业企业用地，以及用途拟变更为居住和商业、学校、医疗、养老机构等公共设施的上述企业用地，由土地使用权人负责开展土壤环境状况调查评估</w:t>
            </w:r>
          </w:p>
        </w:tc>
        <w:tc>
          <w:tcPr>
            <w:tcW w:w="1129" w:type="pct"/>
            <w:tcBorders>
              <w:tl2br w:val="nil"/>
              <w:tr2bl w:val="nil"/>
            </w:tcBorders>
            <w:vAlign w:val="center"/>
          </w:tcPr>
          <w:p w14:paraId="1D9368FD">
            <w:pPr>
              <w:spacing w:line="240" w:lineRule="auto"/>
              <w:jc w:val="center"/>
              <w:rPr>
                <w:color w:val="000000"/>
                <w:sz w:val="21"/>
              </w:rPr>
            </w:pPr>
            <w:r>
              <w:rPr>
                <w:color w:val="000000"/>
                <w:sz w:val="21"/>
              </w:rPr>
              <w:t>所在场区用地性质为工业用地</w:t>
            </w:r>
          </w:p>
        </w:tc>
        <w:tc>
          <w:tcPr>
            <w:tcW w:w="428" w:type="pct"/>
            <w:tcBorders>
              <w:tl2br w:val="nil"/>
              <w:tr2bl w:val="nil"/>
            </w:tcBorders>
            <w:vAlign w:val="center"/>
          </w:tcPr>
          <w:p w14:paraId="13AD3BB3">
            <w:pPr>
              <w:spacing w:line="240" w:lineRule="auto"/>
              <w:jc w:val="center"/>
              <w:rPr>
                <w:color w:val="000000"/>
                <w:sz w:val="21"/>
              </w:rPr>
            </w:pPr>
            <w:r>
              <w:rPr>
                <w:color w:val="000000"/>
                <w:sz w:val="21"/>
              </w:rPr>
              <w:t>符合</w:t>
            </w:r>
          </w:p>
        </w:tc>
      </w:tr>
      <w:tr w14:paraId="5A36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16" w:type="pct"/>
            <w:vMerge w:val="continue"/>
            <w:tcBorders>
              <w:tl2br w:val="nil"/>
              <w:tr2bl w:val="nil"/>
            </w:tcBorders>
            <w:vAlign w:val="center"/>
          </w:tcPr>
          <w:p w14:paraId="31A48C07">
            <w:pPr>
              <w:spacing w:line="240" w:lineRule="auto"/>
              <w:jc w:val="center"/>
              <w:rPr>
                <w:color w:val="000000"/>
                <w:sz w:val="21"/>
              </w:rPr>
            </w:pPr>
          </w:p>
        </w:tc>
        <w:tc>
          <w:tcPr>
            <w:tcW w:w="2726" w:type="pct"/>
            <w:tcBorders>
              <w:tl2br w:val="nil"/>
              <w:tr2bl w:val="nil"/>
            </w:tcBorders>
            <w:vAlign w:val="center"/>
          </w:tcPr>
          <w:p w14:paraId="21C3FC66">
            <w:pPr>
              <w:spacing w:line="240" w:lineRule="auto"/>
              <w:rPr>
                <w:color w:val="000000"/>
                <w:sz w:val="21"/>
              </w:rPr>
            </w:pPr>
            <w:r>
              <w:rPr>
                <w:color w:val="000000"/>
                <w:sz w:val="21"/>
                <w:shd w:val="clear" w:color="auto" w:fill="FFFFFF"/>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129" w:type="pct"/>
            <w:tcBorders>
              <w:tl2br w:val="nil"/>
              <w:tr2bl w:val="nil"/>
            </w:tcBorders>
            <w:vAlign w:val="center"/>
          </w:tcPr>
          <w:p w14:paraId="140A71EB">
            <w:pPr>
              <w:spacing w:line="240" w:lineRule="auto"/>
              <w:jc w:val="center"/>
              <w:rPr>
                <w:color w:val="000000"/>
                <w:sz w:val="21"/>
              </w:rPr>
            </w:pPr>
            <w:r>
              <w:rPr>
                <w:color w:val="000000"/>
                <w:sz w:val="21"/>
              </w:rPr>
              <w:t>不涉及重点污染物的排放</w:t>
            </w:r>
          </w:p>
        </w:tc>
        <w:tc>
          <w:tcPr>
            <w:tcW w:w="428" w:type="pct"/>
            <w:tcBorders>
              <w:tl2br w:val="nil"/>
              <w:tr2bl w:val="nil"/>
            </w:tcBorders>
            <w:vAlign w:val="center"/>
          </w:tcPr>
          <w:p w14:paraId="769CB0E9">
            <w:pPr>
              <w:spacing w:line="240" w:lineRule="auto"/>
              <w:jc w:val="center"/>
              <w:rPr>
                <w:color w:val="000000"/>
                <w:sz w:val="21"/>
              </w:rPr>
            </w:pPr>
            <w:r>
              <w:rPr>
                <w:color w:val="000000"/>
                <w:sz w:val="21"/>
              </w:rPr>
              <w:t>符合</w:t>
            </w:r>
          </w:p>
        </w:tc>
      </w:tr>
      <w:tr w14:paraId="5C50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716" w:type="pct"/>
            <w:vMerge w:val="continue"/>
            <w:tcBorders>
              <w:tl2br w:val="nil"/>
              <w:tr2bl w:val="nil"/>
            </w:tcBorders>
            <w:vAlign w:val="center"/>
          </w:tcPr>
          <w:p w14:paraId="29C666D6">
            <w:pPr>
              <w:spacing w:line="240" w:lineRule="auto"/>
              <w:jc w:val="center"/>
              <w:rPr>
                <w:color w:val="000000"/>
                <w:sz w:val="21"/>
              </w:rPr>
            </w:pPr>
          </w:p>
        </w:tc>
        <w:tc>
          <w:tcPr>
            <w:tcW w:w="2726" w:type="pct"/>
            <w:tcBorders>
              <w:tl2br w:val="nil"/>
              <w:tr2bl w:val="nil"/>
            </w:tcBorders>
            <w:vAlign w:val="center"/>
          </w:tcPr>
          <w:p w14:paraId="6F030BE6">
            <w:pPr>
              <w:spacing w:line="240" w:lineRule="auto"/>
              <w:rPr>
                <w:color w:val="000000"/>
                <w:sz w:val="21"/>
              </w:rPr>
            </w:pPr>
            <w:r>
              <w:rPr>
                <w:color w:val="000000"/>
                <w:sz w:val="21"/>
                <w:shd w:val="clear" w:color="auto" w:fill="FFFFFF"/>
              </w:rPr>
              <w:t>严格执行相关行业企业布局选址要求，禁止在居民区、学校、医疗和养老机构等周边新建有色金属冶炼、焦化等行业企业</w:t>
            </w:r>
          </w:p>
        </w:tc>
        <w:tc>
          <w:tcPr>
            <w:tcW w:w="1129" w:type="pct"/>
            <w:tcBorders>
              <w:tl2br w:val="nil"/>
              <w:tr2bl w:val="nil"/>
            </w:tcBorders>
            <w:vAlign w:val="center"/>
          </w:tcPr>
          <w:p w14:paraId="7322E77F">
            <w:pPr>
              <w:spacing w:line="240" w:lineRule="auto"/>
              <w:jc w:val="center"/>
              <w:rPr>
                <w:color w:val="000000"/>
                <w:sz w:val="21"/>
              </w:rPr>
            </w:pPr>
            <w:r>
              <w:rPr>
                <w:color w:val="000000"/>
                <w:sz w:val="21"/>
              </w:rPr>
              <w:t>本项目不属于</w:t>
            </w:r>
            <w:r>
              <w:rPr>
                <w:color w:val="000000"/>
                <w:sz w:val="21"/>
                <w:shd w:val="clear" w:color="auto" w:fill="FFFFFF"/>
              </w:rPr>
              <w:t>冶炼、焦化行业</w:t>
            </w:r>
          </w:p>
        </w:tc>
        <w:tc>
          <w:tcPr>
            <w:tcW w:w="428" w:type="pct"/>
            <w:tcBorders>
              <w:tl2br w:val="nil"/>
              <w:tr2bl w:val="nil"/>
            </w:tcBorders>
            <w:vAlign w:val="center"/>
          </w:tcPr>
          <w:p w14:paraId="7F3960EA">
            <w:pPr>
              <w:spacing w:line="240" w:lineRule="auto"/>
              <w:jc w:val="center"/>
              <w:rPr>
                <w:color w:val="000000"/>
                <w:sz w:val="21"/>
              </w:rPr>
            </w:pPr>
            <w:r>
              <w:rPr>
                <w:color w:val="000000"/>
                <w:sz w:val="21"/>
              </w:rPr>
              <w:t>符合</w:t>
            </w:r>
          </w:p>
        </w:tc>
      </w:tr>
      <w:tr w14:paraId="338D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716" w:type="pct"/>
            <w:vMerge w:val="continue"/>
            <w:tcBorders>
              <w:tl2br w:val="nil"/>
              <w:tr2bl w:val="nil"/>
            </w:tcBorders>
            <w:vAlign w:val="center"/>
          </w:tcPr>
          <w:p w14:paraId="6B80778C">
            <w:pPr>
              <w:spacing w:line="240" w:lineRule="auto"/>
              <w:jc w:val="center"/>
              <w:rPr>
                <w:color w:val="000000"/>
                <w:sz w:val="21"/>
              </w:rPr>
            </w:pPr>
          </w:p>
        </w:tc>
        <w:tc>
          <w:tcPr>
            <w:tcW w:w="2726" w:type="pct"/>
            <w:tcBorders>
              <w:tl2br w:val="nil"/>
              <w:tr2bl w:val="nil"/>
            </w:tcBorders>
            <w:vAlign w:val="center"/>
          </w:tcPr>
          <w:p w14:paraId="42E08E2F">
            <w:pPr>
              <w:spacing w:line="240" w:lineRule="auto"/>
              <w:rPr>
                <w:color w:val="000000"/>
                <w:sz w:val="21"/>
                <w:shd w:val="clear" w:color="auto" w:fill="FFFFFF"/>
              </w:rPr>
            </w:pPr>
            <w:r>
              <w:rPr>
                <w:color w:val="000000"/>
                <w:sz w:val="21"/>
                <w:shd w:val="clear" w:color="auto" w:fill="FFFFFF"/>
              </w:rPr>
              <w:t>加强电器电子、汽车等工业产品中有害物质控制。有色金属冶炼、石油加工、化工、焦化、电镀、制革等行业企业拆除生产设施设备、构筑物和污染治理设施，要事先制定残留污染物清理和安全处置方案，并报所在地县级环境保护、工业和信息化部门备案；要严格按照有关规定实施安全处理处置，防范拆除活动污染土壤。</w:t>
            </w:r>
          </w:p>
        </w:tc>
        <w:tc>
          <w:tcPr>
            <w:tcW w:w="1129" w:type="pct"/>
            <w:tcBorders>
              <w:tl2br w:val="nil"/>
              <w:tr2bl w:val="nil"/>
            </w:tcBorders>
            <w:vAlign w:val="center"/>
          </w:tcPr>
          <w:p w14:paraId="0B115D46">
            <w:pPr>
              <w:spacing w:line="240" w:lineRule="auto"/>
              <w:jc w:val="center"/>
              <w:rPr>
                <w:color w:val="000000"/>
                <w:sz w:val="21"/>
              </w:rPr>
            </w:pPr>
            <w:r>
              <w:rPr>
                <w:color w:val="000000"/>
                <w:sz w:val="21"/>
              </w:rPr>
              <w:t>本项目现有生产设施设备</w:t>
            </w:r>
            <w:r>
              <w:rPr>
                <w:color w:val="000000"/>
                <w:sz w:val="21"/>
                <w:shd w:val="clear" w:color="auto" w:fill="FFFFFF"/>
              </w:rPr>
              <w:t>、构筑物和污染治理设施均不拆除</w:t>
            </w:r>
          </w:p>
        </w:tc>
        <w:tc>
          <w:tcPr>
            <w:tcW w:w="428" w:type="pct"/>
            <w:tcBorders>
              <w:tl2br w:val="nil"/>
              <w:tr2bl w:val="nil"/>
            </w:tcBorders>
            <w:vAlign w:val="center"/>
          </w:tcPr>
          <w:p w14:paraId="54A741DD">
            <w:pPr>
              <w:spacing w:line="240" w:lineRule="auto"/>
              <w:jc w:val="center"/>
              <w:rPr>
                <w:color w:val="000000"/>
                <w:sz w:val="21"/>
              </w:rPr>
            </w:pPr>
            <w:r>
              <w:rPr>
                <w:color w:val="000000"/>
                <w:sz w:val="21"/>
              </w:rPr>
              <w:t>符合</w:t>
            </w:r>
          </w:p>
        </w:tc>
      </w:tr>
      <w:tr w14:paraId="1964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6" w:type="pct"/>
            <w:vMerge w:val="continue"/>
            <w:tcBorders>
              <w:tl2br w:val="nil"/>
              <w:tr2bl w:val="nil"/>
            </w:tcBorders>
            <w:vAlign w:val="center"/>
          </w:tcPr>
          <w:p w14:paraId="3006EBA8">
            <w:pPr>
              <w:spacing w:line="240" w:lineRule="auto"/>
              <w:jc w:val="center"/>
              <w:rPr>
                <w:color w:val="000000"/>
                <w:sz w:val="21"/>
              </w:rPr>
            </w:pPr>
          </w:p>
        </w:tc>
        <w:tc>
          <w:tcPr>
            <w:tcW w:w="2726" w:type="pct"/>
            <w:tcBorders>
              <w:tl2br w:val="nil"/>
              <w:tr2bl w:val="nil"/>
            </w:tcBorders>
            <w:vAlign w:val="center"/>
          </w:tcPr>
          <w:p w14:paraId="38A8F852">
            <w:pPr>
              <w:spacing w:line="240" w:lineRule="auto"/>
              <w:rPr>
                <w:color w:val="000000"/>
                <w:sz w:val="21"/>
                <w:shd w:val="clear" w:color="auto" w:fill="FFFFFF"/>
              </w:rPr>
            </w:pPr>
            <w:r>
              <w:rPr>
                <w:color w:val="000000"/>
                <w:sz w:val="21"/>
                <w:shd w:val="clear" w:color="auto" w:fill="FFFFFF"/>
              </w:rPr>
              <w:t>继续淘汰涉重金属重点行业落后产能，完善重金属相关行业准入条件，禁止新建落后产能或产能严重过剩行业的建设项目</w:t>
            </w:r>
          </w:p>
        </w:tc>
        <w:tc>
          <w:tcPr>
            <w:tcW w:w="1129" w:type="pct"/>
            <w:tcBorders>
              <w:tl2br w:val="nil"/>
              <w:tr2bl w:val="nil"/>
            </w:tcBorders>
            <w:vAlign w:val="center"/>
          </w:tcPr>
          <w:p w14:paraId="12A98078">
            <w:pPr>
              <w:spacing w:line="240" w:lineRule="auto"/>
              <w:jc w:val="center"/>
              <w:rPr>
                <w:color w:val="000000"/>
                <w:sz w:val="21"/>
              </w:rPr>
            </w:pPr>
            <w:r>
              <w:rPr>
                <w:color w:val="000000"/>
                <w:sz w:val="21"/>
              </w:rPr>
              <w:t>不属于涉重企业</w:t>
            </w:r>
          </w:p>
        </w:tc>
        <w:tc>
          <w:tcPr>
            <w:tcW w:w="428" w:type="pct"/>
            <w:tcBorders>
              <w:tl2br w:val="nil"/>
              <w:tr2bl w:val="nil"/>
            </w:tcBorders>
            <w:vAlign w:val="center"/>
          </w:tcPr>
          <w:p w14:paraId="5AD1B5BD">
            <w:pPr>
              <w:spacing w:line="240" w:lineRule="auto"/>
              <w:jc w:val="center"/>
              <w:rPr>
                <w:color w:val="000000"/>
                <w:sz w:val="21"/>
              </w:rPr>
            </w:pPr>
            <w:r>
              <w:rPr>
                <w:color w:val="000000"/>
                <w:sz w:val="21"/>
              </w:rPr>
              <w:t>符合</w:t>
            </w:r>
          </w:p>
        </w:tc>
      </w:tr>
      <w:tr w14:paraId="6EFA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6" w:type="pct"/>
            <w:vMerge w:val="restart"/>
            <w:tcBorders>
              <w:tl2br w:val="nil"/>
              <w:tr2bl w:val="nil"/>
            </w:tcBorders>
            <w:vAlign w:val="center"/>
          </w:tcPr>
          <w:p w14:paraId="3FCBDD1D">
            <w:pPr>
              <w:autoSpaceDE w:val="0"/>
              <w:autoSpaceDN w:val="0"/>
              <w:spacing w:line="240" w:lineRule="auto"/>
              <w:textAlignment w:val="baseline"/>
              <w:rPr>
                <w:color w:val="000000"/>
                <w:sz w:val="21"/>
              </w:rPr>
            </w:pPr>
            <w:r>
              <w:rPr>
                <w:color w:val="000000"/>
                <w:sz w:val="21"/>
              </w:rPr>
              <w:t>《地下水污染防治实施方案》</w:t>
            </w:r>
          </w:p>
        </w:tc>
        <w:tc>
          <w:tcPr>
            <w:tcW w:w="2726" w:type="pct"/>
            <w:tcBorders>
              <w:tl2br w:val="nil"/>
              <w:tr2bl w:val="nil"/>
            </w:tcBorders>
            <w:vAlign w:val="center"/>
          </w:tcPr>
          <w:p w14:paraId="073F747E">
            <w:pPr>
              <w:autoSpaceDE w:val="0"/>
              <w:autoSpaceDN w:val="0"/>
              <w:spacing w:line="240" w:lineRule="auto"/>
              <w:textAlignment w:val="baseline"/>
              <w:rPr>
                <w:color w:val="000000"/>
                <w:sz w:val="21"/>
                <w:shd w:val="clear" w:color="auto" w:fill="FFFFFF"/>
              </w:rPr>
            </w:pPr>
            <w:r>
              <w:rPr>
                <w:color w:val="000000"/>
                <w:sz w:val="21"/>
              </w:rPr>
              <w:t>坚持“源头治理、系统治理、综合治理”，落实地下水污染防治主体责任，包括地下水污染状况调查、监测、评估、风险防控、修复等，实现地下水污染防治全面监管，京津冀、长江经济带等重点地区地下水水质有所改善。</w:t>
            </w:r>
          </w:p>
        </w:tc>
        <w:tc>
          <w:tcPr>
            <w:tcW w:w="1129" w:type="pct"/>
            <w:tcBorders>
              <w:tl2br w:val="nil"/>
              <w:tr2bl w:val="nil"/>
            </w:tcBorders>
            <w:vAlign w:val="center"/>
          </w:tcPr>
          <w:p w14:paraId="77448450">
            <w:pPr>
              <w:autoSpaceDE w:val="0"/>
              <w:autoSpaceDN w:val="0"/>
              <w:spacing w:line="240" w:lineRule="auto"/>
              <w:textAlignment w:val="baseline"/>
              <w:rPr>
                <w:color w:val="000000"/>
                <w:sz w:val="21"/>
              </w:rPr>
            </w:pPr>
            <w:r>
              <w:rPr>
                <w:color w:val="000000"/>
                <w:sz w:val="21"/>
              </w:rPr>
              <w:t>本项目按照“源头治理、系统治理、综合治理”原则实施</w:t>
            </w:r>
          </w:p>
        </w:tc>
        <w:tc>
          <w:tcPr>
            <w:tcW w:w="428" w:type="pct"/>
            <w:tcBorders>
              <w:tl2br w:val="nil"/>
              <w:tr2bl w:val="nil"/>
            </w:tcBorders>
            <w:vAlign w:val="center"/>
          </w:tcPr>
          <w:p w14:paraId="62662236">
            <w:pPr>
              <w:pStyle w:val="407"/>
              <w:autoSpaceDE w:val="0"/>
              <w:adjustRightInd w:val="0"/>
              <w:snapToGrid w:val="0"/>
              <w:rPr>
                <w:rFonts w:ascii="Times New Roman" w:hAnsi="Times New Roman"/>
                <w:color w:val="000000"/>
                <w:szCs w:val="21"/>
              </w:rPr>
            </w:pPr>
            <w:r>
              <w:rPr>
                <w:rFonts w:ascii="Times New Roman" w:hAnsi="Times New Roman"/>
                <w:color w:val="000000"/>
                <w:szCs w:val="21"/>
              </w:rPr>
              <w:t>符合</w:t>
            </w:r>
          </w:p>
        </w:tc>
      </w:tr>
      <w:tr w14:paraId="4ABD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6" w:type="pct"/>
            <w:vMerge w:val="continue"/>
            <w:tcBorders>
              <w:tl2br w:val="nil"/>
              <w:tr2bl w:val="nil"/>
            </w:tcBorders>
            <w:vAlign w:val="center"/>
          </w:tcPr>
          <w:p w14:paraId="0EE5CD57">
            <w:pPr>
              <w:autoSpaceDE w:val="0"/>
              <w:autoSpaceDN w:val="0"/>
              <w:spacing w:line="240" w:lineRule="auto"/>
              <w:textAlignment w:val="baseline"/>
              <w:rPr>
                <w:color w:val="000000"/>
                <w:sz w:val="21"/>
              </w:rPr>
            </w:pPr>
          </w:p>
        </w:tc>
        <w:tc>
          <w:tcPr>
            <w:tcW w:w="2726" w:type="pct"/>
            <w:tcBorders>
              <w:tl2br w:val="nil"/>
              <w:tr2bl w:val="nil"/>
            </w:tcBorders>
            <w:vAlign w:val="center"/>
          </w:tcPr>
          <w:p w14:paraId="739B3561">
            <w:pPr>
              <w:pStyle w:val="407"/>
              <w:autoSpaceDE w:val="0"/>
              <w:autoSpaceDN w:val="0"/>
              <w:adjustRightInd w:val="0"/>
              <w:snapToGrid w:val="0"/>
              <w:textAlignment w:val="baseline"/>
              <w:rPr>
                <w:rFonts w:ascii="Times New Roman" w:hAnsi="Times New Roman"/>
                <w:color w:val="000000"/>
                <w:szCs w:val="21"/>
                <w:shd w:val="clear" w:color="auto" w:fill="FFFFFF"/>
              </w:rPr>
            </w:pPr>
            <w:r>
              <w:rPr>
                <w:rFonts w:ascii="Times New Roman" w:hAnsi="Times New Roman"/>
                <w:color w:val="000000"/>
                <w:szCs w:val="21"/>
              </w:rPr>
              <w:t>加强地下水污染协同防治，重视地表水、地下水污染协同防治。加快城镇污水管网更新改造，完善管网收集系统，减少管网渗漏；地方各级人民政府有关部门应当统筹规划农业灌溉取水水源，使用污水处理厂再生水的，应当严格执行《农田灌溉水质标准》（GB5084）和《城市污水再生利用农田灌溉用水水质》（GB20922），且不低于《城镇污水处理厂污染物排放标准》（GB18918）一级A排放标准要求；避免在土壤渗透性强、地下水位高、地下水露头区进行再生水灌溉。</w:t>
            </w:r>
          </w:p>
        </w:tc>
        <w:tc>
          <w:tcPr>
            <w:tcW w:w="1129" w:type="pct"/>
            <w:tcBorders>
              <w:tl2br w:val="nil"/>
              <w:tr2bl w:val="nil"/>
            </w:tcBorders>
            <w:vAlign w:val="center"/>
          </w:tcPr>
          <w:p w14:paraId="1F21D1A9">
            <w:pPr>
              <w:pStyle w:val="407"/>
              <w:autoSpaceDE w:val="0"/>
              <w:autoSpaceDN w:val="0"/>
              <w:adjustRightInd w:val="0"/>
              <w:snapToGrid w:val="0"/>
              <w:jc w:val="both"/>
              <w:textAlignment w:val="baseline"/>
              <w:rPr>
                <w:rFonts w:ascii="Times New Roman" w:hAnsi="Times New Roman"/>
                <w:color w:val="000000"/>
                <w:szCs w:val="21"/>
              </w:rPr>
            </w:pPr>
            <w:r>
              <w:rPr>
                <w:rFonts w:ascii="Times New Roman" w:hAnsi="Times New Roman"/>
                <w:color w:val="000000"/>
                <w:szCs w:val="21"/>
              </w:rPr>
              <w:t>本项目提出了地下水污染防治措施。</w:t>
            </w:r>
          </w:p>
        </w:tc>
        <w:tc>
          <w:tcPr>
            <w:tcW w:w="428" w:type="pct"/>
            <w:tcBorders>
              <w:tl2br w:val="nil"/>
              <w:tr2bl w:val="nil"/>
            </w:tcBorders>
            <w:vAlign w:val="center"/>
          </w:tcPr>
          <w:p w14:paraId="6C2F1D04">
            <w:pPr>
              <w:autoSpaceDE w:val="0"/>
              <w:spacing w:line="240" w:lineRule="auto"/>
              <w:jc w:val="center"/>
              <w:rPr>
                <w:color w:val="000000"/>
                <w:sz w:val="21"/>
              </w:rPr>
            </w:pPr>
            <w:r>
              <w:rPr>
                <w:color w:val="000000"/>
                <w:sz w:val="21"/>
              </w:rPr>
              <w:t>符合</w:t>
            </w:r>
          </w:p>
        </w:tc>
      </w:tr>
      <w:tr w14:paraId="0C8F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6" w:type="pct"/>
            <w:vMerge w:val="continue"/>
            <w:tcBorders>
              <w:tl2br w:val="nil"/>
              <w:tr2bl w:val="nil"/>
            </w:tcBorders>
            <w:vAlign w:val="center"/>
          </w:tcPr>
          <w:p w14:paraId="3E3DF832">
            <w:pPr>
              <w:spacing w:line="240" w:lineRule="auto"/>
              <w:rPr>
                <w:color w:val="000000"/>
                <w:sz w:val="21"/>
              </w:rPr>
            </w:pPr>
          </w:p>
        </w:tc>
        <w:tc>
          <w:tcPr>
            <w:tcW w:w="2726" w:type="pct"/>
            <w:tcBorders>
              <w:tl2br w:val="nil"/>
              <w:tr2bl w:val="nil"/>
            </w:tcBorders>
            <w:vAlign w:val="center"/>
          </w:tcPr>
          <w:p w14:paraId="33FB6287">
            <w:pPr>
              <w:pStyle w:val="407"/>
              <w:autoSpaceDE w:val="0"/>
              <w:adjustRightInd w:val="0"/>
              <w:snapToGrid w:val="0"/>
              <w:rPr>
                <w:rFonts w:ascii="Times New Roman" w:hAnsi="Times New Roman"/>
                <w:color w:val="000000"/>
                <w:szCs w:val="21"/>
                <w:shd w:val="clear" w:color="auto" w:fill="FFFFFF"/>
              </w:rPr>
            </w:pPr>
            <w:r>
              <w:rPr>
                <w:rFonts w:ascii="Times New Roman" w:hAnsi="Times New Roman"/>
                <w:color w:val="000000"/>
                <w:szCs w:val="21"/>
              </w:rPr>
              <w:t>对污染物含量超过土壤污染风险管控标准的建设用地地块，土壤污染状况调查报告应当包括地下水是否受到污染等内容；对列入风险管控和修复名录中的建设用地地块，实施风险管控措施应包括地下水污染防治的内容；实施修复的地块，修复方案应当包括地下水污染修复的内容；制定地下水污染调查、监测、评估、风险防控、修复等标准规范时，做好与土壤污染防治相关标准规范的衔接。</w:t>
            </w:r>
          </w:p>
        </w:tc>
        <w:tc>
          <w:tcPr>
            <w:tcW w:w="1129" w:type="pct"/>
            <w:tcBorders>
              <w:tl2br w:val="nil"/>
              <w:tr2bl w:val="nil"/>
            </w:tcBorders>
            <w:vAlign w:val="center"/>
          </w:tcPr>
          <w:p w14:paraId="6D4885AA">
            <w:pPr>
              <w:pStyle w:val="407"/>
              <w:autoSpaceDE w:val="0"/>
              <w:adjustRightInd w:val="0"/>
              <w:snapToGrid w:val="0"/>
              <w:rPr>
                <w:rFonts w:ascii="Times New Roman" w:hAnsi="Times New Roman"/>
                <w:color w:val="000000"/>
                <w:szCs w:val="21"/>
              </w:rPr>
            </w:pPr>
            <w:r>
              <w:rPr>
                <w:rFonts w:ascii="Times New Roman" w:hAnsi="Times New Roman"/>
                <w:color w:val="000000"/>
                <w:szCs w:val="21"/>
              </w:rPr>
              <w:t>本项目不属于上述地块</w:t>
            </w:r>
          </w:p>
        </w:tc>
        <w:tc>
          <w:tcPr>
            <w:tcW w:w="428" w:type="pct"/>
            <w:tcBorders>
              <w:tl2br w:val="nil"/>
              <w:tr2bl w:val="nil"/>
            </w:tcBorders>
            <w:vAlign w:val="center"/>
          </w:tcPr>
          <w:p w14:paraId="298BE295">
            <w:pPr>
              <w:autoSpaceDE w:val="0"/>
              <w:spacing w:line="240" w:lineRule="auto"/>
              <w:jc w:val="center"/>
              <w:rPr>
                <w:color w:val="000000"/>
                <w:sz w:val="21"/>
              </w:rPr>
            </w:pPr>
            <w:r>
              <w:rPr>
                <w:color w:val="000000"/>
                <w:sz w:val="21"/>
              </w:rPr>
              <w:t>符合</w:t>
            </w:r>
          </w:p>
        </w:tc>
      </w:tr>
      <w:tr w14:paraId="00F4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6" w:type="pct"/>
            <w:tcBorders>
              <w:tl2br w:val="nil"/>
              <w:tr2bl w:val="nil"/>
            </w:tcBorders>
            <w:vAlign w:val="center"/>
          </w:tcPr>
          <w:p w14:paraId="45E01BCE">
            <w:pPr>
              <w:spacing w:line="240" w:lineRule="auto"/>
              <w:rPr>
                <w:color w:val="000000"/>
                <w:sz w:val="21"/>
              </w:rPr>
            </w:pPr>
            <w:r>
              <w:rPr>
                <w:color w:val="000000"/>
                <w:sz w:val="21"/>
              </w:rPr>
              <w:t>《地下水管理条例》</w:t>
            </w:r>
          </w:p>
        </w:tc>
        <w:tc>
          <w:tcPr>
            <w:tcW w:w="2726" w:type="pct"/>
            <w:tcBorders>
              <w:tl2br w:val="nil"/>
              <w:tr2bl w:val="nil"/>
            </w:tcBorders>
            <w:vAlign w:val="center"/>
          </w:tcPr>
          <w:p w14:paraId="2A074E69">
            <w:pPr>
              <w:pStyle w:val="407"/>
              <w:autoSpaceDE w:val="0"/>
              <w:adjustRightInd w:val="0"/>
              <w:snapToGrid w:val="0"/>
              <w:rPr>
                <w:rFonts w:ascii="Times New Roman" w:hAnsi="Times New Roman"/>
                <w:color w:val="000000"/>
                <w:szCs w:val="21"/>
              </w:rPr>
            </w:pPr>
            <w:r>
              <w:rPr>
                <w:rFonts w:ascii="Times New Roman" w:hAnsi="Times New Roman"/>
                <w:color w:val="000000"/>
                <w:szCs w:val="21"/>
              </w:rPr>
              <w:t>第四十二条 在泉域保护范围以及岩溶强发育、存在较多落水洞和岩溶漏斗的区域内，不得新建、改建、扩建可能造成地下水污染的建设项目。</w:t>
            </w:r>
          </w:p>
        </w:tc>
        <w:tc>
          <w:tcPr>
            <w:tcW w:w="1129" w:type="pct"/>
            <w:tcBorders>
              <w:tl2br w:val="nil"/>
              <w:tr2bl w:val="nil"/>
            </w:tcBorders>
            <w:vAlign w:val="center"/>
          </w:tcPr>
          <w:p w14:paraId="11487905">
            <w:pPr>
              <w:pStyle w:val="407"/>
              <w:autoSpaceDE w:val="0"/>
              <w:adjustRightInd w:val="0"/>
              <w:snapToGrid w:val="0"/>
              <w:rPr>
                <w:rFonts w:ascii="Times New Roman" w:hAnsi="Times New Roman"/>
                <w:color w:val="000000"/>
                <w:szCs w:val="21"/>
              </w:rPr>
            </w:pPr>
            <w:r>
              <w:rPr>
                <w:rFonts w:ascii="Times New Roman" w:hAnsi="Times New Roman"/>
                <w:color w:val="000000"/>
                <w:szCs w:val="21"/>
              </w:rPr>
              <w:t>本项目区域不位于地下暗河及溶洞区，采用的原料、产品均为气体；催化剂、干燥剂均为固体，且装于密闭容器里内；地面进行重点防渗；不涉及液态化学品，做好生产废水收集管沟防渗，对地下水基本无影响。</w:t>
            </w:r>
          </w:p>
        </w:tc>
        <w:tc>
          <w:tcPr>
            <w:tcW w:w="428" w:type="pct"/>
            <w:tcBorders>
              <w:tl2br w:val="nil"/>
              <w:tr2bl w:val="nil"/>
            </w:tcBorders>
            <w:vAlign w:val="center"/>
          </w:tcPr>
          <w:p w14:paraId="0C546BB0">
            <w:pPr>
              <w:autoSpaceDE w:val="0"/>
              <w:spacing w:line="240" w:lineRule="auto"/>
              <w:jc w:val="center"/>
              <w:rPr>
                <w:color w:val="000000"/>
                <w:sz w:val="21"/>
              </w:rPr>
            </w:pPr>
            <w:r>
              <w:rPr>
                <w:color w:val="000000"/>
                <w:sz w:val="21"/>
              </w:rPr>
              <w:t>符合</w:t>
            </w:r>
          </w:p>
        </w:tc>
      </w:tr>
    </w:tbl>
    <w:p w14:paraId="392C10C4">
      <w:pPr>
        <w:pStyle w:val="785"/>
        <w:rPr>
          <w:color w:val="000000"/>
          <w:szCs w:val="24"/>
        </w:rPr>
      </w:pPr>
      <w:bookmarkStart w:id="186" w:name="_Toc500375988"/>
      <w:bookmarkStart w:id="187" w:name="_Toc489922447"/>
      <w:r>
        <w:rPr>
          <w:color w:val="000000"/>
          <w:szCs w:val="24"/>
          <w:lang w:val="en-US"/>
        </w:rPr>
        <w:t>1.6.2.2</w:t>
      </w:r>
      <w:r>
        <w:rPr>
          <w:color w:val="000000"/>
          <w:szCs w:val="24"/>
        </w:rPr>
        <w:t>项目与《中华人民共和国长江保护法》符合性分析</w:t>
      </w:r>
    </w:p>
    <w:p w14:paraId="0C3B65F8">
      <w:pPr>
        <w:ind w:firstLine="480"/>
        <w:rPr>
          <w:bCs/>
          <w:color w:val="000000"/>
        </w:rPr>
      </w:pPr>
      <w:r>
        <w:rPr>
          <w:bCs/>
          <w:color w:val="000000"/>
        </w:rPr>
        <w:t>本项目与《中华人民共和国长江保护法》符合性分析见表1.6.2-2。</w:t>
      </w:r>
    </w:p>
    <w:p w14:paraId="7332F1CD">
      <w:pPr>
        <w:pStyle w:val="68"/>
        <w:widowControl w:val="0"/>
        <w:spacing w:before="0" w:beforeAutospacing="0" w:after="0" w:afterAutospacing="0"/>
        <w:ind w:firstLine="420" w:firstLineChars="200"/>
        <w:jc w:val="center"/>
        <w:rPr>
          <w:rFonts w:ascii="Times New Roman" w:hAnsi="Times New Roman"/>
          <w:color w:val="000000"/>
          <w:sz w:val="21"/>
          <w:szCs w:val="21"/>
        </w:rPr>
      </w:pPr>
      <w:r>
        <w:rPr>
          <w:rFonts w:ascii="Times New Roman" w:hAnsi="Times New Roman"/>
          <w:color w:val="000000"/>
          <w:sz w:val="21"/>
          <w:szCs w:val="21"/>
        </w:rPr>
        <w:t>表1.6.2-2与</w:t>
      </w:r>
      <w:r>
        <w:rPr>
          <w:rFonts w:ascii="Times New Roman" w:hAnsi="Times New Roman"/>
          <w:bCs/>
          <w:color w:val="000000"/>
          <w:sz w:val="21"/>
          <w:szCs w:val="21"/>
        </w:rPr>
        <w:t>《中华人民共和国长江保护法》</w:t>
      </w:r>
      <w:r>
        <w:rPr>
          <w:rFonts w:ascii="Times New Roman" w:hAnsi="Times New Roman"/>
          <w:color w:val="000000"/>
          <w:sz w:val="21"/>
          <w:szCs w:val="21"/>
        </w:rPr>
        <w:t>符合性分析</w:t>
      </w:r>
    </w:p>
    <w:tbl>
      <w:tblPr>
        <w:tblStyle w:val="7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9"/>
        <w:gridCol w:w="3586"/>
        <w:gridCol w:w="710"/>
      </w:tblGrid>
      <w:tr w14:paraId="78C3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618C1BBD">
            <w:pPr>
              <w:widowControl w:val="0"/>
              <w:spacing w:line="240" w:lineRule="auto"/>
              <w:rPr>
                <w:color w:val="000000"/>
                <w:sz w:val="21"/>
              </w:rPr>
            </w:pPr>
            <w:r>
              <w:rPr>
                <w:color w:val="000000"/>
                <w:sz w:val="21"/>
              </w:rPr>
              <w:t>中华人民共和国长江保护法</w:t>
            </w:r>
          </w:p>
        </w:tc>
        <w:tc>
          <w:tcPr>
            <w:tcW w:w="1979" w:type="pct"/>
            <w:vAlign w:val="center"/>
          </w:tcPr>
          <w:p w14:paraId="26D95B60">
            <w:pPr>
              <w:widowControl w:val="0"/>
              <w:spacing w:line="240" w:lineRule="auto"/>
              <w:rPr>
                <w:color w:val="000000"/>
                <w:sz w:val="21"/>
              </w:rPr>
            </w:pPr>
            <w:r>
              <w:rPr>
                <w:color w:val="000000"/>
                <w:sz w:val="21"/>
              </w:rPr>
              <w:t>本项目情况</w:t>
            </w:r>
          </w:p>
        </w:tc>
        <w:tc>
          <w:tcPr>
            <w:tcW w:w="392" w:type="pct"/>
            <w:vAlign w:val="center"/>
          </w:tcPr>
          <w:p w14:paraId="4C996671">
            <w:pPr>
              <w:widowControl w:val="0"/>
              <w:spacing w:line="240" w:lineRule="auto"/>
              <w:rPr>
                <w:color w:val="000000"/>
                <w:sz w:val="21"/>
              </w:rPr>
            </w:pPr>
            <w:r>
              <w:rPr>
                <w:color w:val="000000"/>
                <w:sz w:val="21"/>
              </w:rPr>
              <w:t>符合性</w:t>
            </w:r>
          </w:p>
        </w:tc>
      </w:tr>
      <w:tr w14:paraId="0463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5F297CEC">
            <w:pPr>
              <w:widowControl w:val="0"/>
              <w:spacing w:line="240" w:lineRule="auto"/>
              <w:rPr>
                <w:color w:val="000000"/>
                <w:sz w:val="21"/>
              </w:rPr>
            </w:pPr>
            <w:r>
              <w:rPr>
                <w:color w:val="000000"/>
                <w:sz w:val="21"/>
              </w:rPr>
              <w:t>第二十二条：禁止在长江流域重点生态功能区布局对生态系统有严重影响的产业。禁止重污染企业和项目向长江中上游转移。</w:t>
            </w:r>
          </w:p>
        </w:tc>
        <w:tc>
          <w:tcPr>
            <w:tcW w:w="1979" w:type="pct"/>
            <w:vAlign w:val="center"/>
          </w:tcPr>
          <w:p w14:paraId="6CA83551">
            <w:pPr>
              <w:widowControl w:val="0"/>
              <w:spacing w:line="240" w:lineRule="auto"/>
              <w:rPr>
                <w:color w:val="000000"/>
                <w:sz w:val="21"/>
              </w:rPr>
            </w:pPr>
            <w:r>
              <w:rPr>
                <w:color w:val="000000"/>
                <w:sz w:val="21"/>
              </w:rPr>
              <w:t>本项目属于C2619其他基础化学原料制造，不属于对生态系统有严重影响的产业，不属于重污染企业。</w:t>
            </w:r>
          </w:p>
        </w:tc>
        <w:tc>
          <w:tcPr>
            <w:tcW w:w="392" w:type="pct"/>
            <w:vAlign w:val="center"/>
          </w:tcPr>
          <w:p w14:paraId="39E81480">
            <w:pPr>
              <w:widowControl w:val="0"/>
              <w:spacing w:line="240" w:lineRule="auto"/>
              <w:rPr>
                <w:color w:val="000000"/>
                <w:sz w:val="21"/>
              </w:rPr>
            </w:pPr>
            <w:r>
              <w:rPr>
                <w:color w:val="000000"/>
                <w:sz w:val="21"/>
              </w:rPr>
              <w:t>符合</w:t>
            </w:r>
          </w:p>
        </w:tc>
      </w:tr>
      <w:tr w14:paraId="2DEA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659E76F9">
            <w:pPr>
              <w:widowControl w:val="0"/>
              <w:spacing w:line="240" w:lineRule="auto"/>
              <w:rPr>
                <w:color w:val="000000"/>
                <w:sz w:val="21"/>
              </w:rPr>
            </w:pPr>
            <w:r>
              <w:rPr>
                <w:color w:val="000000"/>
                <w:sz w:val="21"/>
              </w:rPr>
              <w:t>第二十六条：禁止在长江干流岸线一公里范围内新建、扩建化工园区和化工项目。禁止在长江干流岸线三公里范围内和重要支流岸线一公里范围内新建、改建、扩建尾矿库；但是以提升安全、生态环境保护水平为目的的改建除外。</w:t>
            </w:r>
          </w:p>
        </w:tc>
        <w:tc>
          <w:tcPr>
            <w:tcW w:w="1979" w:type="pct"/>
            <w:vAlign w:val="center"/>
          </w:tcPr>
          <w:p w14:paraId="74D5220A">
            <w:pPr>
              <w:widowControl w:val="0"/>
              <w:spacing w:line="240" w:lineRule="auto"/>
              <w:rPr>
                <w:color w:val="000000"/>
                <w:sz w:val="21"/>
              </w:rPr>
            </w:pPr>
            <w:r>
              <w:rPr>
                <w:color w:val="000000"/>
                <w:sz w:val="21"/>
              </w:rPr>
              <w:t>项目不在长江干流一公里范围内，不建设尾矿库</w:t>
            </w:r>
          </w:p>
        </w:tc>
        <w:tc>
          <w:tcPr>
            <w:tcW w:w="392" w:type="pct"/>
            <w:vAlign w:val="center"/>
          </w:tcPr>
          <w:p w14:paraId="6DCE7D3E">
            <w:pPr>
              <w:widowControl w:val="0"/>
              <w:spacing w:line="240" w:lineRule="auto"/>
              <w:rPr>
                <w:color w:val="000000"/>
                <w:sz w:val="21"/>
              </w:rPr>
            </w:pPr>
            <w:r>
              <w:rPr>
                <w:color w:val="000000"/>
                <w:sz w:val="21"/>
              </w:rPr>
              <w:t>符合</w:t>
            </w:r>
          </w:p>
        </w:tc>
      </w:tr>
      <w:tr w14:paraId="1CCF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07992DB2">
            <w:pPr>
              <w:widowControl w:val="0"/>
              <w:spacing w:line="240" w:lineRule="auto"/>
              <w:rPr>
                <w:color w:val="000000"/>
                <w:sz w:val="21"/>
              </w:rPr>
            </w:pPr>
            <w:r>
              <w:rPr>
                <w:color w:val="000000"/>
                <w:sz w:val="21"/>
              </w:rPr>
              <w:t>第五十条：长江流域县级以上地方人民政府应当组织对沿河湖垃圾填埋场、加油站、矿山、尾矿库、危险废物处置场、化工园区和化工项目等地下水重点污染源及周边地下水环境风险隐患开展调查评估，并采取相应风险防范和整治措施。</w:t>
            </w:r>
          </w:p>
        </w:tc>
        <w:tc>
          <w:tcPr>
            <w:tcW w:w="1979" w:type="pct"/>
            <w:vAlign w:val="center"/>
          </w:tcPr>
          <w:p w14:paraId="3C26A840">
            <w:pPr>
              <w:widowControl w:val="0"/>
              <w:spacing w:line="240" w:lineRule="auto"/>
              <w:rPr>
                <w:color w:val="000000"/>
                <w:sz w:val="21"/>
              </w:rPr>
            </w:pPr>
            <w:r>
              <w:rPr>
                <w:color w:val="000000"/>
                <w:sz w:val="21"/>
              </w:rPr>
              <w:t>本项目为BOG尾气提氦工程，不涉及有毒有害物质，对地下水环境风险隐患较小</w:t>
            </w:r>
          </w:p>
        </w:tc>
        <w:tc>
          <w:tcPr>
            <w:tcW w:w="392" w:type="pct"/>
            <w:vAlign w:val="center"/>
          </w:tcPr>
          <w:p w14:paraId="48510FA9">
            <w:pPr>
              <w:widowControl w:val="0"/>
              <w:spacing w:line="240" w:lineRule="auto"/>
              <w:rPr>
                <w:color w:val="000000"/>
                <w:sz w:val="21"/>
              </w:rPr>
            </w:pPr>
            <w:r>
              <w:rPr>
                <w:color w:val="000000"/>
                <w:sz w:val="21"/>
              </w:rPr>
              <w:t>符合</w:t>
            </w:r>
          </w:p>
        </w:tc>
      </w:tr>
      <w:tr w14:paraId="49CC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1737FB76">
            <w:pPr>
              <w:widowControl w:val="0"/>
              <w:spacing w:line="240" w:lineRule="auto"/>
              <w:rPr>
                <w:color w:val="000000"/>
                <w:sz w:val="21"/>
              </w:rPr>
            </w:pPr>
            <w:r>
              <w:rPr>
                <w:color w:val="000000"/>
                <w:sz w:val="21"/>
              </w:rPr>
              <w:t>第六十六条：长江流域县级以上地方人民政府应当推动钢铁、石油、化工、有色金属、建材、船舶等产业升级改造，提升技术装备水平；推动造纸、制革、电镀、印染、有色金属、农药、氮肥、焦化、原料药制造等企业实施清洁化改造。企业应当通过技术创新减少资源消耗和污染物排放。</w:t>
            </w:r>
          </w:p>
        </w:tc>
        <w:tc>
          <w:tcPr>
            <w:tcW w:w="1979" w:type="pct"/>
            <w:vAlign w:val="center"/>
          </w:tcPr>
          <w:p w14:paraId="735CDA5E">
            <w:pPr>
              <w:widowControl w:val="0"/>
              <w:spacing w:line="240" w:lineRule="auto"/>
              <w:rPr>
                <w:color w:val="000000"/>
                <w:sz w:val="21"/>
              </w:rPr>
            </w:pPr>
            <w:r>
              <w:rPr>
                <w:color w:val="000000"/>
                <w:sz w:val="21"/>
              </w:rPr>
              <w:t>本项目为BOG尾气提氦工程，采用国内先进工艺和装备，减少了资源消耗和污染物排放</w:t>
            </w:r>
          </w:p>
        </w:tc>
        <w:tc>
          <w:tcPr>
            <w:tcW w:w="392" w:type="pct"/>
            <w:vAlign w:val="center"/>
          </w:tcPr>
          <w:p w14:paraId="294D942B">
            <w:pPr>
              <w:widowControl w:val="0"/>
              <w:spacing w:line="240" w:lineRule="auto"/>
              <w:rPr>
                <w:color w:val="000000"/>
                <w:sz w:val="21"/>
              </w:rPr>
            </w:pPr>
            <w:r>
              <w:rPr>
                <w:color w:val="000000"/>
                <w:sz w:val="21"/>
              </w:rPr>
              <w:t>符合</w:t>
            </w:r>
          </w:p>
        </w:tc>
      </w:tr>
      <w:tr w14:paraId="09F8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1068113E">
            <w:pPr>
              <w:widowControl w:val="0"/>
              <w:spacing w:line="240" w:lineRule="auto"/>
              <w:rPr>
                <w:color w:val="000000"/>
                <w:sz w:val="21"/>
              </w:rPr>
            </w:pPr>
            <w:r>
              <w:rPr>
                <w:color w:val="000000"/>
                <w:sz w:val="21"/>
              </w:rPr>
              <w:t>第六十八条：国家鼓励和支持在长江流域实施重点行业和重点用水单位节水技术改造，提高水资源利用效率</w:t>
            </w:r>
          </w:p>
        </w:tc>
        <w:tc>
          <w:tcPr>
            <w:tcW w:w="1979" w:type="pct"/>
            <w:vAlign w:val="center"/>
          </w:tcPr>
          <w:p w14:paraId="36410E0D">
            <w:pPr>
              <w:widowControl w:val="0"/>
              <w:spacing w:line="240" w:lineRule="auto"/>
              <w:rPr>
                <w:color w:val="000000"/>
                <w:sz w:val="21"/>
              </w:rPr>
            </w:pPr>
            <w:r>
              <w:rPr>
                <w:color w:val="000000"/>
                <w:sz w:val="21"/>
              </w:rPr>
              <w:t>项目采用冷却循环水系统，节约了用水</w:t>
            </w:r>
          </w:p>
        </w:tc>
        <w:tc>
          <w:tcPr>
            <w:tcW w:w="392" w:type="pct"/>
            <w:vAlign w:val="center"/>
          </w:tcPr>
          <w:p w14:paraId="6F9D6B27">
            <w:pPr>
              <w:widowControl w:val="0"/>
              <w:spacing w:line="240" w:lineRule="auto"/>
              <w:rPr>
                <w:color w:val="000000"/>
                <w:sz w:val="21"/>
              </w:rPr>
            </w:pPr>
            <w:r>
              <w:rPr>
                <w:color w:val="000000"/>
                <w:sz w:val="21"/>
              </w:rPr>
              <w:t>符合</w:t>
            </w:r>
          </w:p>
        </w:tc>
      </w:tr>
    </w:tbl>
    <w:p w14:paraId="4A3EDFE0">
      <w:pPr>
        <w:pStyle w:val="68"/>
        <w:widowControl w:val="0"/>
        <w:spacing w:before="0" w:beforeAutospacing="0" w:after="0" w:afterAutospacing="0" w:line="360" w:lineRule="auto"/>
        <w:ind w:firstLine="480" w:firstLineChars="200"/>
        <w:rPr>
          <w:rFonts w:ascii="Times New Roman" w:hAnsi="Times New Roman"/>
          <w:bCs/>
          <w:color w:val="000000"/>
          <w:kern w:val="2"/>
          <w:szCs w:val="21"/>
        </w:rPr>
      </w:pPr>
      <w:r>
        <w:rPr>
          <w:rFonts w:ascii="Times New Roman" w:hAnsi="Times New Roman"/>
          <w:bCs/>
          <w:color w:val="000000"/>
          <w:kern w:val="2"/>
          <w:szCs w:val="21"/>
        </w:rPr>
        <w:t>根据表1.6.2-2，本项目与《中华人民共和国长江保护法》要求相符。</w:t>
      </w:r>
    </w:p>
    <w:p w14:paraId="6219DB00">
      <w:pPr>
        <w:pStyle w:val="68"/>
        <w:widowControl w:val="0"/>
        <w:spacing w:before="0" w:beforeAutospacing="0" w:after="0" w:afterAutospacing="0" w:line="360" w:lineRule="auto"/>
        <w:jc w:val="both"/>
        <w:rPr>
          <w:rFonts w:ascii="Times New Roman" w:hAnsi="Times New Roman"/>
          <w:b/>
          <w:bCs/>
          <w:color w:val="000000"/>
          <w:sz w:val="21"/>
          <w:szCs w:val="21"/>
        </w:rPr>
      </w:pPr>
      <w:r>
        <w:rPr>
          <w:rFonts w:ascii="Times New Roman" w:hAnsi="Times New Roman"/>
          <w:bCs/>
          <w:color w:val="000000"/>
          <w:kern w:val="2"/>
        </w:rPr>
        <w:t>1.6.2.3与《长江经济带发展负面清单指南（试行，2022年版）》符合性分析</w:t>
      </w:r>
    </w:p>
    <w:p w14:paraId="2E814806">
      <w:pPr>
        <w:pStyle w:val="68"/>
        <w:widowControl w:val="0"/>
        <w:spacing w:before="0" w:beforeAutospacing="0" w:after="0" w:afterAutospacing="0" w:line="360" w:lineRule="auto"/>
        <w:jc w:val="both"/>
        <w:rPr>
          <w:rFonts w:ascii="Times New Roman" w:hAnsi="Times New Roman"/>
          <w:color w:val="000000"/>
          <w:sz w:val="21"/>
          <w:szCs w:val="21"/>
        </w:rPr>
      </w:pPr>
      <w:r>
        <w:rPr>
          <w:rFonts w:ascii="Times New Roman" w:hAnsi="Times New Roman"/>
          <w:b/>
          <w:bCs/>
          <w:color w:val="000000"/>
          <w:sz w:val="21"/>
          <w:szCs w:val="21"/>
        </w:rPr>
        <w:t xml:space="preserve"> </w:t>
      </w:r>
      <w:r>
        <w:rPr>
          <w:rFonts w:ascii="Times New Roman" w:hAnsi="Times New Roman"/>
          <w:bCs/>
          <w:color w:val="000000"/>
          <w:kern w:val="2"/>
          <w:szCs w:val="21"/>
        </w:rPr>
        <w:t xml:space="preserve">   本项目与《长江经济带发展负面清单指南（试行，2022年版）》符合性分析见表1.6.2-3。</w:t>
      </w:r>
    </w:p>
    <w:p w14:paraId="4F8AF08E">
      <w:pPr>
        <w:pStyle w:val="68"/>
        <w:widowControl w:val="0"/>
        <w:spacing w:before="0" w:beforeAutospacing="0" w:after="0" w:afterAutospacing="0" w:line="360" w:lineRule="auto"/>
        <w:ind w:firstLine="420" w:firstLineChars="200"/>
        <w:jc w:val="center"/>
        <w:rPr>
          <w:rFonts w:ascii="Times New Roman" w:hAnsi="Times New Roman"/>
          <w:color w:val="000000"/>
          <w:sz w:val="21"/>
          <w:szCs w:val="21"/>
        </w:rPr>
      </w:pPr>
      <w:r>
        <w:rPr>
          <w:rFonts w:ascii="Times New Roman" w:hAnsi="Times New Roman"/>
          <w:color w:val="000000"/>
          <w:sz w:val="21"/>
          <w:szCs w:val="21"/>
        </w:rPr>
        <w:t>表1.6.2-3  与《长江经济带发展负面清单指南（试行，2022年版）》符合性分析</w:t>
      </w:r>
    </w:p>
    <w:tbl>
      <w:tblPr>
        <w:tblStyle w:val="7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9"/>
        <w:gridCol w:w="3586"/>
        <w:gridCol w:w="710"/>
      </w:tblGrid>
      <w:tr w14:paraId="4CCE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0F0002A3">
            <w:pPr>
              <w:widowControl w:val="0"/>
              <w:spacing w:line="240" w:lineRule="auto"/>
              <w:ind w:firstLine="420" w:firstLineChars="200"/>
              <w:rPr>
                <w:color w:val="000000"/>
                <w:sz w:val="21"/>
              </w:rPr>
            </w:pPr>
            <w:r>
              <w:rPr>
                <w:color w:val="000000"/>
                <w:sz w:val="21"/>
              </w:rPr>
              <w:t>负面清单指南（2022年版）</w:t>
            </w:r>
          </w:p>
        </w:tc>
        <w:tc>
          <w:tcPr>
            <w:tcW w:w="1979" w:type="pct"/>
            <w:vAlign w:val="center"/>
          </w:tcPr>
          <w:p w14:paraId="67241B28">
            <w:pPr>
              <w:widowControl w:val="0"/>
              <w:spacing w:line="240" w:lineRule="auto"/>
              <w:ind w:firstLine="420" w:firstLineChars="200"/>
              <w:rPr>
                <w:color w:val="000000"/>
                <w:sz w:val="21"/>
              </w:rPr>
            </w:pPr>
            <w:r>
              <w:rPr>
                <w:color w:val="000000"/>
                <w:sz w:val="21"/>
              </w:rPr>
              <w:t>本项目情况</w:t>
            </w:r>
          </w:p>
        </w:tc>
        <w:tc>
          <w:tcPr>
            <w:tcW w:w="392" w:type="pct"/>
            <w:vAlign w:val="center"/>
          </w:tcPr>
          <w:p w14:paraId="75B05FB6">
            <w:pPr>
              <w:widowControl w:val="0"/>
              <w:spacing w:line="240" w:lineRule="auto"/>
              <w:rPr>
                <w:color w:val="000000"/>
                <w:sz w:val="21"/>
              </w:rPr>
            </w:pPr>
            <w:r>
              <w:rPr>
                <w:color w:val="000000"/>
                <w:sz w:val="21"/>
              </w:rPr>
              <w:t>符合性</w:t>
            </w:r>
          </w:p>
        </w:tc>
      </w:tr>
      <w:tr w14:paraId="4653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16AACFD9">
            <w:pPr>
              <w:widowControl w:val="0"/>
              <w:spacing w:line="240" w:lineRule="auto"/>
              <w:rPr>
                <w:color w:val="000000"/>
                <w:sz w:val="21"/>
              </w:rPr>
            </w:pPr>
            <w:r>
              <w:rPr>
                <w:color w:val="000000"/>
                <w:sz w:val="21"/>
              </w:rPr>
              <w:t>禁止建设不符合全国和省级港口布局规划以及港口总体规划的码头项目，禁止建设不符合《长江干线过江通道布局规划》的过长江通道项目</w:t>
            </w:r>
          </w:p>
        </w:tc>
        <w:tc>
          <w:tcPr>
            <w:tcW w:w="1979" w:type="pct"/>
            <w:vAlign w:val="center"/>
          </w:tcPr>
          <w:p w14:paraId="262B0227">
            <w:pPr>
              <w:widowControl w:val="0"/>
              <w:spacing w:line="240" w:lineRule="auto"/>
              <w:rPr>
                <w:color w:val="000000"/>
                <w:sz w:val="21"/>
              </w:rPr>
            </w:pPr>
            <w:r>
              <w:rPr>
                <w:color w:val="000000"/>
                <w:sz w:val="21"/>
              </w:rPr>
              <w:t>本项目属于C2619其他基础化学原料制造，不属于码头、过长江通道项目</w:t>
            </w:r>
          </w:p>
        </w:tc>
        <w:tc>
          <w:tcPr>
            <w:tcW w:w="392" w:type="pct"/>
            <w:vAlign w:val="center"/>
          </w:tcPr>
          <w:p w14:paraId="038F1F4C">
            <w:pPr>
              <w:widowControl w:val="0"/>
              <w:spacing w:line="240" w:lineRule="auto"/>
              <w:rPr>
                <w:color w:val="000000"/>
                <w:sz w:val="21"/>
              </w:rPr>
            </w:pPr>
            <w:r>
              <w:rPr>
                <w:color w:val="000000"/>
                <w:sz w:val="21"/>
              </w:rPr>
              <w:t>符合</w:t>
            </w:r>
          </w:p>
        </w:tc>
      </w:tr>
      <w:tr w14:paraId="5262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4B8A6A00">
            <w:pPr>
              <w:widowControl w:val="0"/>
              <w:spacing w:line="240" w:lineRule="auto"/>
              <w:rPr>
                <w:color w:val="000000"/>
                <w:sz w:val="21"/>
              </w:rPr>
            </w:pPr>
            <w:r>
              <w:rPr>
                <w:color w:val="000000"/>
                <w:sz w:val="21"/>
              </w:rPr>
              <w:t>禁止在自然保护区核心区、缓冲区的岸线和河段范围内投资建设旅游和生产经营项目。禁止在风景名胜区核心景区的岸线和河段范围内投资建设与风景名胜资源保护无关的项目</w:t>
            </w:r>
          </w:p>
        </w:tc>
        <w:tc>
          <w:tcPr>
            <w:tcW w:w="1979" w:type="pct"/>
            <w:vAlign w:val="center"/>
          </w:tcPr>
          <w:p w14:paraId="21C0FDAB">
            <w:pPr>
              <w:widowControl w:val="0"/>
              <w:spacing w:line="240" w:lineRule="auto"/>
              <w:rPr>
                <w:color w:val="000000"/>
                <w:sz w:val="21"/>
              </w:rPr>
            </w:pPr>
            <w:r>
              <w:rPr>
                <w:color w:val="000000"/>
                <w:sz w:val="21"/>
              </w:rPr>
              <w:t>项目位于涪陵白涛工业园涪陵LNG工厂内，不位于自然保护区核心区、缓冲区、风景名胜区核心景区的岸线和河段范围</w:t>
            </w:r>
          </w:p>
        </w:tc>
        <w:tc>
          <w:tcPr>
            <w:tcW w:w="392" w:type="pct"/>
            <w:vAlign w:val="center"/>
          </w:tcPr>
          <w:p w14:paraId="0AFF0D8F">
            <w:pPr>
              <w:widowControl w:val="0"/>
              <w:spacing w:line="240" w:lineRule="auto"/>
              <w:rPr>
                <w:color w:val="000000"/>
                <w:sz w:val="21"/>
              </w:rPr>
            </w:pPr>
            <w:r>
              <w:rPr>
                <w:color w:val="000000"/>
                <w:sz w:val="21"/>
              </w:rPr>
              <w:t>符合</w:t>
            </w:r>
          </w:p>
        </w:tc>
      </w:tr>
      <w:tr w14:paraId="0D35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6CDCD023">
            <w:pPr>
              <w:widowControl w:val="0"/>
              <w:spacing w:line="240" w:lineRule="auto"/>
              <w:rPr>
                <w:color w:val="000000"/>
                <w:sz w:val="21"/>
              </w:rPr>
            </w:pPr>
            <w:r>
              <w:rPr>
                <w:color w:val="000000"/>
                <w:sz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979" w:type="pct"/>
            <w:vAlign w:val="center"/>
          </w:tcPr>
          <w:p w14:paraId="15EC5FBD">
            <w:pPr>
              <w:widowControl w:val="0"/>
              <w:spacing w:line="240" w:lineRule="auto"/>
              <w:rPr>
                <w:color w:val="000000"/>
                <w:sz w:val="21"/>
              </w:rPr>
            </w:pPr>
            <w:r>
              <w:rPr>
                <w:color w:val="000000"/>
                <w:sz w:val="21"/>
              </w:rPr>
              <w:t>项目位于涪陵白涛工业园涪陵LNG工厂内，不在饮用水水源一级保护区和二级保护区的岸线和河段范围内</w:t>
            </w:r>
          </w:p>
        </w:tc>
        <w:tc>
          <w:tcPr>
            <w:tcW w:w="392" w:type="pct"/>
            <w:vAlign w:val="center"/>
          </w:tcPr>
          <w:p w14:paraId="19A34DF8">
            <w:pPr>
              <w:widowControl w:val="0"/>
              <w:spacing w:line="240" w:lineRule="auto"/>
              <w:rPr>
                <w:color w:val="000000"/>
                <w:sz w:val="21"/>
              </w:rPr>
            </w:pPr>
            <w:r>
              <w:rPr>
                <w:color w:val="000000"/>
                <w:sz w:val="21"/>
              </w:rPr>
              <w:t>符合</w:t>
            </w:r>
          </w:p>
        </w:tc>
      </w:tr>
      <w:tr w14:paraId="20D8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476EDA51">
            <w:pPr>
              <w:widowControl w:val="0"/>
              <w:spacing w:line="240" w:lineRule="auto"/>
              <w:rPr>
                <w:color w:val="000000"/>
                <w:sz w:val="21"/>
              </w:rPr>
            </w:pPr>
            <w:r>
              <w:rPr>
                <w:color w:val="000000"/>
                <w:sz w:val="21"/>
              </w:rPr>
              <w:t>禁止在水产种质资源保护区的岸线和河段新建围湖造田、围海造地或围填海等投资建设项目。禁止在国家湿地公园的岸线和河段范围内挖砂、采矿，以及任何不符合主体功能定位的投资建设项目</w:t>
            </w:r>
          </w:p>
        </w:tc>
        <w:tc>
          <w:tcPr>
            <w:tcW w:w="1979" w:type="pct"/>
            <w:vAlign w:val="center"/>
          </w:tcPr>
          <w:p w14:paraId="1F80DED3">
            <w:pPr>
              <w:widowControl w:val="0"/>
              <w:spacing w:line="240" w:lineRule="auto"/>
              <w:rPr>
                <w:color w:val="000000"/>
                <w:sz w:val="21"/>
              </w:rPr>
            </w:pPr>
            <w:r>
              <w:rPr>
                <w:color w:val="000000"/>
                <w:sz w:val="21"/>
              </w:rPr>
              <w:t>项目位于涪陵白涛工业园涪陵LNG工厂内，不属于水产种质资源保护区、国家湿地公园的岸线和河段范围内</w:t>
            </w:r>
          </w:p>
        </w:tc>
        <w:tc>
          <w:tcPr>
            <w:tcW w:w="392" w:type="pct"/>
            <w:vAlign w:val="center"/>
          </w:tcPr>
          <w:p w14:paraId="27D84B0C">
            <w:pPr>
              <w:widowControl w:val="0"/>
              <w:spacing w:line="240" w:lineRule="auto"/>
              <w:rPr>
                <w:color w:val="000000"/>
                <w:sz w:val="21"/>
              </w:rPr>
            </w:pPr>
            <w:r>
              <w:rPr>
                <w:color w:val="000000"/>
                <w:sz w:val="21"/>
              </w:rPr>
              <w:t>符合</w:t>
            </w:r>
          </w:p>
        </w:tc>
      </w:tr>
      <w:tr w14:paraId="6296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493143AC">
            <w:pPr>
              <w:widowControl w:val="0"/>
              <w:spacing w:line="240" w:lineRule="auto"/>
              <w:rPr>
                <w:color w:val="000000"/>
                <w:sz w:val="21"/>
              </w:rPr>
            </w:pPr>
            <w:r>
              <w:rPr>
                <w:color w:val="000000"/>
                <w:sz w:val="21"/>
              </w:rPr>
              <w:t>禁止违法利用、占用长江流域河湖岸线，禁止在《长江岸线保护和开发利用总体规划》划定的岸线保护区和保留区内投资建设除事</w:t>
            </w:r>
            <w:r>
              <w:rPr>
                <w:rFonts w:hint="eastAsia"/>
                <w:color w:val="000000"/>
                <w:sz w:val="21"/>
              </w:rPr>
              <w:t>关</w:t>
            </w:r>
            <w:r>
              <w:rPr>
                <w:color w:val="000000"/>
                <w:sz w:val="21"/>
              </w:rPr>
              <w:t>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979" w:type="pct"/>
            <w:vAlign w:val="center"/>
          </w:tcPr>
          <w:p w14:paraId="33EB8F43">
            <w:pPr>
              <w:widowControl w:val="0"/>
              <w:spacing w:line="240" w:lineRule="auto"/>
              <w:rPr>
                <w:color w:val="000000"/>
                <w:sz w:val="21"/>
              </w:rPr>
            </w:pPr>
            <w:r>
              <w:rPr>
                <w:color w:val="000000"/>
                <w:sz w:val="21"/>
              </w:rPr>
              <w:t>项目位于涪陵白涛工业园涪陵LNG工厂内，不在《长江岸线保护和开发利用总体规划》划定的岸线保护区内，不在《全国重要江河湖泊水功能区划》划定的河段保护区、保留区内</w:t>
            </w:r>
          </w:p>
        </w:tc>
        <w:tc>
          <w:tcPr>
            <w:tcW w:w="392" w:type="pct"/>
            <w:vAlign w:val="center"/>
          </w:tcPr>
          <w:p w14:paraId="6499D728">
            <w:pPr>
              <w:widowControl w:val="0"/>
              <w:spacing w:line="240" w:lineRule="auto"/>
              <w:rPr>
                <w:color w:val="000000"/>
                <w:sz w:val="21"/>
              </w:rPr>
            </w:pPr>
            <w:r>
              <w:rPr>
                <w:color w:val="000000"/>
                <w:sz w:val="21"/>
              </w:rPr>
              <w:t>符合</w:t>
            </w:r>
          </w:p>
        </w:tc>
      </w:tr>
      <w:tr w14:paraId="5A32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282FAFE0">
            <w:pPr>
              <w:widowControl w:val="0"/>
              <w:spacing w:line="240" w:lineRule="auto"/>
              <w:rPr>
                <w:color w:val="000000"/>
                <w:sz w:val="21"/>
              </w:rPr>
            </w:pPr>
            <w:r>
              <w:rPr>
                <w:color w:val="000000"/>
                <w:sz w:val="21"/>
              </w:rPr>
              <w:t>禁止未经许可在长江干支流及湖泊新设、改设或扩大排污口</w:t>
            </w:r>
          </w:p>
        </w:tc>
        <w:tc>
          <w:tcPr>
            <w:tcW w:w="1979" w:type="pct"/>
            <w:vAlign w:val="center"/>
          </w:tcPr>
          <w:p w14:paraId="25A59F69">
            <w:pPr>
              <w:widowControl w:val="0"/>
              <w:spacing w:line="240" w:lineRule="auto"/>
              <w:rPr>
                <w:color w:val="000000"/>
                <w:sz w:val="21"/>
              </w:rPr>
            </w:pPr>
            <w:r>
              <w:rPr>
                <w:color w:val="000000"/>
                <w:sz w:val="21"/>
              </w:rPr>
              <w:t>本项目利用LNG工厂现有排污口，不新设、改设或扩大排污口</w:t>
            </w:r>
          </w:p>
        </w:tc>
        <w:tc>
          <w:tcPr>
            <w:tcW w:w="392" w:type="pct"/>
            <w:vAlign w:val="center"/>
          </w:tcPr>
          <w:p w14:paraId="14F47691">
            <w:pPr>
              <w:widowControl w:val="0"/>
              <w:spacing w:line="240" w:lineRule="auto"/>
              <w:rPr>
                <w:color w:val="000000"/>
                <w:sz w:val="21"/>
              </w:rPr>
            </w:pPr>
            <w:r>
              <w:rPr>
                <w:color w:val="000000"/>
                <w:sz w:val="21"/>
              </w:rPr>
              <w:t>符合</w:t>
            </w:r>
          </w:p>
        </w:tc>
      </w:tr>
      <w:tr w14:paraId="4478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3B00FFDD">
            <w:pPr>
              <w:widowControl w:val="0"/>
              <w:spacing w:line="240" w:lineRule="auto"/>
              <w:rPr>
                <w:color w:val="000000"/>
                <w:sz w:val="21"/>
              </w:rPr>
            </w:pPr>
            <w:r>
              <w:rPr>
                <w:color w:val="000000"/>
                <w:sz w:val="21"/>
              </w:rPr>
              <w:t>禁止在“一江一口两湖七河”和322个水生生物保护区开展生产性捕捞</w:t>
            </w:r>
          </w:p>
        </w:tc>
        <w:tc>
          <w:tcPr>
            <w:tcW w:w="1979" w:type="pct"/>
            <w:vAlign w:val="center"/>
          </w:tcPr>
          <w:p w14:paraId="6DCD7723">
            <w:pPr>
              <w:widowControl w:val="0"/>
              <w:spacing w:line="240" w:lineRule="auto"/>
              <w:rPr>
                <w:color w:val="000000"/>
                <w:sz w:val="21"/>
              </w:rPr>
            </w:pPr>
            <w:r>
              <w:rPr>
                <w:color w:val="000000"/>
                <w:sz w:val="21"/>
              </w:rPr>
              <w:t>本项目不涉及捕捞</w:t>
            </w:r>
          </w:p>
        </w:tc>
        <w:tc>
          <w:tcPr>
            <w:tcW w:w="392" w:type="pct"/>
            <w:vAlign w:val="center"/>
          </w:tcPr>
          <w:p w14:paraId="375F92EA">
            <w:pPr>
              <w:widowControl w:val="0"/>
              <w:spacing w:line="240" w:lineRule="auto"/>
              <w:rPr>
                <w:color w:val="000000"/>
                <w:sz w:val="21"/>
              </w:rPr>
            </w:pPr>
            <w:r>
              <w:rPr>
                <w:color w:val="000000"/>
                <w:sz w:val="21"/>
              </w:rPr>
              <w:t>符合</w:t>
            </w:r>
          </w:p>
        </w:tc>
      </w:tr>
      <w:tr w14:paraId="503D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267F1249">
            <w:pPr>
              <w:widowControl w:val="0"/>
              <w:spacing w:line="240" w:lineRule="auto"/>
              <w:rPr>
                <w:color w:val="000000"/>
                <w:sz w:val="21"/>
              </w:rPr>
            </w:pPr>
            <w:r>
              <w:rPr>
                <w:color w:val="000000"/>
                <w:sz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979" w:type="pct"/>
            <w:vAlign w:val="center"/>
          </w:tcPr>
          <w:p w14:paraId="0FF7F4E6">
            <w:pPr>
              <w:widowControl w:val="0"/>
              <w:spacing w:line="240" w:lineRule="auto"/>
              <w:rPr>
                <w:color w:val="000000"/>
                <w:sz w:val="21"/>
              </w:rPr>
            </w:pPr>
            <w:r>
              <w:rPr>
                <w:color w:val="000000"/>
                <w:sz w:val="21"/>
              </w:rPr>
              <w:t>本项目位于现有涪陵白涛工业园，本项目为BOG尾气提氦项目，不位于长江及白涛后溪河1公里范围内，不建设尾矿库、冶炼渣库和磷石膏库等</w:t>
            </w:r>
          </w:p>
        </w:tc>
        <w:tc>
          <w:tcPr>
            <w:tcW w:w="392" w:type="pct"/>
            <w:vAlign w:val="center"/>
          </w:tcPr>
          <w:p w14:paraId="051191DD">
            <w:pPr>
              <w:widowControl w:val="0"/>
              <w:spacing w:line="240" w:lineRule="auto"/>
              <w:rPr>
                <w:color w:val="000000"/>
                <w:sz w:val="21"/>
              </w:rPr>
            </w:pPr>
            <w:r>
              <w:rPr>
                <w:color w:val="000000"/>
                <w:sz w:val="21"/>
              </w:rPr>
              <w:t>符合</w:t>
            </w:r>
          </w:p>
        </w:tc>
      </w:tr>
      <w:tr w14:paraId="55FF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3B149784">
            <w:pPr>
              <w:widowControl w:val="0"/>
              <w:spacing w:line="240" w:lineRule="auto"/>
              <w:rPr>
                <w:color w:val="000000"/>
                <w:sz w:val="21"/>
              </w:rPr>
            </w:pPr>
            <w:r>
              <w:rPr>
                <w:color w:val="000000"/>
                <w:sz w:val="21"/>
              </w:rPr>
              <w:t>禁止在合规园区外新建、扩建钢铁、石化、化工、焦化、建材、有色、钢浆造纸等高污染项目。</w:t>
            </w:r>
          </w:p>
        </w:tc>
        <w:tc>
          <w:tcPr>
            <w:tcW w:w="1979" w:type="pct"/>
            <w:vAlign w:val="center"/>
          </w:tcPr>
          <w:p w14:paraId="0ADC3607">
            <w:pPr>
              <w:widowControl w:val="0"/>
              <w:spacing w:line="240" w:lineRule="auto"/>
              <w:rPr>
                <w:color w:val="000000"/>
                <w:sz w:val="21"/>
              </w:rPr>
            </w:pPr>
            <w:r>
              <w:rPr>
                <w:color w:val="000000"/>
                <w:sz w:val="21"/>
              </w:rPr>
              <w:t>本项目位于现有涪陵白涛工业园，在合规园区内</w:t>
            </w:r>
          </w:p>
        </w:tc>
        <w:tc>
          <w:tcPr>
            <w:tcW w:w="392" w:type="pct"/>
            <w:vAlign w:val="center"/>
          </w:tcPr>
          <w:p w14:paraId="57F946B3">
            <w:pPr>
              <w:widowControl w:val="0"/>
              <w:spacing w:line="240" w:lineRule="auto"/>
              <w:rPr>
                <w:color w:val="000000"/>
                <w:sz w:val="21"/>
              </w:rPr>
            </w:pPr>
            <w:r>
              <w:rPr>
                <w:color w:val="000000"/>
                <w:sz w:val="21"/>
              </w:rPr>
              <w:t>符合</w:t>
            </w:r>
          </w:p>
        </w:tc>
      </w:tr>
      <w:tr w14:paraId="6642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413F0B0D">
            <w:pPr>
              <w:widowControl w:val="0"/>
              <w:spacing w:line="240" w:lineRule="auto"/>
              <w:rPr>
                <w:color w:val="000000"/>
                <w:sz w:val="21"/>
              </w:rPr>
            </w:pPr>
            <w:r>
              <w:rPr>
                <w:color w:val="000000"/>
                <w:sz w:val="21"/>
              </w:rPr>
              <w:t>禁止新建、扩建不符合国家石化、现代煤化工等产业布局规划的项目</w:t>
            </w:r>
          </w:p>
        </w:tc>
        <w:tc>
          <w:tcPr>
            <w:tcW w:w="1979" w:type="pct"/>
            <w:vAlign w:val="center"/>
          </w:tcPr>
          <w:p w14:paraId="1BA422A7">
            <w:pPr>
              <w:widowControl w:val="0"/>
              <w:spacing w:line="240" w:lineRule="auto"/>
              <w:rPr>
                <w:color w:val="000000"/>
                <w:sz w:val="21"/>
              </w:rPr>
            </w:pPr>
            <w:r>
              <w:rPr>
                <w:color w:val="000000"/>
                <w:sz w:val="21"/>
              </w:rPr>
              <w:t>项目不属于不符合国家石化、现代煤化工等产业布局规划的项目</w:t>
            </w:r>
          </w:p>
        </w:tc>
        <w:tc>
          <w:tcPr>
            <w:tcW w:w="392" w:type="pct"/>
            <w:vAlign w:val="center"/>
          </w:tcPr>
          <w:p w14:paraId="41789534">
            <w:pPr>
              <w:widowControl w:val="0"/>
              <w:spacing w:line="240" w:lineRule="auto"/>
              <w:rPr>
                <w:color w:val="000000"/>
                <w:sz w:val="21"/>
              </w:rPr>
            </w:pPr>
            <w:r>
              <w:rPr>
                <w:color w:val="000000"/>
                <w:sz w:val="21"/>
              </w:rPr>
              <w:t>符合</w:t>
            </w:r>
          </w:p>
        </w:tc>
      </w:tr>
      <w:tr w14:paraId="6AD9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pct"/>
            <w:vAlign w:val="center"/>
          </w:tcPr>
          <w:p w14:paraId="135C175A">
            <w:pPr>
              <w:widowControl w:val="0"/>
              <w:spacing w:line="240" w:lineRule="auto"/>
              <w:rPr>
                <w:color w:val="000000"/>
                <w:sz w:val="21"/>
              </w:rPr>
            </w:pPr>
            <w:r>
              <w:rPr>
                <w:color w:val="000000"/>
                <w:sz w:val="21"/>
              </w:rPr>
              <w:t>禁止新建，扩建法律法规和相关政策明令禁止的落后产能项目。禁止新建、扩建不符合国家产能置换要求的严重过剩产能行业的项目。禁止新建、扩建不符合要求的高耗能高排放项目</w:t>
            </w:r>
          </w:p>
        </w:tc>
        <w:tc>
          <w:tcPr>
            <w:tcW w:w="1979" w:type="pct"/>
            <w:vAlign w:val="center"/>
          </w:tcPr>
          <w:p w14:paraId="036C518D">
            <w:pPr>
              <w:widowControl w:val="0"/>
              <w:spacing w:line="240" w:lineRule="auto"/>
              <w:rPr>
                <w:color w:val="000000"/>
                <w:sz w:val="21"/>
              </w:rPr>
            </w:pPr>
            <w:r>
              <w:rPr>
                <w:color w:val="000000"/>
                <w:sz w:val="21"/>
              </w:rPr>
              <w:t>项目不属于法律法规和相关政策明令禁止的落后产能项目，项目不属于国家产能置换要求的严重过剩产能行业的项目，项目不属于高耗能高排放项目</w:t>
            </w:r>
          </w:p>
        </w:tc>
        <w:tc>
          <w:tcPr>
            <w:tcW w:w="392" w:type="pct"/>
            <w:vAlign w:val="center"/>
          </w:tcPr>
          <w:p w14:paraId="14BB64B7">
            <w:pPr>
              <w:widowControl w:val="0"/>
              <w:spacing w:line="240" w:lineRule="auto"/>
              <w:rPr>
                <w:color w:val="000000"/>
                <w:sz w:val="21"/>
              </w:rPr>
            </w:pPr>
            <w:r>
              <w:rPr>
                <w:color w:val="000000"/>
                <w:sz w:val="21"/>
              </w:rPr>
              <w:t>符合</w:t>
            </w:r>
          </w:p>
        </w:tc>
      </w:tr>
    </w:tbl>
    <w:p w14:paraId="1DB02DAC">
      <w:pPr>
        <w:pStyle w:val="68"/>
        <w:widowControl w:val="0"/>
        <w:spacing w:before="0" w:beforeAutospacing="0" w:after="0" w:afterAutospacing="0" w:line="360" w:lineRule="auto"/>
        <w:ind w:firstLine="480" w:firstLineChars="200"/>
        <w:rPr>
          <w:rFonts w:ascii="Times New Roman" w:hAnsi="Times New Roman"/>
          <w:bCs/>
          <w:color w:val="000000"/>
          <w:kern w:val="2"/>
          <w:szCs w:val="21"/>
        </w:rPr>
      </w:pPr>
      <w:r>
        <w:rPr>
          <w:rFonts w:ascii="Times New Roman" w:hAnsi="Times New Roman"/>
          <w:bCs/>
          <w:color w:val="000000"/>
          <w:kern w:val="2"/>
          <w:szCs w:val="21"/>
        </w:rPr>
        <w:t>根据表1.6.2-3，本项目与《长江经济带发展负面清单指南（试行，2022年版）》要求相符。</w:t>
      </w:r>
    </w:p>
    <w:p w14:paraId="3ECC48CC">
      <w:pPr>
        <w:pStyle w:val="771"/>
        <w:rPr>
          <w:color w:val="000000"/>
        </w:rPr>
      </w:pPr>
      <w:r>
        <w:rPr>
          <w:color w:val="000000"/>
        </w:rPr>
        <w:t>1.6.3 相关规划符合性分析</w:t>
      </w:r>
    </w:p>
    <w:p w14:paraId="18431157">
      <w:pPr>
        <w:pStyle w:val="785"/>
        <w:rPr>
          <w:color w:val="000000"/>
          <w:szCs w:val="24"/>
          <w:lang w:val="en-US"/>
        </w:rPr>
      </w:pPr>
      <w:r>
        <w:rPr>
          <w:color w:val="000000"/>
          <w:szCs w:val="24"/>
          <w:lang w:val="en-US"/>
        </w:rPr>
        <w:t>1.6.3.1与《重庆白涛化工园区规划修编》规划符合性</w:t>
      </w:r>
    </w:p>
    <w:p w14:paraId="2A21A5DA">
      <w:pPr>
        <w:ind w:firstLine="480" w:firstLineChars="200"/>
        <w:rPr>
          <w:color w:val="000000"/>
          <w:szCs w:val="24"/>
        </w:rPr>
      </w:pPr>
      <w:r>
        <w:rPr>
          <w:color w:val="000000"/>
          <w:szCs w:val="24"/>
        </w:rPr>
        <w:t>（1）规划基本情况</w:t>
      </w:r>
    </w:p>
    <w:p w14:paraId="2CB89064">
      <w:pPr>
        <w:ind w:firstLine="480" w:firstLineChars="200"/>
        <w:rPr>
          <w:color w:val="000000"/>
          <w:szCs w:val="24"/>
        </w:rPr>
      </w:pPr>
      <w:r>
        <w:rPr>
          <w:color w:val="000000"/>
          <w:szCs w:val="24"/>
        </w:rPr>
        <w:t>规划名称：重庆白涛化工园区规划修编。</w:t>
      </w:r>
    </w:p>
    <w:p w14:paraId="35BE1377">
      <w:pPr>
        <w:ind w:firstLine="480" w:firstLineChars="200"/>
        <w:rPr>
          <w:color w:val="000000"/>
          <w:szCs w:val="24"/>
        </w:rPr>
      </w:pPr>
      <w:r>
        <w:rPr>
          <w:color w:val="000000"/>
          <w:szCs w:val="24"/>
        </w:rPr>
        <w:t>规划面积：总规划面积15.0km</w:t>
      </w:r>
      <w:r>
        <w:rPr>
          <w:color w:val="000000"/>
          <w:szCs w:val="24"/>
          <w:vertAlign w:val="superscript"/>
        </w:rPr>
        <w:t>2</w:t>
      </w:r>
      <w:r>
        <w:rPr>
          <w:color w:val="000000"/>
          <w:szCs w:val="24"/>
        </w:rPr>
        <w:t>，其中建设用地面积13.04km</w:t>
      </w:r>
      <w:r>
        <w:rPr>
          <w:color w:val="000000"/>
          <w:szCs w:val="24"/>
          <w:vertAlign w:val="superscript"/>
        </w:rPr>
        <w:t>2</w:t>
      </w:r>
      <w:r>
        <w:rPr>
          <w:color w:val="000000"/>
          <w:szCs w:val="24"/>
        </w:rPr>
        <w:t>。</w:t>
      </w:r>
    </w:p>
    <w:p w14:paraId="7DDC2472">
      <w:pPr>
        <w:ind w:firstLine="480" w:firstLineChars="200"/>
        <w:rPr>
          <w:color w:val="000000"/>
          <w:szCs w:val="24"/>
        </w:rPr>
      </w:pPr>
      <w:r>
        <w:rPr>
          <w:color w:val="000000"/>
          <w:szCs w:val="24"/>
        </w:rPr>
        <w:t>四至范围：规划区西起乌江边界，东至白涛街道山窝场镇，北至规划铁路编组站沿线，南至后溪河以南规划道路。</w:t>
      </w:r>
    </w:p>
    <w:p w14:paraId="1F81758E">
      <w:pPr>
        <w:ind w:firstLine="480" w:firstLineChars="200"/>
        <w:rPr>
          <w:color w:val="000000"/>
          <w:szCs w:val="24"/>
        </w:rPr>
      </w:pPr>
      <w:r>
        <w:rPr>
          <w:color w:val="000000"/>
          <w:szCs w:val="24"/>
        </w:rPr>
        <w:t>地理位置：重庆白涛化工园区位于重庆市白涛街道的王家坝片区，地处乌江东岸，距白涛老街1.5km（直线距离），新街约2.5km（乌江西岸），距涪陵城区约26km，距在建的渝怀铁路白涛火车站约3km，距其现有码头作业区约1km。</w:t>
      </w:r>
    </w:p>
    <w:p w14:paraId="1964E228">
      <w:pPr>
        <w:ind w:firstLine="480" w:firstLineChars="200"/>
        <w:rPr>
          <w:color w:val="000000"/>
          <w:szCs w:val="24"/>
        </w:rPr>
      </w:pPr>
      <w:r>
        <w:rPr>
          <w:color w:val="000000"/>
          <w:szCs w:val="24"/>
        </w:rPr>
        <w:t>发展目标：白涛化工园区主要发展天然气化工、氯氟化工及石油化工下游产品，将园区规划建设成为产业链完整，配套设施完善，产业布局、结构合理的循环型、集约型、生态型化工园区，具有较强的国内竞争力和可持续发展能力，形成长江上游和重庆市重要的化工生产基地。</w:t>
      </w:r>
    </w:p>
    <w:p w14:paraId="5CA991EF">
      <w:pPr>
        <w:ind w:firstLine="480" w:firstLineChars="200"/>
        <w:rPr>
          <w:color w:val="000000"/>
          <w:szCs w:val="24"/>
        </w:rPr>
      </w:pPr>
      <w:r>
        <w:rPr>
          <w:color w:val="000000"/>
          <w:szCs w:val="24"/>
        </w:rPr>
        <w:t>（2）规划布局</w:t>
      </w:r>
    </w:p>
    <w:p w14:paraId="68ECFF59">
      <w:pPr>
        <w:ind w:firstLine="480" w:firstLineChars="200"/>
        <w:rPr>
          <w:color w:val="000000"/>
          <w:szCs w:val="24"/>
        </w:rPr>
      </w:pPr>
      <w:r>
        <w:rPr>
          <w:color w:val="000000"/>
          <w:szCs w:val="24"/>
        </w:rPr>
        <w:t>功能分区：园区规划区整体呈“两轴、一带、六区”的结构。一带：指沿后溪河形成的绿色生态廊带。两轴：贯穿规划区的园区主干道为产业发展轴和铁路专用线形成的物流发展轴线；六区：指仓储物流区、化肥化工区、氯氟化工区、天然气化工区、石油下游产品化工区以及发展预留区。</w:t>
      </w:r>
    </w:p>
    <w:p w14:paraId="5982E3D7">
      <w:pPr>
        <w:ind w:firstLine="480" w:firstLineChars="200"/>
        <w:rPr>
          <w:color w:val="000000"/>
          <w:szCs w:val="24"/>
        </w:rPr>
      </w:pPr>
      <w:r>
        <w:rPr>
          <w:color w:val="000000"/>
          <w:szCs w:val="24"/>
        </w:rPr>
        <w:t>用地布局：规划区城市建设用地主要为工业用地、公共管理与公共服务设施用地、物流仓储用地、道路与交通设施用地、公用设施用地、绿地与广场用地等。园区内不设置居住用地，员工生活居住区将在规划区范围外集中布置（集中布置在白涛街道江西片区）。</w:t>
      </w:r>
    </w:p>
    <w:p w14:paraId="0A0F6930">
      <w:pPr>
        <w:ind w:firstLine="480" w:firstLineChars="200"/>
        <w:rPr>
          <w:color w:val="000000"/>
          <w:szCs w:val="24"/>
        </w:rPr>
      </w:pPr>
      <w:r>
        <w:rPr>
          <w:color w:val="000000"/>
          <w:szCs w:val="24"/>
        </w:rPr>
        <w:t>（3）产业发展规划与布局</w:t>
      </w:r>
    </w:p>
    <w:p w14:paraId="02927DEE">
      <w:pPr>
        <w:ind w:firstLine="480" w:firstLineChars="200"/>
        <w:rPr>
          <w:color w:val="000000"/>
          <w:szCs w:val="24"/>
        </w:rPr>
      </w:pPr>
      <w:r>
        <w:rPr>
          <w:color w:val="000000"/>
          <w:szCs w:val="24"/>
        </w:rPr>
        <w:t>园区重点发展天然气化工、氯氟化工、石化下游产品。</w:t>
      </w:r>
    </w:p>
    <w:p w14:paraId="08768E4B">
      <w:pPr>
        <w:ind w:firstLine="480" w:firstLineChars="200"/>
        <w:rPr>
          <w:color w:val="000000"/>
          <w:szCs w:val="24"/>
        </w:rPr>
      </w:pPr>
      <w:r>
        <w:rPr>
          <w:color w:val="000000"/>
          <w:szCs w:val="24"/>
        </w:rPr>
        <w:t>本项目位于涪陵区白涛工业园区石化大道1号（涪陵LNG工厂内），依托现有LNG工厂BOG尾气等公辅条件建设提氦装置生产高纯氦气，属于化工行业，位于天然气化工及石化下游产品区域，符合园区发展产业定位及布局，符合《重庆白涛化工园区规划修编》要求。</w:t>
      </w:r>
    </w:p>
    <w:p w14:paraId="01A5266B">
      <w:pPr>
        <w:pStyle w:val="785"/>
        <w:rPr>
          <w:color w:val="000000"/>
          <w:szCs w:val="24"/>
          <w:lang w:val="en-US"/>
        </w:rPr>
      </w:pPr>
      <w:r>
        <w:rPr>
          <w:color w:val="000000"/>
          <w:szCs w:val="24"/>
          <w:lang w:val="en-US"/>
        </w:rPr>
        <w:t>1.6.3.2与《重庆白涛化工园区规划修编环境影响报告书》符合性分析</w:t>
      </w:r>
    </w:p>
    <w:p w14:paraId="03A31DCC">
      <w:pPr>
        <w:ind w:firstLine="480" w:firstLineChars="200"/>
        <w:rPr>
          <w:color w:val="000000"/>
          <w:szCs w:val="24"/>
        </w:rPr>
      </w:pPr>
      <w:r>
        <w:rPr>
          <w:color w:val="000000"/>
          <w:szCs w:val="24"/>
        </w:rPr>
        <w:t>根据《重庆白涛化工园区规划修编环境影响报告书》（2021年6月），“规划区西起乌江边界，东至白涛街道办事处山窝场，北至规划铁路编组站沿线，南至后溪河以南规划道路。园区产业定位为天然气化工（包括现有的化肥化工、乙炔/DBO产业链等）、石油化工下游产品（包括聚酰胺和聚氨酯产业、碳四加工、高分子产业链等）、氯氟化工（包括氯碱化工产业、氟化工、氯硅产业等）为主的三大产业。”“即：园区规划区整体呈“两轴、一带、六区”的结构。一带：指沿后溪河形成的绿色生态廊带。两轴：贯穿规划区的园区主干道为产业发展轴和铁路专用线形成的物流发展轴线；六区：指仓储物流区、化肥化工区、氯氟化工区、天然气化工区、石油下游产品化工区以及发展预留区”，“规划区的六区主要是指由西向东的仓储物流区、化肥产业区、氯氟产业区、天然气化工区、石油化工区以及发展预留区。”</w:t>
      </w:r>
    </w:p>
    <w:p w14:paraId="777D5E3A">
      <w:pPr>
        <w:ind w:firstLine="480" w:firstLineChars="200"/>
        <w:rPr>
          <w:color w:val="000000"/>
          <w:szCs w:val="24"/>
        </w:rPr>
      </w:pPr>
      <w:r>
        <w:rPr>
          <w:color w:val="000000"/>
          <w:szCs w:val="24"/>
        </w:rPr>
        <w:t>白涛化工园区内禁止新建以天然气为原料生产甲醇装置（天然气制1,4-丁二醇副产甲醇、甲醛除外）；禁止新建或扩建以化肥为产品的合成氨项目（区域规划搬迁、综合利用项目除外）。</w:t>
      </w:r>
    </w:p>
    <w:p w14:paraId="0DE60F5C">
      <w:pPr>
        <w:ind w:firstLine="480" w:firstLineChars="200"/>
        <w:rPr>
          <w:color w:val="000000"/>
          <w:szCs w:val="24"/>
        </w:rPr>
      </w:pPr>
      <w:r>
        <w:rPr>
          <w:color w:val="000000"/>
          <w:szCs w:val="24"/>
        </w:rPr>
        <w:t>本项目位于涪陵区白涛工业园区石化大道1号（涪陵LNG工厂内），属于天然气化工区，项目主要依托现有LNG工厂BOG尾气等公辅条件建设提氦装置生产高纯氦气，不属于园区禁止建设项目，符合《重庆白涛化工园区规划修编环境影响报告书》相关要求。</w:t>
      </w:r>
    </w:p>
    <w:p w14:paraId="3D2F630B">
      <w:pPr>
        <w:pStyle w:val="785"/>
        <w:rPr>
          <w:color w:val="000000"/>
          <w:szCs w:val="24"/>
          <w:lang w:val="en-US"/>
        </w:rPr>
      </w:pPr>
      <w:r>
        <w:rPr>
          <w:color w:val="000000"/>
          <w:szCs w:val="24"/>
          <w:lang w:val="en-US"/>
        </w:rPr>
        <w:t>1.6.3.3与规划环境影响评价审查意见的符合性</w:t>
      </w:r>
    </w:p>
    <w:p w14:paraId="785B2B6F">
      <w:pPr>
        <w:widowControl w:val="0"/>
        <w:adjustRightInd/>
        <w:snapToGrid/>
        <w:ind w:firstLine="480" w:firstLineChars="200"/>
        <w:rPr>
          <w:b/>
          <w:bCs/>
          <w:color w:val="000000"/>
          <w:sz w:val="21"/>
        </w:rPr>
      </w:pPr>
      <w:r>
        <w:rPr>
          <w:bCs/>
          <w:color w:val="000000"/>
          <w:kern w:val="0"/>
        </w:rPr>
        <w:t>本</w:t>
      </w:r>
      <w:r>
        <w:rPr>
          <w:color w:val="000000"/>
          <w:szCs w:val="24"/>
        </w:rPr>
        <w:t>项目与《重庆市生态环境局关于重庆白涛化工园区规划修编环境影响报告书审查意见的函》（渝环函〔2021〕391号）符合性分析见表1.6.3-1。</w:t>
      </w:r>
    </w:p>
    <w:p w14:paraId="2D87705A">
      <w:pPr>
        <w:widowControl w:val="0"/>
        <w:adjustRightInd/>
        <w:snapToGrid/>
        <w:ind w:firstLine="1890" w:firstLineChars="900"/>
        <w:rPr>
          <w:color w:val="000000"/>
          <w:sz w:val="21"/>
        </w:rPr>
      </w:pPr>
      <w:r>
        <w:rPr>
          <w:color w:val="000000"/>
          <w:sz w:val="21"/>
        </w:rPr>
        <w:t>表1.6.3-1 项目与规划环评审查意见符合性分析</w:t>
      </w:r>
    </w:p>
    <w:tbl>
      <w:tblPr>
        <w:tblStyle w:val="7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5252"/>
        <w:gridCol w:w="3087"/>
      </w:tblGrid>
      <w:tr w14:paraId="508B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95" w:type="pct"/>
            <w:tcBorders>
              <w:tl2br w:val="nil"/>
              <w:tr2bl w:val="nil"/>
            </w:tcBorders>
            <w:vAlign w:val="center"/>
          </w:tcPr>
          <w:p w14:paraId="05517553">
            <w:pPr>
              <w:widowControl w:val="0"/>
              <w:spacing w:line="240" w:lineRule="auto"/>
              <w:jc w:val="center"/>
              <w:rPr>
                <w:color w:val="000000"/>
                <w:sz w:val="21"/>
              </w:rPr>
            </w:pPr>
            <w:r>
              <w:rPr>
                <w:color w:val="000000"/>
                <w:sz w:val="21"/>
              </w:rPr>
              <w:t>序号</w:t>
            </w:r>
          </w:p>
        </w:tc>
        <w:tc>
          <w:tcPr>
            <w:tcW w:w="2899" w:type="pct"/>
            <w:tcBorders>
              <w:tl2br w:val="nil"/>
              <w:tr2bl w:val="nil"/>
            </w:tcBorders>
            <w:vAlign w:val="center"/>
          </w:tcPr>
          <w:p w14:paraId="319F8B7F">
            <w:pPr>
              <w:widowControl w:val="0"/>
              <w:spacing w:line="240" w:lineRule="auto"/>
              <w:jc w:val="center"/>
              <w:rPr>
                <w:color w:val="000000"/>
                <w:sz w:val="21"/>
              </w:rPr>
            </w:pPr>
            <w:r>
              <w:rPr>
                <w:color w:val="000000"/>
                <w:sz w:val="21"/>
              </w:rPr>
              <w:t>规划环评审查意见</w:t>
            </w:r>
          </w:p>
        </w:tc>
        <w:tc>
          <w:tcPr>
            <w:tcW w:w="1704" w:type="pct"/>
            <w:tcBorders>
              <w:tl2br w:val="nil"/>
              <w:tr2bl w:val="nil"/>
            </w:tcBorders>
            <w:vAlign w:val="center"/>
          </w:tcPr>
          <w:p w14:paraId="0BC0D857">
            <w:pPr>
              <w:widowControl w:val="0"/>
              <w:spacing w:line="240" w:lineRule="auto"/>
              <w:jc w:val="center"/>
              <w:rPr>
                <w:color w:val="000000"/>
                <w:sz w:val="21"/>
              </w:rPr>
            </w:pPr>
            <w:r>
              <w:rPr>
                <w:color w:val="000000"/>
                <w:sz w:val="21"/>
              </w:rPr>
              <w:t>符合性</w:t>
            </w:r>
          </w:p>
        </w:tc>
      </w:tr>
      <w:tr w14:paraId="598F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tl2br w:val="nil"/>
              <w:tr2bl w:val="nil"/>
            </w:tcBorders>
            <w:vAlign w:val="center"/>
          </w:tcPr>
          <w:p w14:paraId="48128430">
            <w:pPr>
              <w:widowControl w:val="0"/>
              <w:spacing w:line="240" w:lineRule="auto"/>
              <w:jc w:val="center"/>
              <w:rPr>
                <w:color w:val="000000"/>
                <w:sz w:val="21"/>
              </w:rPr>
            </w:pPr>
            <w:r>
              <w:rPr>
                <w:color w:val="000000"/>
                <w:sz w:val="21"/>
              </w:rPr>
              <w:t>1</w:t>
            </w:r>
          </w:p>
        </w:tc>
        <w:tc>
          <w:tcPr>
            <w:tcW w:w="2899" w:type="pct"/>
            <w:tcBorders>
              <w:tl2br w:val="nil"/>
              <w:tr2bl w:val="nil"/>
            </w:tcBorders>
            <w:vAlign w:val="center"/>
          </w:tcPr>
          <w:p w14:paraId="49EEE7EB">
            <w:pPr>
              <w:spacing w:line="280" w:lineRule="exact"/>
              <w:rPr>
                <w:color w:val="000000"/>
                <w:sz w:val="21"/>
              </w:rPr>
            </w:pPr>
            <w:r>
              <w:rPr>
                <w:color w:val="000000"/>
                <w:sz w:val="21"/>
              </w:rPr>
              <w:t>（一）严格执行生态环境准入清单。</w:t>
            </w:r>
          </w:p>
          <w:p w14:paraId="3C497BFB">
            <w:pPr>
              <w:spacing w:line="280" w:lineRule="exact"/>
              <w:rPr>
                <w:color w:val="000000"/>
                <w:sz w:val="21"/>
              </w:rPr>
            </w:pPr>
            <w:r>
              <w:rPr>
                <w:color w:val="000000"/>
                <w:sz w:val="21"/>
              </w:rPr>
              <w:t>按照《报告书》提出的管理要求，以生态保护红线、资源利用上线、环境质量底线为约束，严格建设项目环境准入，入驻工业企业应满足《重庆市工业项目环境准入规定（修订）》以及《报告书》确定的生态环境准入清单要求，禁止引进不符合国家产能置换、规划布局等要求的高耗能、高排放建设项目。园区入驻项目应符合国家《长江经济带发展负面清单指南（试行）》及我市出台的相关规范性要求。</w:t>
            </w:r>
          </w:p>
        </w:tc>
        <w:tc>
          <w:tcPr>
            <w:tcW w:w="1704" w:type="pct"/>
            <w:tcBorders>
              <w:tl2br w:val="nil"/>
              <w:tr2bl w:val="nil"/>
            </w:tcBorders>
            <w:vAlign w:val="center"/>
          </w:tcPr>
          <w:p w14:paraId="2C2ACD27">
            <w:pPr>
              <w:spacing w:line="280" w:lineRule="exact"/>
              <w:rPr>
                <w:color w:val="000000"/>
                <w:sz w:val="21"/>
              </w:rPr>
            </w:pPr>
            <w:r>
              <w:rPr>
                <w:color w:val="000000"/>
                <w:kern w:val="0"/>
                <w:sz w:val="21"/>
              </w:rPr>
              <w:t>本项目符合</w:t>
            </w:r>
            <w:r>
              <w:rPr>
                <w:color w:val="000000"/>
                <w:sz w:val="21"/>
              </w:rPr>
              <w:t>《重庆市工业项目环境准入规定（修订）》的要求；符合</w:t>
            </w:r>
            <w:r>
              <w:rPr>
                <w:color w:val="000000"/>
                <w:kern w:val="0"/>
                <w:sz w:val="21"/>
              </w:rPr>
              <w:t>涪陵区及园区生态环境准入清单的要求；符合</w:t>
            </w:r>
            <w:r>
              <w:rPr>
                <w:color w:val="000000"/>
                <w:sz w:val="21"/>
              </w:rPr>
              <w:t>《长江经济带发展负面清单指南（试行）》等相关要求</w:t>
            </w:r>
          </w:p>
        </w:tc>
      </w:tr>
      <w:tr w14:paraId="2B0B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tl2br w:val="nil"/>
              <w:tr2bl w:val="nil"/>
            </w:tcBorders>
            <w:vAlign w:val="center"/>
          </w:tcPr>
          <w:p w14:paraId="626E847C">
            <w:pPr>
              <w:widowControl w:val="0"/>
              <w:spacing w:line="240" w:lineRule="auto"/>
              <w:jc w:val="center"/>
              <w:rPr>
                <w:color w:val="000000"/>
                <w:sz w:val="21"/>
              </w:rPr>
            </w:pPr>
            <w:r>
              <w:rPr>
                <w:color w:val="000000"/>
                <w:sz w:val="21"/>
              </w:rPr>
              <w:t>2</w:t>
            </w:r>
          </w:p>
        </w:tc>
        <w:tc>
          <w:tcPr>
            <w:tcW w:w="2899" w:type="pct"/>
            <w:tcBorders>
              <w:tl2br w:val="nil"/>
              <w:tr2bl w:val="nil"/>
            </w:tcBorders>
            <w:vAlign w:val="center"/>
          </w:tcPr>
          <w:p w14:paraId="13108F9A">
            <w:pPr>
              <w:spacing w:line="280" w:lineRule="exact"/>
              <w:rPr>
                <w:color w:val="000000"/>
                <w:sz w:val="21"/>
              </w:rPr>
            </w:pPr>
            <w:r>
              <w:rPr>
                <w:color w:val="000000"/>
                <w:sz w:val="21"/>
              </w:rPr>
              <w:t>（二）强化生态环境空间管控。</w:t>
            </w:r>
          </w:p>
          <w:p w14:paraId="353DF85C">
            <w:pPr>
              <w:spacing w:line="280" w:lineRule="exact"/>
              <w:rPr>
                <w:color w:val="000000"/>
                <w:sz w:val="21"/>
              </w:rPr>
            </w:pPr>
            <w:r>
              <w:rPr>
                <w:color w:val="000000"/>
                <w:sz w:val="21"/>
              </w:rPr>
              <w:t>严格执行《中华人民共和国长江保护法》，落实化工园区建设和化工项目准入要求。规划区所在区域为岩溶区域，规划范围内涉及地下暗河和溶洞。为保护地下水生态环境，入园企业原则应规避地下暗河及溶洞区域布置；如因地块限制需要布置的情况下，地下暗河通道及溶洞正上方区域不宜布置化工生产装置、污水处理站、危化品储存区、危险废物暂存区等需要重点防渗的建构筑物。不得引入废水排放五类重点重金属和持久性有机污染物的危险废物综合利用及处置项目（园区内企业或集团内部危险废物集中暂存设施、综合利用、处置项目除外）。</w:t>
            </w:r>
          </w:p>
          <w:p w14:paraId="7672F097">
            <w:pPr>
              <w:spacing w:line="280" w:lineRule="exact"/>
              <w:rPr>
                <w:color w:val="000000"/>
                <w:sz w:val="21"/>
              </w:rPr>
            </w:pPr>
            <w:r>
              <w:rPr>
                <w:color w:val="000000"/>
                <w:sz w:val="21"/>
              </w:rPr>
              <w:t>4、临近敏感点的规划区边界地块应布局废气排放量相对较小和噪声影响小的项目或者布局企业内部的办公楼、仓库、实验室等公辅设施。</w:t>
            </w:r>
          </w:p>
        </w:tc>
        <w:tc>
          <w:tcPr>
            <w:tcW w:w="1704" w:type="pct"/>
            <w:tcBorders>
              <w:tl2br w:val="nil"/>
              <w:tr2bl w:val="nil"/>
            </w:tcBorders>
            <w:vAlign w:val="center"/>
          </w:tcPr>
          <w:p w14:paraId="0929D45D">
            <w:pPr>
              <w:spacing w:line="280" w:lineRule="exact"/>
              <w:jc w:val="center"/>
              <w:rPr>
                <w:color w:val="000000"/>
                <w:sz w:val="21"/>
              </w:rPr>
            </w:pPr>
            <w:r>
              <w:rPr>
                <w:color w:val="000000"/>
                <w:sz w:val="21"/>
              </w:rPr>
              <w:t>项目位于重庆白涛化工园区涪陵LNG工厂内，不新增占地，LNG工厂内分布有溶洞及暗河，本项目区域距离最近溶洞及暗河90m，不位于其正上方，项目依托LNG工厂现有危废暂存间。项目不涉及重金属排放。</w:t>
            </w:r>
          </w:p>
        </w:tc>
      </w:tr>
      <w:tr w14:paraId="68C9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tcBorders>
              <w:tl2br w:val="nil"/>
              <w:tr2bl w:val="nil"/>
            </w:tcBorders>
            <w:vAlign w:val="center"/>
          </w:tcPr>
          <w:p w14:paraId="2BCF7CE9">
            <w:pPr>
              <w:widowControl w:val="0"/>
              <w:spacing w:line="240" w:lineRule="auto"/>
              <w:jc w:val="center"/>
              <w:rPr>
                <w:color w:val="000000"/>
                <w:sz w:val="21"/>
              </w:rPr>
            </w:pPr>
            <w:r>
              <w:rPr>
                <w:color w:val="000000"/>
                <w:sz w:val="21"/>
              </w:rPr>
              <w:t>3</w:t>
            </w:r>
          </w:p>
        </w:tc>
        <w:tc>
          <w:tcPr>
            <w:tcW w:w="2899" w:type="pct"/>
            <w:tcBorders>
              <w:tl2br w:val="nil"/>
              <w:tr2bl w:val="nil"/>
            </w:tcBorders>
            <w:vAlign w:val="center"/>
          </w:tcPr>
          <w:p w14:paraId="5D456ED9">
            <w:pPr>
              <w:spacing w:line="280" w:lineRule="exact"/>
              <w:rPr>
                <w:color w:val="000000"/>
                <w:sz w:val="21"/>
              </w:rPr>
            </w:pPr>
            <w:r>
              <w:rPr>
                <w:color w:val="000000"/>
                <w:sz w:val="21"/>
              </w:rPr>
              <w:t>（三）加强大气污染防治。</w:t>
            </w:r>
          </w:p>
          <w:p w14:paraId="19C02926">
            <w:pPr>
              <w:spacing w:line="280" w:lineRule="exact"/>
              <w:rPr>
                <w:color w:val="000000"/>
                <w:sz w:val="21"/>
              </w:rPr>
            </w:pPr>
            <w:r>
              <w:rPr>
                <w:color w:val="000000"/>
                <w:sz w:val="21"/>
              </w:rPr>
              <w:t>后续新建园区热电项目应采取超低排放，进一步削减SO</w:t>
            </w:r>
            <w:r>
              <w:rPr>
                <w:color w:val="000000"/>
                <w:sz w:val="21"/>
                <w:vertAlign w:val="subscript"/>
              </w:rPr>
              <w:t>2</w:t>
            </w:r>
            <w:r>
              <w:rPr>
                <w:color w:val="000000"/>
                <w:sz w:val="21"/>
              </w:rPr>
              <w:t>、NO</w:t>
            </w:r>
            <w:r>
              <w:rPr>
                <w:color w:val="000000"/>
                <w:sz w:val="21"/>
                <w:vertAlign w:val="subscript"/>
              </w:rPr>
              <w:t>X</w:t>
            </w:r>
            <w:r>
              <w:rPr>
                <w:color w:val="000000"/>
                <w:sz w:val="21"/>
              </w:rPr>
              <w:t>及颗粒物排放量。除园区热电项目外，规划区应采用天然气等清洁能源，禁止使用燃煤等高污染燃料；各入驻企业生产废气应采取有效的防治措施，涉及挥发性有机污染物排放的项目应严格落实高效处理和收集措施；加强规划区粉尘的收集和处理，严格控制无组织排放粉尘，加强厂内外运输扬尘控制，减少对周围环境敏感点的影响。</w:t>
            </w:r>
          </w:p>
        </w:tc>
        <w:tc>
          <w:tcPr>
            <w:tcW w:w="1704" w:type="pct"/>
            <w:tcBorders>
              <w:tl2br w:val="nil"/>
              <w:tr2bl w:val="nil"/>
            </w:tcBorders>
            <w:vAlign w:val="center"/>
          </w:tcPr>
          <w:p w14:paraId="1A75BA17">
            <w:pPr>
              <w:spacing w:line="280" w:lineRule="exact"/>
              <w:jc w:val="center"/>
              <w:rPr>
                <w:color w:val="000000"/>
                <w:sz w:val="21"/>
              </w:rPr>
            </w:pPr>
            <w:r>
              <w:rPr>
                <w:color w:val="000000"/>
                <w:sz w:val="21"/>
              </w:rPr>
              <w:t>本项目主要依托现有 LNG工厂BOG尾气等公辅条件建设提氦装置生产高纯氦气，企业提氦装置采用的原料气为LNG工厂BOG尾气，不用燃煤等高污染燃料，工艺装置产生的部分再生废气主要成分为氮气、氧气直接放空，部分再生尾气经火炬燃烧后生产CO</w:t>
            </w:r>
            <w:r>
              <w:rPr>
                <w:color w:val="000000"/>
                <w:sz w:val="21"/>
                <w:vertAlign w:val="subscript"/>
              </w:rPr>
              <w:t>2</w:t>
            </w:r>
            <w:r>
              <w:rPr>
                <w:color w:val="000000"/>
                <w:sz w:val="21"/>
              </w:rPr>
              <w:t>、水、CO等对周边环境影响不大</w:t>
            </w:r>
          </w:p>
        </w:tc>
      </w:tr>
      <w:tr w14:paraId="2086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95" w:type="pct"/>
            <w:tcBorders>
              <w:tl2br w:val="nil"/>
              <w:tr2bl w:val="nil"/>
            </w:tcBorders>
            <w:vAlign w:val="center"/>
          </w:tcPr>
          <w:p w14:paraId="58372551">
            <w:pPr>
              <w:spacing w:line="280" w:lineRule="exact"/>
              <w:jc w:val="center"/>
              <w:rPr>
                <w:color w:val="000000"/>
                <w:sz w:val="21"/>
              </w:rPr>
            </w:pPr>
            <w:r>
              <w:rPr>
                <w:color w:val="000000"/>
                <w:kern w:val="0"/>
                <w:sz w:val="21"/>
              </w:rPr>
              <w:t>4</w:t>
            </w:r>
          </w:p>
        </w:tc>
        <w:tc>
          <w:tcPr>
            <w:tcW w:w="2899" w:type="pct"/>
            <w:tcBorders>
              <w:tl2br w:val="nil"/>
              <w:tr2bl w:val="nil"/>
            </w:tcBorders>
            <w:vAlign w:val="center"/>
          </w:tcPr>
          <w:p w14:paraId="177313FE">
            <w:pPr>
              <w:spacing w:line="280" w:lineRule="exact"/>
              <w:rPr>
                <w:color w:val="000000"/>
                <w:kern w:val="0"/>
                <w:sz w:val="21"/>
              </w:rPr>
            </w:pPr>
            <w:r>
              <w:rPr>
                <w:color w:val="000000"/>
                <w:kern w:val="0"/>
                <w:sz w:val="21"/>
              </w:rPr>
              <w:t>（四）落实水污染防治。</w:t>
            </w:r>
          </w:p>
          <w:p w14:paraId="3E6B318E">
            <w:pPr>
              <w:spacing w:line="280" w:lineRule="exact"/>
              <w:rPr>
                <w:color w:val="000000"/>
                <w:kern w:val="0"/>
                <w:sz w:val="21"/>
              </w:rPr>
            </w:pPr>
            <w:r>
              <w:rPr>
                <w:color w:val="000000"/>
                <w:kern w:val="0"/>
                <w:sz w:val="21"/>
              </w:rPr>
              <w:t>潘家坝污水处理厂应根据规划区后续开发进程，适时扩建规模以满足规划区后续污废水的处理需求。氯氟片区应当修建污水集中处理设施对片区污水进行集中收集处理。严格污水接管要求。进入污水处理厂的企业废水有行业排放标准的需自行处理达相应的行业排放标准，无行业排放标准的需自行处理达《污水综合排放标准》（GB8978—1996）三级标准后方可接入潘家坝污水处理厂进一步处理，达《化工园区主要水污染物排放标准》（DB50/457-2012）中表1的规定（表1未规定的指标执行《污水综合排放标准》（GB8978-1996）中一级标准）限值要求后排放</w:t>
            </w:r>
          </w:p>
        </w:tc>
        <w:tc>
          <w:tcPr>
            <w:tcW w:w="1704" w:type="pct"/>
            <w:tcBorders>
              <w:tl2br w:val="nil"/>
              <w:tr2bl w:val="nil"/>
            </w:tcBorders>
            <w:vAlign w:val="center"/>
          </w:tcPr>
          <w:p w14:paraId="4F658DB4">
            <w:pPr>
              <w:spacing w:line="280" w:lineRule="exact"/>
              <w:jc w:val="center"/>
              <w:rPr>
                <w:color w:val="000000"/>
                <w:sz w:val="21"/>
              </w:rPr>
            </w:pPr>
            <w:r>
              <w:rPr>
                <w:color w:val="000000"/>
                <w:sz w:val="21"/>
              </w:rPr>
              <w:t>本项目位于天然气化工区域，废水产生量较少，污染物相对简单，可以做到达标排放</w:t>
            </w:r>
            <w:r>
              <w:rPr>
                <w:color w:val="000000"/>
                <w:kern w:val="0"/>
                <w:sz w:val="21"/>
              </w:rPr>
              <w:t>，不会对潘家坝污水处理厂造成冲击</w:t>
            </w:r>
          </w:p>
        </w:tc>
      </w:tr>
      <w:tr w14:paraId="5A91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tl2br w:val="nil"/>
              <w:tr2bl w:val="nil"/>
            </w:tcBorders>
            <w:vAlign w:val="center"/>
          </w:tcPr>
          <w:p w14:paraId="69642B8D">
            <w:pPr>
              <w:spacing w:line="280" w:lineRule="exact"/>
              <w:jc w:val="center"/>
              <w:rPr>
                <w:color w:val="000000"/>
                <w:sz w:val="21"/>
              </w:rPr>
            </w:pPr>
            <w:r>
              <w:rPr>
                <w:color w:val="000000"/>
                <w:kern w:val="0"/>
                <w:sz w:val="21"/>
              </w:rPr>
              <w:t>5</w:t>
            </w:r>
          </w:p>
        </w:tc>
        <w:tc>
          <w:tcPr>
            <w:tcW w:w="2899" w:type="pct"/>
            <w:tcBorders>
              <w:tl2br w:val="nil"/>
              <w:tr2bl w:val="nil"/>
            </w:tcBorders>
            <w:vAlign w:val="center"/>
          </w:tcPr>
          <w:p w14:paraId="226DD80B">
            <w:pPr>
              <w:spacing w:line="280" w:lineRule="exact"/>
              <w:rPr>
                <w:color w:val="000000"/>
                <w:kern w:val="0"/>
                <w:sz w:val="21"/>
              </w:rPr>
            </w:pPr>
            <w:r>
              <w:rPr>
                <w:color w:val="000000"/>
                <w:kern w:val="0"/>
                <w:sz w:val="21"/>
              </w:rPr>
              <w:t>（五）强化噪声污染防控。</w:t>
            </w:r>
          </w:p>
          <w:p w14:paraId="08C967AE">
            <w:pPr>
              <w:spacing w:line="280" w:lineRule="exact"/>
              <w:rPr>
                <w:color w:val="000000"/>
                <w:kern w:val="0"/>
                <w:sz w:val="21"/>
              </w:rPr>
            </w:pPr>
            <w:r>
              <w:rPr>
                <w:color w:val="000000"/>
                <w:kern w:val="0"/>
                <w:sz w:val="21"/>
              </w:rPr>
              <w:t>合理布局企业噪声源，高噪声源企业选址和布局应满足相应的环境防护距离要求；选择低噪声设备，采取消声、隔声、减震等措施，确保厂界噪声达标；合理布局、科学设定建筑物与交通干线的噪声防护距离。</w:t>
            </w:r>
          </w:p>
        </w:tc>
        <w:tc>
          <w:tcPr>
            <w:tcW w:w="1704" w:type="pct"/>
            <w:tcBorders>
              <w:tl2br w:val="nil"/>
              <w:tr2bl w:val="nil"/>
            </w:tcBorders>
            <w:vAlign w:val="center"/>
          </w:tcPr>
          <w:p w14:paraId="4CB5F0AB">
            <w:pPr>
              <w:spacing w:line="280" w:lineRule="exact"/>
              <w:jc w:val="center"/>
              <w:rPr>
                <w:color w:val="000000"/>
                <w:sz w:val="21"/>
              </w:rPr>
            </w:pPr>
            <w:r>
              <w:rPr>
                <w:color w:val="000000"/>
                <w:sz w:val="21"/>
              </w:rPr>
              <w:t>本项目采取隔声、减振、消声等措施，厂界可达标</w:t>
            </w:r>
          </w:p>
        </w:tc>
      </w:tr>
      <w:tr w14:paraId="1CF7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tl2br w:val="nil"/>
              <w:tr2bl w:val="nil"/>
            </w:tcBorders>
            <w:vAlign w:val="center"/>
          </w:tcPr>
          <w:p w14:paraId="2FEA20A7">
            <w:pPr>
              <w:spacing w:line="280" w:lineRule="exact"/>
              <w:jc w:val="center"/>
              <w:rPr>
                <w:color w:val="000000"/>
                <w:sz w:val="21"/>
              </w:rPr>
            </w:pPr>
            <w:r>
              <w:rPr>
                <w:color w:val="000000"/>
                <w:kern w:val="0"/>
                <w:sz w:val="21"/>
              </w:rPr>
              <w:t>6</w:t>
            </w:r>
          </w:p>
        </w:tc>
        <w:tc>
          <w:tcPr>
            <w:tcW w:w="2899" w:type="pct"/>
            <w:tcBorders>
              <w:tl2br w:val="nil"/>
              <w:tr2bl w:val="nil"/>
            </w:tcBorders>
            <w:vAlign w:val="center"/>
          </w:tcPr>
          <w:p w14:paraId="251F152C">
            <w:pPr>
              <w:spacing w:line="280" w:lineRule="exact"/>
              <w:rPr>
                <w:color w:val="000000"/>
                <w:kern w:val="0"/>
                <w:sz w:val="21"/>
              </w:rPr>
            </w:pPr>
            <w:r>
              <w:rPr>
                <w:color w:val="000000"/>
                <w:kern w:val="0"/>
                <w:sz w:val="21"/>
              </w:rPr>
              <w:t>（六）做好土壤（地下水）和固体废物污染防控。</w:t>
            </w:r>
          </w:p>
          <w:p w14:paraId="4AC2CEB9">
            <w:pPr>
              <w:spacing w:line="280" w:lineRule="exact"/>
              <w:rPr>
                <w:color w:val="000000"/>
                <w:kern w:val="0"/>
                <w:sz w:val="21"/>
              </w:rPr>
            </w:pPr>
            <w:r>
              <w:rPr>
                <w:color w:val="000000"/>
                <w:kern w:val="0"/>
                <w:sz w:val="21"/>
              </w:rPr>
              <w:t>固体废物应按资源化、减量化、无害化方式进行妥善收集、处置。生活垃圾经分类收集后由涪陵区环卫部门统一清运处置；餐厨垃圾应妥善收集、处理。一般工业固废综合利用或进入一般工业固废处置场；入园项目应按照《危险废物贮存污染控制标准》（GB18597—2001）以及修改单等规定设置专门的危险废物暂存点，严格落实“防扬散、防流失、防渗漏”等要求，不得污染环境；危险废物依法依规交有资质单位处理。园区应定期督促对危废的转移，严禁在厂区内过量堆存，确保危险废物得到妥善处置。</w:t>
            </w:r>
          </w:p>
          <w:p w14:paraId="328F5C43">
            <w:pPr>
              <w:spacing w:line="280" w:lineRule="exact"/>
              <w:rPr>
                <w:color w:val="000000"/>
                <w:kern w:val="0"/>
                <w:sz w:val="21"/>
              </w:rPr>
            </w:pPr>
            <w:r>
              <w:rPr>
                <w:color w:val="000000"/>
                <w:kern w:val="0"/>
                <w:sz w:val="21"/>
              </w:rPr>
              <w:t>规划区应尽快开展岩土工程地质详细勘察和进一步的详细水文地质勘察；入园项目采取源头控制为主的原则，落实分区、分级防渗措施，防止规划实施对区域地下水及土壤的污染。规划区内应布设地下水环境监控井，并定期开展地下水、土壤跟踪监测工作；根据监测结论动态优化并落实相应的地下水和土壤环境污染防控措施。</w:t>
            </w:r>
          </w:p>
          <w:p w14:paraId="53FFA572">
            <w:pPr>
              <w:spacing w:line="280" w:lineRule="exact"/>
              <w:rPr>
                <w:color w:val="000000"/>
                <w:kern w:val="0"/>
                <w:sz w:val="21"/>
              </w:rPr>
            </w:pPr>
            <w:r>
              <w:rPr>
                <w:color w:val="000000"/>
                <w:kern w:val="0"/>
                <w:sz w:val="21"/>
              </w:rPr>
              <w:t>规划区内土地利用性质调整，应严格执行土壤风险评估和污染土壤修复制度，落实《重庆市建设用地土壤污染防治办法》等相关要求。规划区内工业企业关闭或搬迁完成前需按照国家和重庆市规定开展地块调查和风险评估，经评估确定为污染地块的，应当开展治理修复。园区要建立污染地块目录及其开发利用管控清单，土地开发利用必须满足规划用地土壤环境质量要求。</w:t>
            </w:r>
          </w:p>
        </w:tc>
        <w:tc>
          <w:tcPr>
            <w:tcW w:w="1704" w:type="pct"/>
            <w:tcBorders>
              <w:tl2br w:val="nil"/>
              <w:tr2bl w:val="nil"/>
            </w:tcBorders>
            <w:vAlign w:val="center"/>
          </w:tcPr>
          <w:p w14:paraId="0E2D625F">
            <w:pPr>
              <w:spacing w:line="280" w:lineRule="exact"/>
              <w:jc w:val="center"/>
              <w:rPr>
                <w:color w:val="000000"/>
                <w:sz w:val="21"/>
              </w:rPr>
            </w:pPr>
            <w:r>
              <w:rPr>
                <w:color w:val="000000"/>
                <w:sz w:val="21"/>
              </w:rPr>
              <w:t>本项目固废交由回收单位处理，生活垃圾交环卫部门处理，危废暂存于危废间交危废单位处理，并按要求落实危废暂存间相关措施，制定转移联单。项目提出了地下水、土壤污染防治措施。</w:t>
            </w:r>
          </w:p>
        </w:tc>
      </w:tr>
      <w:tr w14:paraId="7FF3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tl2br w:val="nil"/>
              <w:tr2bl w:val="nil"/>
            </w:tcBorders>
            <w:vAlign w:val="center"/>
          </w:tcPr>
          <w:p w14:paraId="40BBBDAC">
            <w:pPr>
              <w:spacing w:line="280" w:lineRule="exact"/>
              <w:jc w:val="center"/>
              <w:rPr>
                <w:color w:val="000000"/>
                <w:kern w:val="0"/>
                <w:sz w:val="21"/>
              </w:rPr>
            </w:pPr>
            <w:r>
              <w:rPr>
                <w:color w:val="000000"/>
                <w:kern w:val="0"/>
                <w:sz w:val="21"/>
              </w:rPr>
              <w:t>7</w:t>
            </w:r>
          </w:p>
        </w:tc>
        <w:tc>
          <w:tcPr>
            <w:tcW w:w="2899" w:type="pct"/>
            <w:tcBorders>
              <w:tl2br w:val="nil"/>
              <w:tr2bl w:val="nil"/>
            </w:tcBorders>
            <w:vAlign w:val="center"/>
          </w:tcPr>
          <w:p w14:paraId="775AF965">
            <w:pPr>
              <w:spacing w:line="280" w:lineRule="exact"/>
              <w:rPr>
                <w:color w:val="000000"/>
                <w:kern w:val="0"/>
                <w:sz w:val="21"/>
              </w:rPr>
            </w:pPr>
            <w:r>
              <w:rPr>
                <w:color w:val="000000"/>
                <w:kern w:val="0"/>
                <w:sz w:val="21"/>
              </w:rPr>
              <w:t>（七）强化环境风险防范。</w:t>
            </w:r>
          </w:p>
          <w:p w14:paraId="208C8EC4">
            <w:pPr>
              <w:spacing w:line="280" w:lineRule="exact"/>
              <w:rPr>
                <w:color w:val="000000"/>
                <w:kern w:val="0"/>
                <w:sz w:val="21"/>
              </w:rPr>
            </w:pPr>
            <w:r>
              <w:rPr>
                <w:color w:val="000000"/>
                <w:kern w:val="0"/>
                <w:sz w:val="21"/>
              </w:rPr>
              <w:t>规划区及其企业应当严格执行环境风险防范的相关法律法规和政策要求，严格落实各类环境风险防范措施。规划区应当加强环境风险监控，进一步完善已经建立的“单元—企业—片区级—流域”四级事故废水风险防范体系和“政府—流域—园区—企业”的四级环境风险应急体系，修订应急预案，督导区内企业应定期开展教育培训和应急演练，全面提升环境风险防范和事故应急处置能力。加强对企业环境风险源的监督管理，开展园区老企业治污排查，对现有老旧设备及时检修，不能继续使用的及时更换；根据规划区入驻企业，强化、优化区域环境风险防控措施；加强道路、危化品码头及水运运输环境污染风险防范举措，切实提高环境风险防范意识，防范突发性环境风险事故。</w:t>
            </w:r>
          </w:p>
        </w:tc>
        <w:tc>
          <w:tcPr>
            <w:tcW w:w="1704" w:type="pct"/>
            <w:tcBorders>
              <w:tl2br w:val="nil"/>
              <w:tr2bl w:val="nil"/>
            </w:tcBorders>
            <w:vAlign w:val="center"/>
          </w:tcPr>
          <w:p w14:paraId="1F3BDF52">
            <w:pPr>
              <w:spacing w:line="280" w:lineRule="exact"/>
              <w:jc w:val="center"/>
              <w:rPr>
                <w:color w:val="000000"/>
                <w:kern w:val="0"/>
                <w:sz w:val="21"/>
              </w:rPr>
            </w:pPr>
            <w:r>
              <w:rPr>
                <w:color w:val="000000"/>
                <w:sz w:val="21"/>
              </w:rPr>
              <w:t>项目提出了风险防范措施落实及风险应急预案，可将环境风险概率降低到可接受的程度。</w:t>
            </w:r>
          </w:p>
        </w:tc>
      </w:tr>
      <w:tr w14:paraId="1528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tl2br w:val="nil"/>
              <w:tr2bl w:val="nil"/>
            </w:tcBorders>
            <w:vAlign w:val="center"/>
          </w:tcPr>
          <w:p w14:paraId="06D0C311">
            <w:pPr>
              <w:spacing w:line="280" w:lineRule="exact"/>
              <w:jc w:val="center"/>
              <w:rPr>
                <w:color w:val="000000"/>
                <w:kern w:val="0"/>
                <w:sz w:val="21"/>
              </w:rPr>
            </w:pPr>
            <w:r>
              <w:rPr>
                <w:color w:val="000000"/>
                <w:kern w:val="0"/>
                <w:sz w:val="21"/>
              </w:rPr>
              <w:t>8</w:t>
            </w:r>
          </w:p>
        </w:tc>
        <w:tc>
          <w:tcPr>
            <w:tcW w:w="2899" w:type="pct"/>
            <w:tcBorders>
              <w:tl2br w:val="nil"/>
              <w:tr2bl w:val="nil"/>
            </w:tcBorders>
            <w:vAlign w:val="center"/>
          </w:tcPr>
          <w:p w14:paraId="4B16A583">
            <w:pPr>
              <w:spacing w:line="280" w:lineRule="exact"/>
              <w:rPr>
                <w:color w:val="000000"/>
                <w:kern w:val="0"/>
                <w:sz w:val="21"/>
              </w:rPr>
            </w:pPr>
            <w:r>
              <w:rPr>
                <w:color w:val="000000"/>
                <w:kern w:val="0"/>
                <w:sz w:val="21"/>
              </w:rPr>
              <w:t>（八）推行碳排放管控措施。</w:t>
            </w:r>
          </w:p>
          <w:p w14:paraId="48DF620B">
            <w:pPr>
              <w:spacing w:line="280" w:lineRule="exact"/>
              <w:rPr>
                <w:color w:val="000000"/>
                <w:kern w:val="0"/>
                <w:sz w:val="21"/>
              </w:rPr>
            </w:pPr>
            <w:r>
              <w:rPr>
                <w:color w:val="000000"/>
                <w:kern w:val="0"/>
                <w:sz w:val="21"/>
              </w:rPr>
              <w:t>围绕“碳达峰、碳中和”目标，统筹抓好碳排放控制管理和生态环境保护工作，推动实现减污降碳。优化能源结构，禁止新建单纯燃煤火电项目；督促园区内重点碳排放企业实施涉碳节能减排</w:t>
            </w:r>
            <w:r>
              <w:rPr>
                <w:rFonts w:hint="eastAsia"/>
                <w:color w:val="000000"/>
                <w:kern w:val="0"/>
                <w:sz w:val="21"/>
                <w:lang w:eastAsia="zh-CN"/>
              </w:rPr>
              <w:t>举措</w:t>
            </w:r>
            <w:r>
              <w:rPr>
                <w:color w:val="000000"/>
                <w:kern w:val="0"/>
                <w:sz w:val="21"/>
              </w:rPr>
              <w:t>，并采取清洁生产先进工艺，改进能源利用技术，降低能量损失，提高能源综合利用效率，从源头减少和控制温室气体排放推动减污降碳协同共治。要探索建立能源利用效率及碳排放强度的核算机制，适应低碳发展的要求，促进园区产业绿色低碳循环发展。</w:t>
            </w:r>
          </w:p>
        </w:tc>
        <w:tc>
          <w:tcPr>
            <w:tcW w:w="1704" w:type="pct"/>
            <w:tcBorders>
              <w:tl2br w:val="nil"/>
              <w:tr2bl w:val="nil"/>
            </w:tcBorders>
            <w:vAlign w:val="center"/>
          </w:tcPr>
          <w:p w14:paraId="59B09426">
            <w:pPr>
              <w:spacing w:line="280" w:lineRule="exact"/>
              <w:jc w:val="center"/>
              <w:rPr>
                <w:color w:val="000000"/>
                <w:kern w:val="0"/>
                <w:sz w:val="21"/>
              </w:rPr>
            </w:pPr>
            <w:r>
              <w:rPr>
                <w:color w:val="000000"/>
                <w:kern w:val="0"/>
                <w:sz w:val="21"/>
              </w:rPr>
              <w:t>项目不属于燃煤火电项目，项目采用了清洁生产先进工艺，降低了能耗。</w:t>
            </w:r>
          </w:p>
        </w:tc>
      </w:tr>
      <w:tr w14:paraId="14F3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 w:type="pct"/>
            <w:tcBorders>
              <w:tl2br w:val="nil"/>
              <w:tr2bl w:val="nil"/>
            </w:tcBorders>
            <w:vAlign w:val="center"/>
          </w:tcPr>
          <w:p w14:paraId="751F55D2">
            <w:pPr>
              <w:spacing w:line="280" w:lineRule="exact"/>
              <w:jc w:val="center"/>
              <w:rPr>
                <w:color w:val="000000"/>
                <w:kern w:val="0"/>
                <w:sz w:val="21"/>
              </w:rPr>
            </w:pPr>
            <w:r>
              <w:rPr>
                <w:color w:val="000000"/>
                <w:kern w:val="0"/>
                <w:sz w:val="21"/>
              </w:rPr>
              <w:t>9</w:t>
            </w:r>
          </w:p>
        </w:tc>
        <w:tc>
          <w:tcPr>
            <w:tcW w:w="2899" w:type="pct"/>
            <w:tcBorders>
              <w:tl2br w:val="nil"/>
              <w:tr2bl w:val="nil"/>
            </w:tcBorders>
            <w:vAlign w:val="center"/>
          </w:tcPr>
          <w:p w14:paraId="7C305C47">
            <w:pPr>
              <w:spacing w:line="280" w:lineRule="exact"/>
              <w:rPr>
                <w:color w:val="000000"/>
                <w:kern w:val="0"/>
                <w:sz w:val="21"/>
              </w:rPr>
            </w:pPr>
            <w:r>
              <w:rPr>
                <w:color w:val="000000"/>
                <w:kern w:val="0"/>
                <w:sz w:val="21"/>
              </w:rPr>
              <w:t>（九）严格执行“三线一单”管控要求和环评管理制度。建立健全“三线一单”（生态保护红线、环境质量底线、资源利用上线和生态环境准入清单）对规划环评、项目环评的指导和约束机制，严格执行重庆市和涪陵区“三线一单”的有关规定。规划区内建设项目在开展环境影响评价时，应结合生态空间保护与管控要求，在落实环境质量底线的基础上深入论证项目建设可能产生的生态环境影响，严格生态环境准入要求，执行切实可行的污染防治和环境风险防控措施，预防或者减轻建设项目实施可能产生的不良环境影响。对与规划主导产业定位相符的建设项目，环境政策符合性、环境现状调查等环评内容可适当简化。</w:t>
            </w:r>
          </w:p>
        </w:tc>
        <w:tc>
          <w:tcPr>
            <w:tcW w:w="1704" w:type="pct"/>
            <w:tcBorders>
              <w:tl2br w:val="nil"/>
              <w:tr2bl w:val="nil"/>
            </w:tcBorders>
            <w:vAlign w:val="center"/>
          </w:tcPr>
          <w:p w14:paraId="581E4CCE">
            <w:pPr>
              <w:spacing w:line="280" w:lineRule="exact"/>
              <w:jc w:val="center"/>
              <w:rPr>
                <w:color w:val="000000"/>
                <w:kern w:val="0"/>
                <w:sz w:val="21"/>
              </w:rPr>
            </w:pPr>
            <w:r>
              <w:rPr>
                <w:color w:val="000000"/>
                <w:kern w:val="0"/>
                <w:sz w:val="21"/>
              </w:rPr>
              <w:t>本项目符合园区“三线一单”要求，并按要求落实污染防治及环境风险防控措施。</w:t>
            </w:r>
          </w:p>
        </w:tc>
      </w:tr>
    </w:tbl>
    <w:p w14:paraId="2476C88D">
      <w:pPr>
        <w:pStyle w:val="31"/>
        <w:ind w:firstLine="480" w:firstLineChars="200"/>
        <w:rPr>
          <w:color w:val="000000"/>
          <w:kern w:val="2"/>
          <w:szCs w:val="21"/>
        </w:rPr>
      </w:pPr>
      <w:r>
        <w:rPr>
          <w:color w:val="000000"/>
          <w:szCs w:val="21"/>
        </w:rPr>
        <w:t>根据表1.6.3-1分析</w:t>
      </w:r>
      <w:r>
        <w:rPr>
          <w:color w:val="000000"/>
          <w:kern w:val="2"/>
          <w:szCs w:val="21"/>
        </w:rPr>
        <w:t>，本项目符合《重庆市生态环境局关于重庆白涛化工园区规划修编环境影响报告书审查意见的函》（渝环函〔2021〕391号）。</w:t>
      </w:r>
    </w:p>
    <w:bookmarkEnd w:id="186"/>
    <w:bookmarkEnd w:id="187"/>
    <w:p w14:paraId="47F516AF">
      <w:pPr>
        <w:pStyle w:val="206"/>
        <w:outlineLvl w:val="2"/>
        <w:rPr>
          <w:rFonts w:ascii="Times New Roman" w:hAnsi="Times New Roman" w:eastAsia="宋体"/>
          <w:bCs/>
          <w:color w:val="000000"/>
          <w:sz w:val="24"/>
          <w:szCs w:val="24"/>
        </w:rPr>
      </w:pPr>
      <w:r>
        <w:rPr>
          <w:rFonts w:ascii="Times New Roman" w:hAnsi="Times New Roman" w:eastAsia="宋体"/>
          <w:bCs/>
          <w:color w:val="000000"/>
          <w:sz w:val="24"/>
          <w:szCs w:val="24"/>
        </w:rPr>
        <w:t>1.6.4项目与“三线一单”符合性分析</w:t>
      </w:r>
    </w:p>
    <w:p w14:paraId="5562BA19">
      <w:pPr>
        <w:pStyle w:val="206"/>
        <w:outlineLvl w:val="3"/>
        <w:rPr>
          <w:rFonts w:ascii="Times New Roman" w:hAnsi="Times New Roman" w:eastAsia="宋体"/>
          <w:bCs/>
          <w:color w:val="000000"/>
          <w:sz w:val="24"/>
          <w:szCs w:val="24"/>
        </w:rPr>
      </w:pPr>
      <w:r>
        <w:rPr>
          <w:rFonts w:ascii="Times New Roman" w:hAnsi="Times New Roman" w:eastAsia="宋体"/>
          <w:bCs/>
          <w:color w:val="000000"/>
          <w:sz w:val="24"/>
          <w:szCs w:val="24"/>
        </w:rPr>
        <w:t xml:space="preserve">1.6.4.1项目与涪陵区“三线一单”符合性分析 </w:t>
      </w:r>
    </w:p>
    <w:p w14:paraId="2DAFBFF2">
      <w:pPr>
        <w:pStyle w:val="206"/>
        <w:ind w:firstLine="480" w:firstLineChars="200"/>
        <w:rPr>
          <w:rFonts w:ascii="Times New Roman" w:hAnsi="Times New Roman" w:eastAsia="宋体"/>
          <w:color w:val="000000"/>
          <w:kern w:val="0"/>
          <w:sz w:val="24"/>
        </w:rPr>
      </w:pPr>
      <w:r>
        <w:rPr>
          <w:rFonts w:ascii="Times New Roman" w:hAnsi="Times New Roman" w:eastAsia="宋体"/>
          <w:color w:val="000000"/>
          <w:kern w:val="0"/>
          <w:sz w:val="24"/>
        </w:rPr>
        <w:t>根据《重庆市涪陵区人民政府办公室关于印发涪陵区落实“三线一单”实施生态环境分区管控实施方案的通知》（涪陵府办发[2020]118号），本规划与重庆市涪陵区“三线一单”的符合性分析如下：</w:t>
      </w:r>
    </w:p>
    <w:p w14:paraId="6F0D9CCD">
      <w:pPr>
        <w:pStyle w:val="206"/>
        <w:ind w:firstLine="480" w:firstLineChars="200"/>
        <w:rPr>
          <w:rFonts w:ascii="Times New Roman" w:hAnsi="Times New Roman" w:eastAsia="宋体"/>
          <w:color w:val="000000"/>
          <w:kern w:val="0"/>
          <w:sz w:val="24"/>
        </w:rPr>
      </w:pPr>
      <w:r>
        <w:rPr>
          <w:rFonts w:ascii="Times New Roman" w:hAnsi="Times New Roman" w:eastAsia="宋体"/>
          <w:color w:val="000000"/>
          <w:kern w:val="0"/>
          <w:sz w:val="24"/>
        </w:rPr>
        <w:t>1、生态保护红线要求</w:t>
      </w:r>
    </w:p>
    <w:p w14:paraId="60BAC169">
      <w:pPr>
        <w:pStyle w:val="206"/>
        <w:ind w:firstLine="480" w:firstLineChars="200"/>
        <w:rPr>
          <w:rFonts w:ascii="Times New Roman" w:hAnsi="Times New Roman" w:eastAsia="宋体"/>
          <w:color w:val="000000"/>
          <w:kern w:val="0"/>
          <w:sz w:val="24"/>
        </w:rPr>
      </w:pPr>
      <w:r>
        <w:rPr>
          <w:rFonts w:ascii="Times New Roman" w:hAnsi="Times New Roman" w:eastAsia="宋体"/>
          <w:color w:val="000000"/>
          <w:kern w:val="0"/>
          <w:sz w:val="24"/>
        </w:rPr>
        <w:t>涪陵区生态保护红线范围包括自然保护区保护红线、饮用水源保护区保护红线、风景名胜区保护红线、森林公园保护红线、三峡水库消落带保护红线、生态公益林保护红线、重点生态功能区-方斗山-七曜山生物多样性维护生态保护红线、重点生态功能区-方斗山-七曜山生物多样性维护生态保护红线，共计管控单元20个，面积共计233.23km2，占涪陵区国土面积的7.92%。本项目不在生态保护红线范围内。</w:t>
      </w:r>
    </w:p>
    <w:p w14:paraId="2F653676">
      <w:pPr>
        <w:pStyle w:val="206"/>
        <w:ind w:firstLine="480" w:firstLineChars="200"/>
        <w:rPr>
          <w:rFonts w:ascii="Times New Roman" w:hAnsi="Times New Roman" w:eastAsia="宋体"/>
          <w:color w:val="000000"/>
          <w:kern w:val="0"/>
          <w:sz w:val="24"/>
        </w:rPr>
      </w:pPr>
      <w:r>
        <w:rPr>
          <w:rFonts w:ascii="Times New Roman" w:hAnsi="Times New Roman" w:eastAsia="宋体"/>
          <w:color w:val="000000"/>
          <w:kern w:val="0"/>
          <w:sz w:val="24"/>
        </w:rPr>
        <w:t>2、环境管控要求</w:t>
      </w:r>
    </w:p>
    <w:p w14:paraId="0E3FBD82">
      <w:pPr>
        <w:pStyle w:val="206"/>
        <w:ind w:firstLine="480" w:firstLineChars="200"/>
        <w:rPr>
          <w:rFonts w:ascii="Times New Roman" w:hAnsi="Times New Roman" w:eastAsia="宋体"/>
          <w:color w:val="000000"/>
          <w:kern w:val="0"/>
          <w:sz w:val="24"/>
        </w:rPr>
      </w:pPr>
      <w:r>
        <w:rPr>
          <w:rFonts w:ascii="Times New Roman" w:hAnsi="Times New Roman" w:eastAsia="宋体"/>
          <w:color w:val="000000"/>
          <w:kern w:val="0"/>
          <w:sz w:val="24"/>
        </w:rPr>
        <w:t>环境管控单元包括优先保护单元、重点管控单元和一般管控单元三类。优先保护单元指以生态环境保护为主的区域，主要包括饮用水源保护区、环境空气一类功能区等。重点管控单元指涉及水、大气、土壤、自然资源等资源环境要素重点管控的区域，主要包括人口密集的城镇规划区和产业集聚的工业园区（工业集聚区）。一般管控单元指除优先保护单元、重点管控单元之外的其他区域。</w:t>
      </w:r>
    </w:p>
    <w:p w14:paraId="5405E9A3">
      <w:pPr>
        <w:pStyle w:val="206"/>
        <w:ind w:firstLine="480" w:firstLineChars="200"/>
        <w:rPr>
          <w:rFonts w:ascii="Times New Roman" w:hAnsi="Times New Roman" w:eastAsia="宋体"/>
          <w:color w:val="000000"/>
          <w:kern w:val="0"/>
          <w:sz w:val="24"/>
        </w:rPr>
      </w:pPr>
      <w:r>
        <w:rPr>
          <w:rFonts w:ascii="Times New Roman" w:hAnsi="Times New Roman" w:eastAsia="宋体"/>
          <w:color w:val="000000"/>
          <w:kern w:val="0"/>
          <w:sz w:val="24"/>
        </w:rPr>
        <w:t>全区国土空间按优先保护、重点管控和一般管控三大类划分为33个环境管控单元。其中优先保护单元17个，面积515.34 平方公里，占比17.5%；重点管控单元9个，面积895.23平方公里，占比30.4 %；一般管控单元7个，面积1534.25平方公里，占比52.1 %。</w:t>
      </w:r>
    </w:p>
    <w:p w14:paraId="71AC6873">
      <w:pPr>
        <w:pStyle w:val="206"/>
        <w:ind w:firstLine="480" w:firstLineChars="200"/>
        <w:rPr>
          <w:rFonts w:ascii="Times New Roman" w:hAnsi="Times New Roman" w:eastAsia="宋体"/>
          <w:color w:val="000000"/>
          <w:kern w:val="0"/>
          <w:sz w:val="24"/>
        </w:rPr>
      </w:pPr>
      <w:r>
        <w:rPr>
          <w:rFonts w:ascii="Times New Roman" w:hAnsi="Times New Roman" w:eastAsia="宋体"/>
          <w:color w:val="000000"/>
          <w:kern w:val="0"/>
          <w:sz w:val="24"/>
        </w:rPr>
        <w:t>项目属涪陵区重点管控单元-乌江麻柳嘴（环境管控单元编码：ZH50010220001），项目与涪陵区环境管控要求符合性分析见表1.6.4-1。</w:t>
      </w:r>
    </w:p>
    <w:p w14:paraId="51F26C51">
      <w:pPr>
        <w:pStyle w:val="2177"/>
        <w:widowControl w:val="0"/>
        <w:ind w:firstLine="1734" w:firstLineChars="826"/>
        <w:rPr>
          <w:color w:val="000000"/>
          <w:sz w:val="21"/>
        </w:rPr>
      </w:pPr>
      <w:r>
        <w:rPr>
          <w:color w:val="000000"/>
          <w:sz w:val="21"/>
        </w:rPr>
        <w:t>表1.6.4-1    项目与涪陵区环境管控的符合性分析</w:t>
      </w:r>
    </w:p>
    <w:tbl>
      <w:tblPr>
        <w:tblStyle w:val="73"/>
        <w:tblW w:w="4996" w:type="pct"/>
        <w:tblInd w:w="3"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0" w:type="dxa"/>
          <w:bottom w:w="0" w:type="dxa"/>
          <w:right w:w="0" w:type="dxa"/>
        </w:tblCellMar>
      </w:tblPr>
      <w:tblGrid>
        <w:gridCol w:w="1591"/>
        <w:gridCol w:w="1081"/>
        <w:gridCol w:w="807"/>
        <w:gridCol w:w="740"/>
        <w:gridCol w:w="340"/>
        <w:gridCol w:w="2264"/>
        <w:gridCol w:w="2019"/>
      </w:tblGrid>
      <w:tr w14:paraId="640B31A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899" w:type="pct"/>
            <w:tcBorders>
              <w:tl2br w:val="nil"/>
              <w:tr2bl w:val="nil"/>
            </w:tcBorders>
            <w:vAlign w:val="center"/>
          </w:tcPr>
          <w:p w14:paraId="23C4F50E">
            <w:pPr>
              <w:spacing w:line="240" w:lineRule="auto"/>
              <w:jc w:val="center"/>
              <w:rPr>
                <w:color w:val="000000"/>
                <w:kern w:val="0"/>
                <w:sz w:val="21"/>
              </w:rPr>
            </w:pPr>
            <w:r>
              <w:rPr>
                <w:color w:val="000000"/>
                <w:kern w:val="0"/>
                <w:sz w:val="21"/>
              </w:rPr>
              <w:t>环境管控</w:t>
            </w:r>
          </w:p>
          <w:p w14:paraId="67D465F6">
            <w:pPr>
              <w:spacing w:line="240" w:lineRule="auto"/>
              <w:jc w:val="center"/>
              <w:rPr>
                <w:color w:val="000000"/>
                <w:kern w:val="0"/>
                <w:sz w:val="21"/>
              </w:rPr>
            </w:pPr>
            <w:r>
              <w:rPr>
                <w:color w:val="000000"/>
                <w:kern w:val="0"/>
                <w:sz w:val="21"/>
              </w:rPr>
              <w:t>单元编码</w:t>
            </w:r>
          </w:p>
        </w:tc>
        <w:tc>
          <w:tcPr>
            <w:tcW w:w="611" w:type="pct"/>
            <w:tcBorders>
              <w:tl2br w:val="nil"/>
              <w:tr2bl w:val="nil"/>
            </w:tcBorders>
            <w:vAlign w:val="center"/>
          </w:tcPr>
          <w:p w14:paraId="10DE530C">
            <w:pPr>
              <w:spacing w:line="240" w:lineRule="auto"/>
              <w:jc w:val="center"/>
              <w:rPr>
                <w:color w:val="000000"/>
                <w:kern w:val="0"/>
                <w:sz w:val="21"/>
              </w:rPr>
            </w:pPr>
            <w:r>
              <w:rPr>
                <w:color w:val="000000"/>
                <w:kern w:val="0"/>
                <w:sz w:val="21"/>
              </w:rPr>
              <w:t>环境管控单元名称</w:t>
            </w:r>
          </w:p>
        </w:tc>
        <w:tc>
          <w:tcPr>
            <w:tcW w:w="456" w:type="pct"/>
            <w:tcBorders>
              <w:tl2br w:val="nil"/>
              <w:tr2bl w:val="nil"/>
            </w:tcBorders>
            <w:vAlign w:val="center"/>
          </w:tcPr>
          <w:p w14:paraId="7ED3728E">
            <w:pPr>
              <w:spacing w:line="240" w:lineRule="auto"/>
              <w:jc w:val="center"/>
              <w:rPr>
                <w:color w:val="000000"/>
                <w:kern w:val="0"/>
                <w:sz w:val="21"/>
              </w:rPr>
            </w:pPr>
            <w:r>
              <w:rPr>
                <w:color w:val="000000"/>
                <w:kern w:val="0"/>
                <w:sz w:val="21"/>
              </w:rPr>
              <w:t>环境管控单元分类</w:t>
            </w:r>
          </w:p>
        </w:tc>
        <w:tc>
          <w:tcPr>
            <w:tcW w:w="418" w:type="pct"/>
            <w:tcBorders>
              <w:tl2br w:val="nil"/>
              <w:tr2bl w:val="nil"/>
            </w:tcBorders>
            <w:vAlign w:val="center"/>
          </w:tcPr>
          <w:p w14:paraId="0CA55BDA">
            <w:pPr>
              <w:spacing w:line="240" w:lineRule="auto"/>
              <w:jc w:val="center"/>
              <w:rPr>
                <w:color w:val="000000"/>
                <w:kern w:val="0"/>
                <w:sz w:val="21"/>
              </w:rPr>
            </w:pPr>
            <w:r>
              <w:rPr>
                <w:color w:val="000000"/>
                <w:kern w:val="0"/>
                <w:sz w:val="21"/>
              </w:rPr>
              <w:t>执行的市级总体管控要求</w:t>
            </w:r>
          </w:p>
        </w:tc>
        <w:tc>
          <w:tcPr>
            <w:tcW w:w="192" w:type="pct"/>
            <w:tcBorders>
              <w:tl2br w:val="nil"/>
              <w:tr2bl w:val="nil"/>
            </w:tcBorders>
            <w:vAlign w:val="center"/>
          </w:tcPr>
          <w:p w14:paraId="69E1A62F">
            <w:pPr>
              <w:spacing w:line="240" w:lineRule="auto"/>
              <w:jc w:val="center"/>
              <w:rPr>
                <w:color w:val="000000"/>
                <w:kern w:val="0"/>
                <w:sz w:val="21"/>
              </w:rPr>
            </w:pPr>
            <w:r>
              <w:rPr>
                <w:color w:val="000000"/>
                <w:kern w:val="0"/>
                <w:sz w:val="21"/>
              </w:rPr>
              <w:t>管控类别</w:t>
            </w:r>
          </w:p>
        </w:tc>
        <w:tc>
          <w:tcPr>
            <w:tcW w:w="1279" w:type="pct"/>
            <w:tcBorders>
              <w:tl2br w:val="nil"/>
              <w:tr2bl w:val="nil"/>
            </w:tcBorders>
            <w:vAlign w:val="center"/>
          </w:tcPr>
          <w:p w14:paraId="7FDA3D8B">
            <w:pPr>
              <w:spacing w:line="240" w:lineRule="auto"/>
              <w:jc w:val="center"/>
              <w:rPr>
                <w:color w:val="000000"/>
                <w:kern w:val="0"/>
                <w:sz w:val="21"/>
              </w:rPr>
            </w:pPr>
            <w:r>
              <w:rPr>
                <w:color w:val="000000"/>
                <w:kern w:val="0"/>
                <w:sz w:val="21"/>
              </w:rPr>
              <w:t>管控要求</w:t>
            </w:r>
          </w:p>
        </w:tc>
        <w:tc>
          <w:tcPr>
            <w:tcW w:w="1141" w:type="pct"/>
            <w:tcBorders>
              <w:tl2br w:val="nil"/>
              <w:tr2bl w:val="nil"/>
            </w:tcBorders>
            <w:vAlign w:val="center"/>
          </w:tcPr>
          <w:p w14:paraId="6D477721">
            <w:pPr>
              <w:spacing w:line="240" w:lineRule="auto"/>
              <w:jc w:val="center"/>
              <w:rPr>
                <w:color w:val="000000"/>
                <w:kern w:val="0"/>
                <w:sz w:val="21"/>
              </w:rPr>
            </w:pPr>
            <w:r>
              <w:rPr>
                <w:color w:val="000000"/>
                <w:kern w:val="0"/>
                <w:sz w:val="21"/>
              </w:rPr>
              <w:t>项目与其符合性分析</w:t>
            </w:r>
          </w:p>
        </w:tc>
      </w:tr>
      <w:tr w14:paraId="1D8B135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899" w:type="pct"/>
            <w:vMerge w:val="restart"/>
            <w:tcBorders>
              <w:tl2br w:val="nil"/>
              <w:tr2bl w:val="nil"/>
            </w:tcBorders>
            <w:vAlign w:val="center"/>
          </w:tcPr>
          <w:p w14:paraId="6F697794">
            <w:pPr>
              <w:pStyle w:val="39"/>
              <w:jc w:val="center"/>
              <w:rPr>
                <w:color w:val="000000"/>
                <w:sz w:val="21"/>
                <w:szCs w:val="21"/>
              </w:rPr>
            </w:pPr>
            <w:r>
              <w:rPr>
                <w:color w:val="000000"/>
                <w:sz w:val="21"/>
                <w:szCs w:val="21"/>
              </w:rPr>
              <w:t>ZH50010220001</w:t>
            </w:r>
          </w:p>
        </w:tc>
        <w:tc>
          <w:tcPr>
            <w:tcW w:w="611" w:type="pct"/>
            <w:vMerge w:val="restart"/>
            <w:tcBorders>
              <w:tl2br w:val="nil"/>
              <w:tr2bl w:val="nil"/>
            </w:tcBorders>
            <w:vAlign w:val="center"/>
          </w:tcPr>
          <w:p w14:paraId="7606326B">
            <w:pPr>
              <w:pStyle w:val="39"/>
              <w:jc w:val="center"/>
              <w:rPr>
                <w:color w:val="000000"/>
                <w:sz w:val="21"/>
                <w:szCs w:val="21"/>
              </w:rPr>
            </w:pPr>
            <w:r>
              <w:rPr>
                <w:color w:val="000000"/>
                <w:sz w:val="21"/>
                <w:szCs w:val="21"/>
              </w:rPr>
              <w:t>涪陵区重点管控单元1-乌江麻柳嘴</w:t>
            </w:r>
          </w:p>
        </w:tc>
        <w:tc>
          <w:tcPr>
            <w:tcW w:w="456" w:type="pct"/>
            <w:vMerge w:val="restart"/>
            <w:tcBorders>
              <w:tl2br w:val="nil"/>
              <w:tr2bl w:val="nil"/>
            </w:tcBorders>
            <w:vAlign w:val="center"/>
          </w:tcPr>
          <w:p w14:paraId="57C92A64">
            <w:pPr>
              <w:spacing w:line="240" w:lineRule="auto"/>
              <w:jc w:val="center"/>
              <w:rPr>
                <w:color w:val="000000"/>
                <w:kern w:val="0"/>
                <w:sz w:val="21"/>
              </w:rPr>
            </w:pPr>
            <w:r>
              <w:rPr>
                <w:color w:val="000000"/>
                <w:kern w:val="0"/>
                <w:sz w:val="21"/>
              </w:rPr>
              <w:t>重点管控单元1</w:t>
            </w:r>
          </w:p>
        </w:tc>
        <w:tc>
          <w:tcPr>
            <w:tcW w:w="418" w:type="pct"/>
            <w:vMerge w:val="restart"/>
            <w:tcBorders>
              <w:tl2br w:val="nil"/>
              <w:tr2bl w:val="nil"/>
            </w:tcBorders>
            <w:vAlign w:val="center"/>
          </w:tcPr>
          <w:p w14:paraId="4FB53D19">
            <w:pPr>
              <w:spacing w:line="240" w:lineRule="auto"/>
              <w:jc w:val="center"/>
              <w:rPr>
                <w:color w:val="000000"/>
                <w:kern w:val="0"/>
                <w:sz w:val="21"/>
              </w:rPr>
            </w:pPr>
            <w:r>
              <w:rPr>
                <w:color w:val="000000"/>
                <w:kern w:val="0"/>
                <w:sz w:val="21"/>
              </w:rPr>
              <w:t>执行水环境重点管控单元、相应市级、主城东片区总体管控要求。</w:t>
            </w:r>
          </w:p>
        </w:tc>
        <w:tc>
          <w:tcPr>
            <w:tcW w:w="192" w:type="pct"/>
            <w:tcBorders>
              <w:tl2br w:val="nil"/>
              <w:tr2bl w:val="nil"/>
            </w:tcBorders>
            <w:vAlign w:val="center"/>
          </w:tcPr>
          <w:p w14:paraId="0CEB1634">
            <w:pPr>
              <w:spacing w:line="240" w:lineRule="auto"/>
              <w:jc w:val="center"/>
              <w:rPr>
                <w:color w:val="000000"/>
                <w:kern w:val="0"/>
                <w:sz w:val="21"/>
              </w:rPr>
            </w:pPr>
            <w:r>
              <w:rPr>
                <w:color w:val="000000"/>
                <w:kern w:val="0"/>
                <w:sz w:val="21"/>
              </w:rPr>
              <w:t>空间布局约束</w:t>
            </w:r>
          </w:p>
        </w:tc>
        <w:tc>
          <w:tcPr>
            <w:tcW w:w="1279" w:type="pct"/>
            <w:tcBorders>
              <w:tl2br w:val="nil"/>
              <w:tr2bl w:val="nil"/>
            </w:tcBorders>
            <w:vAlign w:val="center"/>
          </w:tcPr>
          <w:p w14:paraId="404E7DB4">
            <w:pPr>
              <w:pStyle w:val="39"/>
              <w:jc w:val="center"/>
              <w:rPr>
                <w:color w:val="000000"/>
                <w:sz w:val="21"/>
                <w:szCs w:val="21"/>
              </w:rPr>
            </w:pPr>
            <w:r>
              <w:rPr>
                <w:color w:val="000000"/>
                <w:sz w:val="21"/>
                <w:szCs w:val="21"/>
              </w:rPr>
              <w:t>1.重庆白涛园区不得规划食品加工企业等与园区主导产业环境相冲突的项目；2.禁止新建或扩建合成氨项目（区域规划搬迁、综合利用项目除外）；3.禁止在乌江干流岸线1公里范围内新建重化工、纺织、造纸等存在污染风险的工业项目；4.化工园区外禁止新建、扩建化工项目；5.禁止在乌江干岸线175米库岸沿线至第一山脊线范围内建设露天采矿项目。</w:t>
            </w:r>
          </w:p>
        </w:tc>
        <w:tc>
          <w:tcPr>
            <w:tcW w:w="1141" w:type="pct"/>
            <w:tcBorders>
              <w:tl2br w:val="nil"/>
              <w:tr2bl w:val="nil"/>
            </w:tcBorders>
            <w:vAlign w:val="center"/>
          </w:tcPr>
          <w:p w14:paraId="50734037">
            <w:pPr>
              <w:pStyle w:val="39"/>
              <w:jc w:val="center"/>
              <w:rPr>
                <w:color w:val="000000"/>
                <w:sz w:val="21"/>
                <w:szCs w:val="21"/>
              </w:rPr>
            </w:pPr>
            <w:r>
              <w:rPr>
                <w:color w:val="000000"/>
                <w:sz w:val="21"/>
                <w:szCs w:val="21"/>
              </w:rPr>
              <w:t>项目位于重庆白涛化工园区涪陵LNG工厂内，项目利用LNG工厂BOG尾气生产高纯氦气，不属于食品加工等与园区主导产业环境相冲突的项目。项目距离乌江6.</w:t>
            </w:r>
            <w:r>
              <w:rPr>
                <w:rFonts w:hint="eastAsia"/>
                <w:color w:val="000000"/>
                <w:sz w:val="21"/>
                <w:szCs w:val="21"/>
              </w:rPr>
              <w:t>8</w:t>
            </w:r>
            <w:r>
              <w:rPr>
                <w:color w:val="000000"/>
                <w:sz w:val="21"/>
                <w:szCs w:val="21"/>
              </w:rPr>
              <w:t>km，项目不属于上述禁止建设的项目。</w:t>
            </w:r>
          </w:p>
        </w:tc>
      </w:tr>
      <w:tr w14:paraId="33AE7FC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899" w:type="pct"/>
            <w:vMerge w:val="continue"/>
            <w:tcBorders>
              <w:tl2br w:val="nil"/>
              <w:tr2bl w:val="nil"/>
            </w:tcBorders>
            <w:vAlign w:val="center"/>
          </w:tcPr>
          <w:p w14:paraId="2C15D624">
            <w:pPr>
              <w:spacing w:line="240" w:lineRule="auto"/>
              <w:jc w:val="center"/>
              <w:rPr>
                <w:color w:val="000000"/>
                <w:sz w:val="21"/>
              </w:rPr>
            </w:pPr>
          </w:p>
        </w:tc>
        <w:tc>
          <w:tcPr>
            <w:tcW w:w="611" w:type="pct"/>
            <w:vMerge w:val="continue"/>
            <w:tcBorders>
              <w:tl2br w:val="nil"/>
              <w:tr2bl w:val="nil"/>
            </w:tcBorders>
            <w:vAlign w:val="center"/>
          </w:tcPr>
          <w:p w14:paraId="48666237">
            <w:pPr>
              <w:spacing w:line="240" w:lineRule="auto"/>
              <w:jc w:val="center"/>
              <w:rPr>
                <w:color w:val="000000"/>
                <w:sz w:val="21"/>
              </w:rPr>
            </w:pPr>
          </w:p>
        </w:tc>
        <w:tc>
          <w:tcPr>
            <w:tcW w:w="456" w:type="pct"/>
            <w:vMerge w:val="continue"/>
            <w:tcBorders>
              <w:tl2br w:val="nil"/>
              <w:tr2bl w:val="nil"/>
            </w:tcBorders>
            <w:vAlign w:val="center"/>
          </w:tcPr>
          <w:p w14:paraId="5ECA9407">
            <w:pPr>
              <w:spacing w:line="240" w:lineRule="auto"/>
              <w:jc w:val="center"/>
              <w:rPr>
                <w:color w:val="000000"/>
                <w:kern w:val="0"/>
                <w:sz w:val="21"/>
              </w:rPr>
            </w:pPr>
          </w:p>
        </w:tc>
        <w:tc>
          <w:tcPr>
            <w:tcW w:w="418" w:type="pct"/>
            <w:vMerge w:val="continue"/>
            <w:tcBorders>
              <w:tl2br w:val="nil"/>
              <w:tr2bl w:val="nil"/>
            </w:tcBorders>
            <w:vAlign w:val="center"/>
          </w:tcPr>
          <w:p w14:paraId="52E7428B">
            <w:pPr>
              <w:spacing w:line="240" w:lineRule="auto"/>
              <w:jc w:val="center"/>
              <w:rPr>
                <w:color w:val="000000"/>
                <w:kern w:val="0"/>
                <w:sz w:val="21"/>
              </w:rPr>
            </w:pPr>
          </w:p>
        </w:tc>
        <w:tc>
          <w:tcPr>
            <w:tcW w:w="192" w:type="pct"/>
            <w:tcBorders>
              <w:tl2br w:val="nil"/>
              <w:tr2bl w:val="nil"/>
            </w:tcBorders>
            <w:vAlign w:val="center"/>
          </w:tcPr>
          <w:p w14:paraId="294F260F">
            <w:pPr>
              <w:spacing w:line="240" w:lineRule="auto"/>
              <w:jc w:val="center"/>
              <w:rPr>
                <w:color w:val="000000"/>
                <w:kern w:val="0"/>
                <w:sz w:val="21"/>
              </w:rPr>
            </w:pPr>
            <w:r>
              <w:rPr>
                <w:color w:val="000000"/>
                <w:kern w:val="0"/>
                <w:sz w:val="21"/>
              </w:rPr>
              <w:t>污染物排放管控</w:t>
            </w:r>
          </w:p>
        </w:tc>
        <w:tc>
          <w:tcPr>
            <w:tcW w:w="1279" w:type="pct"/>
            <w:tcBorders>
              <w:tl2br w:val="nil"/>
              <w:tr2bl w:val="nil"/>
            </w:tcBorders>
            <w:vAlign w:val="center"/>
          </w:tcPr>
          <w:p w14:paraId="45EC8A72">
            <w:pPr>
              <w:pStyle w:val="39"/>
              <w:jc w:val="center"/>
              <w:rPr>
                <w:color w:val="000000"/>
                <w:spacing w:val="-4"/>
                <w:sz w:val="21"/>
                <w:szCs w:val="21"/>
              </w:rPr>
            </w:pPr>
            <w:r>
              <w:rPr>
                <w:color w:val="000000"/>
                <w:spacing w:val="-4"/>
                <w:sz w:val="21"/>
                <w:szCs w:val="21"/>
              </w:rPr>
              <w:t>1.严控涪陵工业园区龙桥组团南岸浦片区燃煤热电项目建设；2.涪陵江南主城区逐步实施城市建成区国Ⅰ排放标准汽油车、国Ⅲ排放标准柴油车限行、推进国Ⅲ及以下排放标准营运柴油车提前淘汰更新；江南主城区禁止新建扩建工业企业，现有城区大气污染严重企业逐步退城入园（现有实施清洁生产改造企业除外）；3.建设页岩气田产出水收集及处理系统，集中处理区域内页岩气田产出水；4.完善城区和乡镇集中污水处理厂和二三级污水管网。</w:t>
            </w:r>
          </w:p>
        </w:tc>
        <w:tc>
          <w:tcPr>
            <w:tcW w:w="1141" w:type="pct"/>
            <w:tcBorders>
              <w:tl2br w:val="nil"/>
              <w:tr2bl w:val="nil"/>
            </w:tcBorders>
            <w:vAlign w:val="center"/>
          </w:tcPr>
          <w:p w14:paraId="6C0F051E">
            <w:pPr>
              <w:pStyle w:val="39"/>
              <w:jc w:val="center"/>
              <w:rPr>
                <w:color w:val="000000"/>
                <w:spacing w:val="-4"/>
                <w:sz w:val="21"/>
                <w:szCs w:val="21"/>
              </w:rPr>
            </w:pPr>
            <w:r>
              <w:rPr>
                <w:color w:val="000000"/>
                <w:spacing w:val="-4"/>
                <w:sz w:val="21"/>
                <w:szCs w:val="21"/>
              </w:rPr>
              <w:t>不涉及</w:t>
            </w:r>
          </w:p>
        </w:tc>
      </w:tr>
      <w:tr w14:paraId="6711C17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899" w:type="pct"/>
            <w:vMerge w:val="continue"/>
            <w:tcBorders>
              <w:tl2br w:val="nil"/>
              <w:tr2bl w:val="nil"/>
            </w:tcBorders>
            <w:vAlign w:val="center"/>
          </w:tcPr>
          <w:p w14:paraId="0CCA05E6">
            <w:pPr>
              <w:spacing w:line="240" w:lineRule="auto"/>
              <w:jc w:val="center"/>
              <w:rPr>
                <w:color w:val="000000"/>
                <w:sz w:val="21"/>
              </w:rPr>
            </w:pPr>
          </w:p>
        </w:tc>
        <w:tc>
          <w:tcPr>
            <w:tcW w:w="611" w:type="pct"/>
            <w:vMerge w:val="continue"/>
            <w:tcBorders>
              <w:tl2br w:val="nil"/>
              <w:tr2bl w:val="nil"/>
            </w:tcBorders>
            <w:vAlign w:val="center"/>
          </w:tcPr>
          <w:p w14:paraId="191F808D">
            <w:pPr>
              <w:spacing w:line="240" w:lineRule="auto"/>
              <w:jc w:val="center"/>
              <w:rPr>
                <w:color w:val="000000"/>
                <w:sz w:val="21"/>
              </w:rPr>
            </w:pPr>
          </w:p>
        </w:tc>
        <w:tc>
          <w:tcPr>
            <w:tcW w:w="456" w:type="pct"/>
            <w:vMerge w:val="continue"/>
            <w:tcBorders>
              <w:tl2br w:val="nil"/>
              <w:tr2bl w:val="nil"/>
            </w:tcBorders>
            <w:vAlign w:val="center"/>
          </w:tcPr>
          <w:p w14:paraId="00A3057D">
            <w:pPr>
              <w:spacing w:line="240" w:lineRule="auto"/>
              <w:jc w:val="center"/>
              <w:rPr>
                <w:color w:val="000000"/>
                <w:kern w:val="0"/>
                <w:sz w:val="21"/>
              </w:rPr>
            </w:pPr>
          </w:p>
        </w:tc>
        <w:tc>
          <w:tcPr>
            <w:tcW w:w="418" w:type="pct"/>
            <w:vMerge w:val="continue"/>
            <w:tcBorders>
              <w:tl2br w:val="nil"/>
              <w:tr2bl w:val="nil"/>
            </w:tcBorders>
            <w:vAlign w:val="center"/>
          </w:tcPr>
          <w:p w14:paraId="3B36E981">
            <w:pPr>
              <w:spacing w:line="240" w:lineRule="auto"/>
              <w:jc w:val="center"/>
              <w:rPr>
                <w:color w:val="000000"/>
                <w:kern w:val="0"/>
                <w:sz w:val="21"/>
              </w:rPr>
            </w:pPr>
          </w:p>
        </w:tc>
        <w:tc>
          <w:tcPr>
            <w:tcW w:w="192" w:type="pct"/>
            <w:tcBorders>
              <w:tl2br w:val="nil"/>
              <w:tr2bl w:val="nil"/>
            </w:tcBorders>
            <w:vAlign w:val="center"/>
          </w:tcPr>
          <w:p w14:paraId="2D027DA4">
            <w:pPr>
              <w:spacing w:line="240" w:lineRule="auto"/>
              <w:jc w:val="center"/>
              <w:rPr>
                <w:color w:val="000000"/>
                <w:kern w:val="0"/>
                <w:sz w:val="21"/>
              </w:rPr>
            </w:pPr>
            <w:r>
              <w:rPr>
                <w:color w:val="000000"/>
                <w:kern w:val="0"/>
                <w:sz w:val="21"/>
              </w:rPr>
              <w:t>环境风险防控</w:t>
            </w:r>
          </w:p>
        </w:tc>
        <w:tc>
          <w:tcPr>
            <w:tcW w:w="1279" w:type="pct"/>
            <w:tcBorders>
              <w:tl2br w:val="nil"/>
              <w:tr2bl w:val="nil"/>
            </w:tcBorders>
            <w:vAlign w:val="center"/>
          </w:tcPr>
          <w:p w14:paraId="2A0389F4">
            <w:pPr>
              <w:pStyle w:val="39"/>
              <w:jc w:val="center"/>
              <w:rPr>
                <w:color w:val="000000"/>
                <w:sz w:val="21"/>
                <w:szCs w:val="21"/>
              </w:rPr>
            </w:pPr>
            <w:r>
              <w:rPr>
                <w:color w:val="000000"/>
                <w:sz w:val="21"/>
                <w:szCs w:val="21"/>
              </w:rPr>
              <w:t>1.完善白涛园区环境风险防范体系，严格控制项目环境风险，合理布局生产装置及危险化学品仓储等设施；2.强化乌江岸线1公里范围内危化品码头的环境风险防范措施；3.加强区域页岩气开发中的水污染风险管控，采用先进环保的钻采工艺，切实保护区域水环境。</w:t>
            </w:r>
          </w:p>
        </w:tc>
        <w:tc>
          <w:tcPr>
            <w:tcW w:w="1141" w:type="pct"/>
            <w:tcBorders>
              <w:tl2br w:val="nil"/>
              <w:tr2bl w:val="nil"/>
            </w:tcBorders>
            <w:vAlign w:val="center"/>
          </w:tcPr>
          <w:p w14:paraId="3E1A0B90">
            <w:pPr>
              <w:pStyle w:val="39"/>
              <w:jc w:val="center"/>
              <w:rPr>
                <w:color w:val="000000"/>
                <w:sz w:val="21"/>
                <w:szCs w:val="21"/>
              </w:rPr>
            </w:pPr>
            <w:r>
              <w:rPr>
                <w:color w:val="000000"/>
                <w:sz w:val="21"/>
                <w:szCs w:val="21"/>
              </w:rPr>
              <w:t>项目提出了风险防范措施及风险应急预案，可将环境风险概率降低到可接受的程度。</w:t>
            </w:r>
          </w:p>
        </w:tc>
      </w:tr>
      <w:tr w14:paraId="283F34C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899" w:type="pct"/>
            <w:vMerge w:val="continue"/>
            <w:tcBorders>
              <w:tl2br w:val="nil"/>
              <w:tr2bl w:val="nil"/>
            </w:tcBorders>
            <w:vAlign w:val="center"/>
          </w:tcPr>
          <w:p w14:paraId="30F38781">
            <w:pPr>
              <w:spacing w:line="240" w:lineRule="auto"/>
              <w:jc w:val="center"/>
              <w:rPr>
                <w:color w:val="000000"/>
                <w:sz w:val="21"/>
              </w:rPr>
            </w:pPr>
          </w:p>
        </w:tc>
        <w:tc>
          <w:tcPr>
            <w:tcW w:w="611" w:type="pct"/>
            <w:vMerge w:val="continue"/>
            <w:tcBorders>
              <w:tl2br w:val="nil"/>
              <w:tr2bl w:val="nil"/>
            </w:tcBorders>
            <w:vAlign w:val="center"/>
          </w:tcPr>
          <w:p w14:paraId="428E3BB8">
            <w:pPr>
              <w:spacing w:line="240" w:lineRule="auto"/>
              <w:jc w:val="center"/>
              <w:rPr>
                <w:color w:val="000000"/>
                <w:sz w:val="21"/>
              </w:rPr>
            </w:pPr>
          </w:p>
        </w:tc>
        <w:tc>
          <w:tcPr>
            <w:tcW w:w="456" w:type="pct"/>
            <w:vMerge w:val="continue"/>
            <w:tcBorders>
              <w:tl2br w:val="nil"/>
              <w:tr2bl w:val="nil"/>
            </w:tcBorders>
            <w:vAlign w:val="center"/>
          </w:tcPr>
          <w:p w14:paraId="07D1BD0B">
            <w:pPr>
              <w:spacing w:line="240" w:lineRule="auto"/>
              <w:jc w:val="center"/>
              <w:rPr>
                <w:color w:val="000000"/>
                <w:kern w:val="0"/>
                <w:sz w:val="21"/>
              </w:rPr>
            </w:pPr>
          </w:p>
        </w:tc>
        <w:tc>
          <w:tcPr>
            <w:tcW w:w="418" w:type="pct"/>
            <w:vMerge w:val="continue"/>
            <w:tcBorders>
              <w:tl2br w:val="nil"/>
              <w:tr2bl w:val="nil"/>
            </w:tcBorders>
            <w:vAlign w:val="center"/>
          </w:tcPr>
          <w:p w14:paraId="78D81AAD">
            <w:pPr>
              <w:spacing w:line="240" w:lineRule="auto"/>
              <w:jc w:val="center"/>
              <w:rPr>
                <w:color w:val="000000"/>
                <w:kern w:val="0"/>
                <w:sz w:val="21"/>
              </w:rPr>
            </w:pPr>
          </w:p>
        </w:tc>
        <w:tc>
          <w:tcPr>
            <w:tcW w:w="192" w:type="pct"/>
            <w:tcBorders>
              <w:tl2br w:val="nil"/>
              <w:tr2bl w:val="nil"/>
            </w:tcBorders>
            <w:vAlign w:val="center"/>
          </w:tcPr>
          <w:p w14:paraId="06938984">
            <w:pPr>
              <w:spacing w:line="240" w:lineRule="auto"/>
              <w:jc w:val="center"/>
              <w:rPr>
                <w:color w:val="000000"/>
                <w:kern w:val="0"/>
                <w:sz w:val="21"/>
              </w:rPr>
            </w:pPr>
            <w:r>
              <w:rPr>
                <w:color w:val="000000"/>
                <w:kern w:val="0"/>
                <w:sz w:val="21"/>
              </w:rPr>
              <w:t>资源开发效率要求</w:t>
            </w:r>
          </w:p>
        </w:tc>
        <w:tc>
          <w:tcPr>
            <w:tcW w:w="1279" w:type="pct"/>
            <w:tcBorders>
              <w:tl2br w:val="nil"/>
              <w:tr2bl w:val="nil"/>
            </w:tcBorders>
            <w:vAlign w:val="center"/>
          </w:tcPr>
          <w:p w14:paraId="138DEC28">
            <w:pPr>
              <w:pStyle w:val="39"/>
              <w:jc w:val="center"/>
              <w:rPr>
                <w:color w:val="000000"/>
                <w:sz w:val="21"/>
                <w:szCs w:val="21"/>
              </w:rPr>
            </w:pPr>
            <w:r>
              <w:rPr>
                <w:color w:val="000000"/>
                <w:sz w:val="21"/>
                <w:szCs w:val="21"/>
              </w:rPr>
              <w:t>对建峰化工自来水厂、蒿枝坝自来水厂、马脚溪自来水厂集中式饮用水源保护区，以及小溪风景名胜区、乌江森林公园、乌江沿线自然生态岸线要严加保护，不得违规侵占，严禁进行影响饮用水源保护和破坏生态环境的开发活动。</w:t>
            </w:r>
          </w:p>
        </w:tc>
        <w:tc>
          <w:tcPr>
            <w:tcW w:w="1141" w:type="pct"/>
            <w:tcBorders>
              <w:tl2br w:val="nil"/>
              <w:tr2bl w:val="nil"/>
            </w:tcBorders>
            <w:vAlign w:val="center"/>
          </w:tcPr>
          <w:p w14:paraId="308C5034">
            <w:pPr>
              <w:pStyle w:val="39"/>
              <w:jc w:val="center"/>
              <w:rPr>
                <w:color w:val="000000"/>
                <w:sz w:val="21"/>
                <w:szCs w:val="21"/>
              </w:rPr>
            </w:pPr>
            <w:r>
              <w:rPr>
                <w:color w:val="000000"/>
                <w:sz w:val="21"/>
                <w:szCs w:val="21"/>
              </w:rPr>
              <w:t>项目为改扩建项目，位于现有LNG工厂区内，不新增占地；不涉及饮用水源保护区等敏感区</w:t>
            </w:r>
          </w:p>
        </w:tc>
      </w:tr>
    </w:tbl>
    <w:p w14:paraId="348D17AC">
      <w:pPr>
        <w:widowControl w:val="0"/>
        <w:adjustRightInd/>
        <w:snapToGrid/>
        <w:ind w:firstLine="480" w:firstLineChars="200"/>
        <w:rPr>
          <w:color w:val="000000"/>
          <w:szCs w:val="24"/>
        </w:rPr>
      </w:pPr>
      <w:r>
        <w:rPr>
          <w:color w:val="000000"/>
          <w:szCs w:val="24"/>
        </w:rPr>
        <w:t>由上表可知，项目建设符合涪陵区“三线一单”管控要求。</w:t>
      </w:r>
    </w:p>
    <w:p w14:paraId="13971686">
      <w:pPr>
        <w:widowControl w:val="0"/>
        <w:outlineLvl w:val="3"/>
        <w:rPr>
          <w:b/>
          <w:bCs/>
          <w:color w:val="000000"/>
          <w:szCs w:val="24"/>
        </w:rPr>
      </w:pPr>
      <w:r>
        <w:rPr>
          <w:color w:val="000000"/>
          <w:szCs w:val="24"/>
        </w:rPr>
        <w:t>1.6.4.2</w:t>
      </w:r>
      <w:r>
        <w:rPr>
          <w:bCs/>
          <w:color w:val="000000"/>
          <w:szCs w:val="24"/>
        </w:rPr>
        <w:t>项目与园区 “三线一单”符合性分析</w:t>
      </w:r>
    </w:p>
    <w:p w14:paraId="5CE32EAE">
      <w:pPr>
        <w:widowControl w:val="0"/>
        <w:ind w:firstLine="480" w:firstLineChars="200"/>
        <w:rPr>
          <w:color w:val="000000"/>
          <w:szCs w:val="24"/>
        </w:rPr>
      </w:pPr>
      <w:r>
        <w:rPr>
          <w:color w:val="000000"/>
          <w:szCs w:val="24"/>
        </w:rPr>
        <w:t>（1）生态保护红线</w:t>
      </w:r>
    </w:p>
    <w:p w14:paraId="00FD5A25">
      <w:pPr>
        <w:widowControl w:val="0"/>
        <w:ind w:firstLine="480" w:firstLineChars="200"/>
        <w:rPr>
          <w:color w:val="000000"/>
          <w:szCs w:val="24"/>
        </w:rPr>
      </w:pPr>
      <w:r>
        <w:rPr>
          <w:color w:val="000000"/>
          <w:szCs w:val="24"/>
        </w:rPr>
        <w:t>涪陵区共划定生态保护红线233.23km</w:t>
      </w:r>
      <w:r>
        <w:rPr>
          <w:color w:val="000000"/>
          <w:szCs w:val="24"/>
          <w:vertAlign w:val="superscript"/>
        </w:rPr>
        <w:t>2</w:t>
      </w:r>
      <w:r>
        <w:rPr>
          <w:color w:val="000000"/>
          <w:szCs w:val="24"/>
        </w:rPr>
        <w:t>，占涪陵区国土面积的7.92%。本项目位于重庆白涛化工园区涪陵LNG工厂内，不在生态保护红线内。</w:t>
      </w:r>
    </w:p>
    <w:p w14:paraId="1C0C46FD">
      <w:pPr>
        <w:widowControl w:val="0"/>
        <w:ind w:firstLine="480" w:firstLineChars="200"/>
        <w:rPr>
          <w:color w:val="000000"/>
          <w:szCs w:val="24"/>
        </w:rPr>
      </w:pPr>
      <w:r>
        <w:rPr>
          <w:color w:val="000000"/>
          <w:szCs w:val="24"/>
        </w:rPr>
        <w:t>（2）环境质量底线</w:t>
      </w:r>
    </w:p>
    <w:p w14:paraId="08762F2E">
      <w:pPr>
        <w:widowControl w:val="0"/>
        <w:ind w:firstLine="480"/>
        <w:rPr>
          <w:color w:val="000000"/>
          <w:szCs w:val="24"/>
        </w:rPr>
      </w:pPr>
      <w:r>
        <w:rPr>
          <w:color w:val="000000"/>
          <w:szCs w:val="24"/>
        </w:rPr>
        <w:t>规划区的环境空气质量底线为SO</w:t>
      </w:r>
      <w:r>
        <w:rPr>
          <w:color w:val="000000"/>
          <w:szCs w:val="24"/>
          <w:vertAlign w:val="subscript"/>
        </w:rPr>
        <w:t>2</w:t>
      </w:r>
      <w:r>
        <w:rPr>
          <w:color w:val="000000"/>
          <w:szCs w:val="24"/>
        </w:rPr>
        <w:t>年均浓度达到60µg/m</w:t>
      </w:r>
      <w:r>
        <w:rPr>
          <w:color w:val="000000"/>
          <w:szCs w:val="24"/>
          <w:vertAlign w:val="superscript"/>
        </w:rPr>
        <w:t>3</w:t>
      </w:r>
      <w:r>
        <w:rPr>
          <w:color w:val="000000"/>
          <w:szCs w:val="24"/>
        </w:rPr>
        <w:t>；PM</w:t>
      </w:r>
      <w:r>
        <w:rPr>
          <w:color w:val="000000"/>
          <w:szCs w:val="24"/>
          <w:vertAlign w:val="subscript"/>
        </w:rPr>
        <w:t>10</w:t>
      </w:r>
      <w:r>
        <w:rPr>
          <w:color w:val="000000"/>
          <w:szCs w:val="24"/>
        </w:rPr>
        <w:t>年均浓度达到70µg/m</w:t>
      </w:r>
      <w:r>
        <w:rPr>
          <w:color w:val="000000"/>
          <w:szCs w:val="24"/>
          <w:vertAlign w:val="superscript"/>
        </w:rPr>
        <w:t>3</w:t>
      </w:r>
      <w:r>
        <w:rPr>
          <w:color w:val="000000"/>
          <w:szCs w:val="24"/>
        </w:rPr>
        <w:t>；NO</w:t>
      </w:r>
      <w:r>
        <w:rPr>
          <w:color w:val="000000"/>
          <w:szCs w:val="24"/>
          <w:vertAlign w:val="subscript"/>
        </w:rPr>
        <w:t>2</w:t>
      </w:r>
      <w:r>
        <w:rPr>
          <w:color w:val="000000"/>
          <w:szCs w:val="24"/>
        </w:rPr>
        <w:t>年均浓度达到40µg/m</w:t>
      </w:r>
      <w:r>
        <w:rPr>
          <w:color w:val="000000"/>
          <w:szCs w:val="24"/>
          <w:vertAlign w:val="superscript"/>
        </w:rPr>
        <w:t>3</w:t>
      </w:r>
      <w:r>
        <w:rPr>
          <w:color w:val="000000"/>
          <w:szCs w:val="24"/>
        </w:rPr>
        <w:t>；PM</w:t>
      </w:r>
      <w:r>
        <w:rPr>
          <w:color w:val="000000"/>
          <w:szCs w:val="24"/>
          <w:vertAlign w:val="subscript"/>
        </w:rPr>
        <w:t>2.5</w:t>
      </w:r>
      <w:r>
        <w:rPr>
          <w:color w:val="000000"/>
          <w:szCs w:val="24"/>
        </w:rPr>
        <w:t>年均浓度达到35µg/m</w:t>
      </w:r>
      <w:r>
        <w:rPr>
          <w:color w:val="000000"/>
          <w:szCs w:val="24"/>
          <w:vertAlign w:val="superscript"/>
        </w:rPr>
        <w:t>3</w:t>
      </w:r>
      <w:r>
        <w:rPr>
          <w:color w:val="000000"/>
          <w:szCs w:val="24"/>
        </w:rPr>
        <w:t>。大木山自然保护区、武陵山森林公园环境空气质量底线为SO</w:t>
      </w:r>
      <w:r>
        <w:rPr>
          <w:color w:val="000000"/>
          <w:szCs w:val="24"/>
          <w:vertAlign w:val="subscript"/>
        </w:rPr>
        <w:t>2</w:t>
      </w:r>
      <w:r>
        <w:rPr>
          <w:color w:val="000000"/>
          <w:szCs w:val="24"/>
        </w:rPr>
        <w:t>年均浓度达到20ug/m</w:t>
      </w:r>
      <w:r>
        <w:rPr>
          <w:color w:val="000000"/>
          <w:szCs w:val="24"/>
          <w:vertAlign w:val="superscript"/>
        </w:rPr>
        <w:t>3</w:t>
      </w:r>
      <w:r>
        <w:rPr>
          <w:color w:val="000000"/>
          <w:szCs w:val="24"/>
        </w:rPr>
        <w:t>；PM</w:t>
      </w:r>
      <w:r>
        <w:rPr>
          <w:color w:val="000000"/>
          <w:szCs w:val="24"/>
          <w:vertAlign w:val="subscript"/>
        </w:rPr>
        <w:t>10</w:t>
      </w:r>
      <w:r>
        <w:rPr>
          <w:color w:val="000000"/>
          <w:szCs w:val="24"/>
        </w:rPr>
        <w:t>年均浓度达到40ug/m</w:t>
      </w:r>
      <w:r>
        <w:rPr>
          <w:color w:val="000000"/>
          <w:szCs w:val="24"/>
          <w:vertAlign w:val="superscript"/>
        </w:rPr>
        <w:t>3</w:t>
      </w:r>
      <w:r>
        <w:rPr>
          <w:color w:val="000000"/>
          <w:szCs w:val="24"/>
        </w:rPr>
        <w:t>；NO</w:t>
      </w:r>
      <w:r>
        <w:rPr>
          <w:color w:val="000000"/>
          <w:szCs w:val="24"/>
          <w:vertAlign w:val="subscript"/>
        </w:rPr>
        <w:t>2</w:t>
      </w:r>
      <w:r>
        <w:rPr>
          <w:color w:val="000000"/>
          <w:szCs w:val="24"/>
        </w:rPr>
        <w:t>年均浓度达到40ug/m</w:t>
      </w:r>
      <w:r>
        <w:rPr>
          <w:color w:val="000000"/>
          <w:szCs w:val="24"/>
          <w:vertAlign w:val="superscript"/>
        </w:rPr>
        <w:t>3</w:t>
      </w:r>
      <w:r>
        <w:rPr>
          <w:color w:val="000000"/>
          <w:szCs w:val="24"/>
        </w:rPr>
        <w:t>；PM</w:t>
      </w:r>
      <w:r>
        <w:rPr>
          <w:color w:val="000000"/>
          <w:szCs w:val="24"/>
          <w:vertAlign w:val="subscript"/>
        </w:rPr>
        <w:t>2.5</w:t>
      </w:r>
      <w:r>
        <w:rPr>
          <w:color w:val="000000"/>
          <w:szCs w:val="24"/>
        </w:rPr>
        <w:t>年均浓度达到15ug/m</w:t>
      </w:r>
      <w:r>
        <w:rPr>
          <w:color w:val="000000"/>
          <w:szCs w:val="24"/>
          <w:vertAlign w:val="superscript"/>
        </w:rPr>
        <w:t>3</w:t>
      </w:r>
      <w:r>
        <w:rPr>
          <w:color w:val="000000"/>
          <w:szCs w:val="24"/>
        </w:rPr>
        <w:t>。</w:t>
      </w:r>
    </w:p>
    <w:p w14:paraId="69170876">
      <w:pPr>
        <w:widowControl w:val="0"/>
        <w:ind w:firstLine="480" w:firstLineChars="200"/>
        <w:rPr>
          <w:color w:val="000000"/>
          <w:szCs w:val="24"/>
        </w:rPr>
      </w:pPr>
      <w:r>
        <w:rPr>
          <w:color w:val="000000"/>
          <w:szCs w:val="24"/>
        </w:rPr>
        <w:t>水环境质量底线为乌江评价段水环境功能类别满足Ⅲ类，后溪河水环境功能类别满足Ⅲ类。</w:t>
      </w:r>
    </w:p>
    <w:p w14:paraId="74418456">
      <w:pPr>
        <w:widowControl w:val="0"/>
        <w:ind w:firstLine="480" w:firstLineChars="200"/>
        <w:rPr>
          <w:color w:val="000000"/>
          <w:szCs w:val="24"/>
        </w:rPr>
      </w:pPr>
      <w:r>
        <w:rPr>
          <w:color w:val="000000"/>
          <w:szCs w:val="24"/>
        </w:rPr>
        <w:t>土壤环境质量不恶化，土壤质量满足《土壤环境质量 建设用地土壤污染风险管控标准》(GB36600-2018)中筛选值标准限值要求。</w:t>
      </w:r>
    </w:p>
    <w:p w14:paraId="049E95E3">
      <w:pPr>
        <w:widowControl w:val="0"/>
        <w:ind w:firstLine="480" w:firstLineChars="200"/>
        <w:rPr>
          <w:color w:val="000000"/>
          <w:szCs w:val="24"/>
        </w:rPr>
      </w:pPr>
      <w:r>
        <w:rPr>
          <w:color w:val="000000"/>
          <w:szCs w:val="24"/>
        </w:rPr>
        <w:t>声环境质量底线为工业区满足3类声环境功能区，交通干线两侧一定距离之内，需要防止交通噪声对周围环境产生严重影响的区域，分别满足4a类和4b类声环境功能区。</w:t>
      </w:r>
    </w:p>
    <w:p w14:paraId="1408A142">
      <w:pPr>
        <w:widowControl w:val="0"/>
        <w:ind w:firstLine="480" w:firstLineChars="200"/>
        <w:rPr>
          <w:color w:val="000000"/>
          <w:szCs w:val="24"/>
        </w:rPr>
      </w:pPr>
      <w:r>
        <w:rPr>
          <w:color w:val="000000"/>
          <w:szCs w:val="24"/>
        </w:rPr>
        <w:t>以环境质量底线为约束，结合大气、地表水环境容量计算结果，本次规划环评考虑从源头进行管控，污染物排放总量管控均以规划区现有投产企业和在建、拟建企业核定总量作为园区的总量管控限值，后续规划实施严格控制规划区污染物的排放量。</w:t>
      </w:r>
    </w:p>
    <w:p w14:paraId="61595DC2">
      <w:pPr>
        <w:pStyle w:val="31"/>
        <w:spacing w:after="0"/>
        <w:rPr>
          <w:color w:val="000000"/>
          <w:szCs w:val="24"/>
        </w:rPr>
      </w:pPr>
      <w:r>
        <w:rPr>
          <w:color w:val="000000"/>
          <w:szCs w:val="24"/>
        </w:rPr>
        <w:t xml:space="preserve">   项目周边环境空气、地表水、土壤等环境质量较好，有容量承载本项目的建设。</w:t>
      </w:r>
    </w:p>
    <w:p w14:paraId="41E627E9">
      <w:pPr>
        <w:widowControl w:val="0"/>
        <w:ind w:firstLine="480" w:firstLineChars="200"/>
        <w:rPr>
          <w:color w:val="000000"/>
          <w:szCs w:val="24"/>
        </w:rPr>
      </w:pPr>
      <w:r>
        <w:rPr>
          <w:color w:val="000000"/>
          <w:szCs w:val="24"/>
        </w:rPr>
        <w:t>（3）资源利用上线</w:t>
      </w:r>
    </w:p>
    <w:p w14:paraId="708955DF">
      <w:pPr>
        <w:widowControl w:val="0"/>
        <w:ind w:firstLine="480" w:firstLineChars="200"/>
        <w:rPr>
          <w:color w:val="000000"/>
          <w:szCs w:val="24"/>
        </w:rPr>
      </w:pPr>
      <w:r>
        <w:rPr>
          <w:color w:val="000000"/>
          <w:szCs w:val="24"/>
        </w:rPr>
        <w:t>规划区主要利用的资源涉及水资源、电、煤炭和天然气等能源，经统计，规划区工业新鲜水耗5974.61万m</w:t>
      </w:r>
      <w:r>
        <w:rPr>
          <w:color w:val="000000"/>
          <w:szCs w:val="24"/>
          <w:vertAlign w:val="superscript"/>
        </w:rPr>
        <w:t>3</w:t>
      </w:r>
      <w:r>
        <w:rPr>
          <w:color w:val="000000"/>
          <w:szCs w:val="24"/>
        </w:rPr>
        <w:t>/a，天然气消耗量22.1亿m</w:t>
      </w:r>
      <w:r>
        <w:rPr>
          <w:color w:val="000000"/>
          <w:szCs w:val="24"/>
          <w:vertAlign w:val="superscript"/>
        </w:rPr>
        <w:t>3</w:t>
      </w:r>
      <w:r>
        <w:rPr>
          <w:color w:val="000000"/>
          <w:szCs w:val="24"/>
        </w:rPr>
        <w:t>/年，燃煤量为472.2万吨/年。</w:t>
      </w:r>
    </w:p>
    <w:p w14:paraId="58802DA9">
      <w:pPr>
        <w:widowControl w:val="0"/>
        <w:ind w:firstLine="480" w:firstLineChars="200"/>
        <w:rPr>
          <w:color w:val="000000"/>
          <w:szCs w:val="24"/>
        </w:rPr>
      </w:pPr>
      <w:r>
        <w:rPr>
          <w:color w:val="000000"/>
          <w:szCs w:val="24"/>
        </w:rPr>
        <w:t>项目位于重庆白涛化工园区涪陵LNG工厂内，不新增占地，因此本项目不会受土地资源利用上限约束。本项目年用电量为1219万kWh，冷却循环水年用量12.89m</w:t>
      </w:r>
      <w:r>
        <w:rPr>
          <w:color w:val="000000"/>
          <w:szCs w:val="24"/>
          <w:vertAlign w:val="superscript"/>
        </w:rPr>
        <w:t>3</w:t>
      </w:r>
      <w:r>
        <w:rPr>
          <w:color w:val="000000"/>
          <w:szCs w:val="24"/>
        </w:rPr>
        <w:t>/h项目所在区电力、新鲜水完全满足本项目需求。</w:t>
      </w:r>
    </w:p>
    <w:p w14:paraId="53D341A7">
      <w:pPr>
        <w:widowControl w:val="0"/>
        <w:ind w:firstLine="480" w:firstLineChars="200"/>
        <w:rPr>
          <w:color w:val="000000"/>
          <w:szCs w:val="24"/>
        </w:rPr>
      </w:pPr>
      <w:r>
        <w:rPr>
          <w:color w:val="000000"/>
          <w:szCs w:val="24"/>
        </w:rPr>
        <w:t>（4）生态环境准入清单</w:t>
      </w:r>
    </w:p>
    <w:p w14:paraId="7859BBF6">
      <w:pPr>
        <w:widowControl w:val="0"/>
        <w:ind w:firstLine="480" w:firstLineChars="200"/>
        <w:rPr>
          <w:color w:val="000000"/>
          <w:szCs w:val="24"/>
        </w:rPr>
      </w:pPr>
      <w:r>
        <w:rPr>
          <w:color w:val="000000"/>
          <w:szCs w:val="24"/>
        </w:rPr>
        <w:t>统筹考虑生态保护红线、环境质量底线、资源利用上线的管控要求，同时结合规划主导产业，针对不同区域，从空间布局约束、污染物排放管控、环境风险防控、资源利用效率、产业发展等方面提出生态环境准入清单改建项目，本项目与白涛化工园区生态环境准入清单符合性见表1.6.4-2。</w:t>
      </w:r>
    </w:p>
    <w:p w14:paraId="197A985C">
      <w:pPr>
        <w:widowControl w:val="0"/>
        <w:spacing w:line="240" w:lineRule="atLeast"/>
        <w:ind w:firstLine="1050" w:firstLineChars="500"/>
        <w:rPr>
          <w:color w:val="000000"/>
          <w:sz w:val="21"/>
        </w:rPr>
      </w:pPr>
    </w:p>
    <w:p w14:paraId="4C46960B">
      <w:pPr>
        <w:widowControl w:val="0"/>
        <w:spacing w:line="240" w:lineRule="atLeast"/>
        <w:ind w:firstLine="1050" w:firstLineChars="500"/>
        <w:rPr>
          <w:color w:val="000000"/>
          <w:sz w:val="21"/>
        </w:rPr>
      </w:pPr>
      <w:r>
        <w:rPr>
          <w:color w:val="000000"/>
          <w:sz w:val="21"/>
        </w:rPr>
        <w:t>表1.6.4-2    本项目与白涛化工园区生态环境准入清单符合性分析表</w:t>
      </w:r>
    </w:p>
    <w:tbl>
      <w:tblPr>
        <w:tblStyle w:val="73"/>
        <w:tblW w:w="4995" w:type="pct"/>
        <w:tblInd w:w="23"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108" w:type="dxa"/>
          <w:bottom w:w="0" w:type="dxa"/>
          <w:right w:w="108" w:type="dxa"/>
        </w:tblCellMar>
      </w:tblPr>
      <w:tblGrid>
        <w:gridCol w:w="884"/>
        <w:gridCol w:w="715"/>
        <w:gridCol w:w="3846"/>
        <w:gridCol w:w="2687"/>
        <w:gridCol w:w="918"/>
      </w:tblGrid>
      <w:tr w14:paraId="4FE9158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88" w:type="pct"/>
            <w:tcBorders>
              <w:tl2br w:val="nil"/>
              <w:tr2bl w:val="nil"/>
            </w:tcBorders>
            <w:vAlign w:val="center"/>
          </w:tcPr>
          <w:p w14:paraId="4642B578">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分类</w:t>
            </w:r>
          </w:p>
        </w:tc>
        <w:tc>
          <w:tcPr>
            <w:tcW w:w="2519" w:type="pct"/>
            <w:gridSpan w:val="2"/>
            <w:tcBorders>
              <w:tl2br w:val="nil"/>
              <w:tr2bl w:val="nil"/>
            </w:tcBorders>
            <w:vAlign w:val="center"/>
          </w:tcPr>
          <w:p w14:paraId="231E8ABE">
            <w:pPr>
              <w:spacing w:line="240" w:lineRule="atLeast"/>
              <w:jc w:val="center"/>
              <w:textAlignment w:val="top"/>
              <w:rPr>
                <w:bCs/>
                <w:color w:val="000000"/>
                <w:spacing w:val="10"/>
                <w:kern w:val="0"/>
                <w:sz w:val="21"/>
              </w:rPr>
            </w:pPr>
            <w:r>
              <w:rPr>
                <w:bCs/>
                <w:color w:val="000000"/>
                <w:spacing w:val="10"/>
                <w:kern w:val="0"/>
                <w:sz w:val="21"/>
              </w:rPr>
              <w:t>清单内容</w:t>
            </w:r>
          </w:p>
        </w:tc>
        <w:tc>
          <w:tcPr>
            <w:tcW w:w="1484" w:type="pct"/>
            <w:tcBorders>
              <w:tl2br w:val="nil"/>
              <w:tr2bl w:val="nil"/>
            </w:tcBorders>
            <w:vAlign w:val="center"/>
          </w:tcPr>
          <w:p w14:paraId="65219FEC">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项目情况</w:t>
            </w:r>
          </w:p>
        </w:tc>
        <w:tc>
          <w:tcPr>
            <w:tcW w:w="507" w:type="pct"/>
            <w:tcBorders>
              <w:tl2br w:val="nil"/>
              <w:tr2bl w:val="nil"/>
            </w:tcBorders>
            <w:vAlign w:val="center"/>
          </w:tcPr>
          <w:p w14:paraId="4ECE0E63">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符合性分析</w:t>
            </w:r>
          </w:p>
        </w:tc>
      </w:tr>
      <w:tr w14:paraId="3BE59F0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88" w:type="pct"/>
            <w:vMerge w:val="restart"/>
            <w:tcBorders>
              <w:tl2br w:val="nil"/>
              <w:tr2bl w:val="nil"/>
            </w:tcBorders>
            <w:vAlign w:val="center"/>
          </w:tcPr>
          <w:p w14:paraId="68F31A28">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空间布局约束</w:t>
            </w:r>
          </w:p>
        </w:tc>
        <w:tc>
          <w:tcPr>
            <w:tcW w:w="2519" w:type="pct"/>
            <w:gridSpan w:val="2"/>
            <w:tcBorders>
              <w:tl2br w:val="nil"/>
              <w:tr2bl w:val="nil"/>
            </w:tcBorders>
            <w:vAlign w:val="center"/>
          </w:tcPr>
          <w:p w14:paraId="611053E1">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1.重庆白涛工业园区不规划食品加工企业等与园区主导产业环境相冲突的项目。</w:t>
            </w:r>
          </w:p>
        </w:tc>
        <w:tc>
          <w:tcPr>
            <w:tcW w:w="1484" w:type="pct"/>
            <w:tcBorders>
              <w:tl2br w:val="nil"/>
              <w:tr2bl w:val="nil"/>
            </w:tcBorders>
            <w:vAlign w:val="center"/>
          </w:tcPr>
          <w:p w14:paraId="39010DFD">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项目仅为氦气回收，不属于食品加工业</w:t>
            </w:r>
          </w:p>
        </w:tc>
        <w:tc>
          <w:tcPr>
            <w:tcW w:w="507" w:type="pct"/>
            <w:tcBorders>
              <w:tl2br w:val="nil"/>
              <w:tr2bl w:val="nil"/>
            </w:tcBorders>
            <w:vAlign w:val="center"/>
          </w:tcPr>
          <w:p w14:paraId="1E858A5A">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符合</w:t>
            </w:r>
          </w:p>
        </w:tc>
      </w:tr>
      <w:tr w14:paraId="32683B4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88" w:type="pct"/>
            <w:vMerge w:val="continue"/>
            <w:tcBorders>
              <w:tl2br w:val="nil"/>
              <w:tr2bl w:val="nil"/>
            </w:tcBorders>
            <w:vAlign w:val="center"/>
          </w:tcPr>
          <w:p w14:paraId="1094D472">
            <w:pPr>
              <w:pStyle w:val="817"/>
              <w:spacing w:line="240" w:lineRule="atLeast"/>
              <w:rPr>
                <w:rFonts w:eastAsia="宋体"/>
                <w:bCs/>
                <w:snapToGrid/>
                <w:color w:val="000000"/>
                <w:spacing w:val="10"/>
                <w:kern w:val="0"/>
                <w:sz w:val="21"/>
              </w:rPr>
            </w:pPr>
          </w:p>
        </w:tc>
        <w:tc>
          <w:tcPr>
            <w:tcW w:w="2519" w:type="pct"/>
            <w:gridSpan w:val="2"/>
            <w:tcBorders>
              <w:tl2br w:val="nil"/>
              <w:tr2bl w:val="nil"/>
            </w:tcBorders>
            <w:vAlign w:val="center"/>
          </w:tcPr>
          <w:p w14:paraId="2E0B4509">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2.禁止新建或扩建以化肥为产品的合成氨项目（区域规划搬迁、综合利用项目除外）。</w:t>
            </w:r>
          </w:p>
        </w:tc>
        <w:tc>
          <w:tcPr>
            <w:tcW w:w="1484" w:type="pct"/>
            <w:tcBorders>
              <w:tl2br w:val="nil"/>
              <w:tr2bl w:val="nil"/>
            </w:tcBorders>
            <w:vAlign w:val="center"/>
          </w:tcPr>
          <w:p w14:paraId="7B908302">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项目仅为氦气回收，不属于合成氨项目</w:t>
            </w:r>
          </w:p>
        </w:tc>
        <w:tc>
          <w:tcPr>
            <w:tcW w:w="507" w:type="pct"/>
            <w:tcBorders>
              <w:tl2br w:val="nil"/>
              <w:tr2bl w:val="nil"/>
            </w:tcBorders>
            <w:vAlign w:val="center"/>
          </w:tcPr>
          <w:p w14:paraId="0AD5C536">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符合</w:t>
            </w:r>
          </w:p>
        </w:tc>
      </w:tr>
      <w:tr w14:paraId="5E246B0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88" w:type="pct"/>
            <w:vMerge w:val="continue"/>
            <w:tcBorders>
              <w:tl2br w:val="nil"/>
              <w:tr2bl w:val="nil"/>
            </w:tcBorders>
            <w:vAlign w:val="center"/>
          </w:tcPr>
          <w:p w14:paraId="71723319">
            <w:pPr>
              <w:pStyle w:val="817"/>
              <w:spacing w:line="240" w:lineRule="atLeast"/>
              <w:rPr>
                <w:rFonts w:eastAsia="宋体"/>
                <w:bCs/>
                <w:snapToGrid/>
                <w:color w:val="000000"/>
                <w:spacing w:val="10"/>
                <w:kern w:val="0"/>
                <w:sz w:val="21"/>
              </w:rPr>
            </w:pPr>
          </w:p>
        </w:tc>
        <w:tc>
          <w:tcPr>
            <w:tcW w:w="2519" w:type="pct"/>
            <w:gridSpan w:val="2"/>
            <w:tcBorders>
              <w:tl2br w:val="nil"/>
              <w:tr2bl w:val="nil"/>
            </w:tcBorders>
            <w:vAlign w:val="center"/>
          </w:tcPr>
          <w:p w14:paraId="03A8454A">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3.禁止在乌江干流岸线1公里范围内新建重化工、纺织、造纸等存在污染风险的工业项目。</w:t>
            </w:r>
          </w:p>
        </w:tc>
        <w:tc>
          <w:tcPr>
            <w:tcW w:w="1484" w:type="pct"/>
            <w:tcBorders>
              <w:tl2br w:val="nil"/>
              <w:tr2bl w:val="nil"/>
            </w:tcBorders>
            <w:vAlign w:val="center"/>
          </w:tcPr>
          <w:p w14:paraId="43A22B22">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项目装置区与乌江最近距离约6.</w:t>
            </w:r>
            <w:r>
              <w:rPr>
                <w:rFonts w:hint="eastAsia" w:eastAsia="宋体"/>
                <w:bCs/>
                <w:snapToGrid/>
                <w:color w:val="000000"/>
                <w:spacing w:val="10"/>
                <w:kern w:val="0"/>
                <w:sz w:val="21"/>
              </w:rPr>
              <w:t>8</w:t>
            </w:r>
            <w:r>
              <w:rPr>
                <w:rFonts w:eastAsia="宋体"/>
                <w:bCs/>
                <w:snapToGrid/>
                <w:color w:val="000000"/>
                <w:spacing w:val="10"/>
                <w:kern w:val="0"/>
                <w:sz w:val="21"/>
              </w:rPr>
              <w:t>km，仅为回收氦气项目，为改建项目，不属于新建，且不属于重化工、纺织、造纸项目</w:t>
            </w:r>
          </w:p>
        </w:tc>
        <w:tc>
          <w:tcPr>
            <w:tcW w:w="507" w:type="pct"/>
            <w:tcBorders>
              <w:tl2br w:val="nil"/>
              <w:tr2bl w:val="nil"/>
            </w:tcBorders>
            <w:vAlign w:val="center"/>
          </w:tcPr>
          <w:p w14:paraId="21522AE0">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符合</w:t>
            </w:r>
          </w:p>
        </w:tc>
      </w:tr>
      <w:tr w14:paraId="16AA032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88" w:type="pct"/>
            <w:vMerge w:val="continue"/>
            <w:tcBorders>
              <w:tl2br w:val="nil"/>
              <w:tr2bl w:val="nil"/>
            </w:tcBorders>
            <w:vAlign w:val="center"/>
          </w:tcPr>
          <w:p w14:paraId="71DFA14B">
            <w:pPr>
              <w:pStyle w:val="817"/>
              <w:spacing w:line="240" w:lineRule="atLeast"/>
              <w:rPr>
                <w:rFonts w:eastAsia="宋体"/>
                <w:bCs/>
                <w:snapToGrid/>
                <w:color w:val="000000"/>
                <w:spacing w:val="10"/>
                <w:kern w:val="0"/>
                <w:sz w:val="21"/>
              </w:rPr>
            </w:pPr>
          </w:p>
        </w:tc>
        <w:tc>
          <w:tcPr>
            <w:tcW w:w="2519" w:type="pct"/>
            <w:gridSpan w:val="2"/>
            <w:tcBorders>
              <w:tl2br w:val="nil"/>
              <w:tr2bl w:val="nil"/>
            </w:tcBorders>
            <w:vAlign w:val="center"/>
          </w:tcPr>
          <w:p w14:paraId="1F27BAA8">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4.化工园区外禁止新建、扩建化工项目。</w:t>
            </w:r>
          </w:p>
        </w:tc>
        <w:tc>
          <w:tcPr>
            <w:tcW w:w="1484" w:type="pct"/>
            <w:tcBorders>
              <w:tl2br w:val="nil"/>
              <w:tr2bl w:val="nil"/>
            </w:tcBorders>
            <w:vAlign w:val="center"/>
          </w:tcPr>
          <w:p w14:paraId="0ECB6DEC">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项目位于白涛化工园区现有厂区内。</w:t>
            </w:r>
          </w:p>
        </w:tc>
        <w:tc>
          <w:tcPr>
            <w:tcW w:w="507" w:type="pct"/>
            <w:tcBorders>
              <w:tl2br w:val="nil"/>
              <w:tr2bl w:val="nil"/>
            </w:tcBorders>
            <w:vAlign w:val="center"/>
          </w:tcPr>
          <w:p w14:paraId="6813404F">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符合</w:t>
            </w:r>
          </w:p>
        </w:tc>
      </w:tr>
      <w:tr w14:paraId="7062906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88" w:type="pct"/>
            <w:vMerge w:val="continue"/>
            <w:tcBorders>
              <w:tl2br w:val="nil"/>
              <w:tr2bl w:val="nil"/>
            </w:tcBorders>
            <w:vAlign w:val="center"/>
          </w:tcPr>
          <w:p w14:paraId="6F6ED3F3">
            <w:pPr>
              <w:pStyle w:val="817"/>
              <w:spacing w:line="240" w:lineRule="atLeast"/>
              <w:rPr>
                <w:rFonts w:eastAsia="宋体"/>
                <w:bCs/>
                <w:snapToGrid/>
                <w:color w:val="000000"/>
                <w:spacing w:val="10"/>
                <w:kern w:val="0"/>
                <w:sz w:val="21"/>
              </w:rPr>
            </w:pPr>
          </w:p>
        </w:tc>
        <w:tc>
          <w:tcPr>
            <w:tcW w:w="2519" w:type="pct"/>
            <w:gridSpan w:val="2"/>
            <w:tcBorders>
              <w:tl2br w:val="nil"/>
              <w:tr2bl w:val="nil"/>
            </w:tcBorders>
            <w:vAlign w:val="center"/>
          </w:tcPr>
          <w:p w14:paraId="63558C02">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5.禁止在乌江干岸线175米库岸沿线至第一山脊线范围内建设露天采矿项目。</w:t>
            </w:r>
          </w:p>
        </w:tc>
        <w:tc>
          <w:tcPr>
            <w:tcW w:w="1484" w:type="pct"/>
            <w:tcBorders>
              <w:tl2br w:val="nil"/>
              <w:tr2bl w:val="nil"/>
            </w:tcBorders>
            <w:vAlign w:val="center"/>
          </w:tcPr>
          <w:p w14:paraId="31E4C076">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不涉及</w:t>
            </w:r>
          </w:p>
        </w:tc>
        <w:tc>
          <w:tcPr>
            <w:tcW w:w="507" w:type="pct"/>
            <w:tcBorders>
              <w:tl2br w:val="nil"/>
              <w:tr2bl w:val="nil"/>
            </w:tcBorders>
            <w:vAlign w:val="center"/>
          </w:tcPr>
          <w:p w14:paraId="1BE73296">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符合</w:t>
            </w:r>
          </w:p>
        </w:tc>
      </w:tr>
      <w:tr w14:paraId="523BFD4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630" w:hRule="atLeast"/>
        </w:trPr>
        <w:tc>
          <w:tcPr>
            <w:tcW w:w="488" w:type="pct"/>
            <w:vMerge w:val="continue"/>
            <w:tcBorders>
              <w:tl2br w:val="nil"/>
              <w:tr2bl w:val="nil"/>
            </w:tcBorders>
            <w:vAlign w:val="center"/>
          </w:tcPr>
          <w:p w14:paraId="3269D4B4">
            <w:pPr>
              <w:pStyle w:val="817"/>
              <w:spacing w:line="240" w:lineRule="atLeast"/>
              <w:rPr>
                <w:rFonts w:eastAsia="宋体"/>
                <w:bCs/>
                <w:snapToGrid/>
                <w:color w:val="000000"/>
                <w:spacing w:val="10"/>
                <w:kern w:val="0"/>
                <w:sz w:val="21"/>
              </w:rPr>
            </w:pPr>
          </w:p>
        </w:tc>
        <w:tc>
          <w:tcPr>
            <w:tcW w:w="2519" w:type="pct"/>
            <w:gridSpan w:val="2"/>
            <w:tcBorders>
              <w:tl2br w:val="nil"/>
              <w:tr2bl w:val="nil"/>
            </w:tcBorders>
            <w:vAlign w:val="center"/>
          </w:tcPr>
          <w:p w14:paraId="128545D3">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6.入驻企业应优化布局，涉及环境防护距离的新建工业企业或项目，应通过选址或调整布局严格控制环境防护距离，具体环境防护距离由项目环评阶段确定。</w:t>
            </w:r>
          </w:p>
        </w:tc>
        <w:tc>
          <w:tcPr>
            <w:tcW w:w="1484" w:type="pct"/>
            <w:tcBorders>
              <w:tl2br w:val="nil"/>
              <w:tr2bl w:val="nil"/>
            </w:tcBorders>
            <w:vAlign w:val="center"/>
          </w:tcPr>
          <w:p w14:paraId="129D3CAC">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本项目为改建项目，不涉及环境防护距离。</w:t>
            </w:r>
          </w:p>
        </w:tc>
        <w:tc>
          <w:tcPr>
            <w:tcW w:w="507" w:type="pct"/>
            <w:tcBorders>
              <w:tl2br w:val="nil"/>
              <w:tr2bl w:val="nil"/>
            </w:tcBorders>
            <w:vAlign w:val="center"/>
          </w:tcPr>
          <w:p w14:paraId="4D78E232">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符合</w:t>
            </w:r>
          </w:p>
        </w:tc>
      </w:tr>
      <w:tr w14:paraId="436C517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88" w:type="pct"/>
            <w:vMerge w:val="restart"/>
            <w:tcBorders>
              <w:tl2br w:val="nil"/>
              <w:tr2bl w:val="nil"/>
            </w:tcBorders>
            <w:vAlign w:val="center"/>
          </w:tcPr>
          <w:p w14:paraId="49F22A94">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污染物排放管控</w:t>
            </w:r>
          </w:p>
        </w:tc>
        <w:tc>
          <w:tcPr>
            <w:tcW w:w="2519" w:type="pct"/>
            <w:gridSpan w:val="2"/>
            <w:tcBorders>
              <w:tl2br w:val="nil"/>
              <w:tr2bl w:val="nil"/>
            </w:tcBorders>
            <w:vAlign w:val="center"/>
          </w:tcPr>
          <w:p w14:paraId="1CF637A3">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1.后续规划新建热电项目应采取超低排放，进一步控制SO2、NOX及颗粒物排放量。</w:t>
            </w:r>
          </w:p>
        </w:tc>
        <w:tc>
          <w:tcPr>
            <w:tcW w:w="1484" w:type="pct"/>
            <w:tcBorders>
              <w:tl2br w:val="nil"/>
              <w:tr2bl w:val="nil"/>
            </w:tcBorders>
            <w:vAlign w:val="center"/>
          </w:tcPr>
          <w:p w14:paraId="3C18A7F7">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不涉及</w:t>
            </w:r>
          </w:p>
        </w:tc>
        <w:tc>
          <w:tcPr>
            <w:tcW w:w="507" w:type="pct"/>
            <w:tcBorders>
              <w:tl2br w:val="nil"/>
              <w:tr2bl w:val="nil"/>
            </w:tcBorders>
            <w:vAlign w:val="center"/>
          </w:tcPr>
          <w:p w14:paraId="51F3487B">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符合</w:t>
            </w:r>
          </w:p>
        </w:tc>
      </w:tr>
      <w:tr w14:paraId="38F3CA6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17" w:hRule="atLeast"/>
        </w:trPr>
        <w:tc>
          <w:tcPr>
            <w:tcW w:w="488" w:type="pct"/>
            <w:vMerge w:val="continue"/>
            <w:tcBorders>
              <w:tl2br w:val="nil"/>
              <w:tr2bl w:val="nil"/>
            </w:tcBorders>
            <w:vAlign w:val="center"/>
          </w:tcPr>
          <w:p w14:paraId="77EACCD4">
            <w:pPr>
              <w:pStyle w:val="817"/>
              <w:spacing w:line="240" w:lineRule="atLeast"/>
              <w:rPr>
                <w:rFonts w:eastAsia="宋体"/>
                <w:bCs/>
                <w:snapToGrid/>
                <w:color w:val="000000"/>
                <w:spacing w:val="10"/>
                <w:kern w:val="0"/>
                <w:sz w:val="21"/>
              </w:rPr>
            </w:pPr>
          </w:p>
        </w:tc>
        <w:tc>
          <w:tcPr>
            <w:tcW w:w="2519" w:type="pct"/>
            <w:gridSpan w:val="2"/>
            <w:tcBorders>
              <w:tl2br w:val="nil"/>
              <w:tr2bl w:val="nil"/>
            </w:tcBorders>
            <w:vAlign w:val="center"/>
          </w:tcPr>
          <w:p w14:paraId="337AA099">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2.禁止类：废水排放重金属a的项目、持久性有机污染物b的项目（包括危险废物综合利用及处置项目）</w:t>
            </w:r>
          </w:p>
        </w:tc>
        <w:tc>
          <w:tcPr>
            <w:tcW w:w="1484" w:type="pct"/>
            <w:tcBorders>
              <w:tl2br w:val="nil"/>
              <w:tr2bl w:val="nil"/>
            </w:tcBorders>
            <w:vAlign w:val="center"/>
          </w:tcPr>
          <w:p w14:paraId="618B81AD">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项目仅为回收氦气项目，不涉重金属，不涉持久性有机污染物</w:t>
            </w:r>
          </w:p>
        </w:tc>
        <w:tc>
          <w:tcPr>
            <w:tcW w:w="507" w:type="pct"/>
            <w:tcBorders>
              <w:tl2br w:val="nil"/>
              <w:tr2bl w:val="nil"/>
            </w:tcBorders>
            <w:vAlign w:val="center"/>
          </w:tcPr>
          <w:p w14:paraId="1F1C054C">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符合</w:t>
            </w:r>
          </w:p>
        </w:tc>
      </w:tr>
      <w:tr w14:paraId="1DDD84F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88" w:type="pct"/>
            <w:vMerge w:val="restart"/>
            <w:tcBorders>
              <w:tl2br w:val="nil"/>
              <w:tr2bl w:val="nil"/>
            </w:tcBorders>
            <w:vAlign w:val="center"/>
          </w:tcPr>
          <w:p w14:paraId="1565509B">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环境风险防控</w:t>
            </w:r>
          </w:p>
        </w:tc>
        <w:tc>
          <w:tcPr>
            <w:tcW w:w="2519" w:type="pct"/>
            <w:gridSpan w:val="2"/>
            <w:tcBorders>
              <w:tl2br w:val="nil"/>
              <w:tr2bl w:val="nil"/>
            </w:tcBorders>
            <w:vAlign w:val="center"/>
          </w:tcPr>
          <w:p w14:paraId="6CFED247">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1.园区入驻企业应满足三级风险防控要求。</w:t>
            </w:r>
          </w:p>
        </w:tc>
        <w:tc>
          <w:tcPr>
            <w:tcW w:w="1484" w:type="pct"/>
            <w:tcBorders>
              <w:tl2br w:val="nil"/>
              <w:tr2bl w:val="nil"/>
            </w:tcBorders>
            <w:vAlign w:val="center"/>
          </w:tcPr>
          <w:p w14:paraId="5DC3795C">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项目仅为回收氦气项目，满足三级风险防控要求</w:t>
            </w:r>
          </w:p>
        </w:tc>
        <w:tc>
          <w:tcPr>
            <w:tcW w:w="507" w:type="pct"/>
            <w:tcBorders>
              <w:tl2br w:val="nil"/>
              <w:tr2bl w:val="nil"/>
            </w:tcBorders>
            <w:vAlign w:val="center"/>
          </w:tcPr>
          <w:p w14:paraId="3E6149AC">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符合</w:t>
            </w:r>
          </w:p>
        </w:tc>
      </w:tr>
      <w:tr w14:paraId="21586F0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88" w:type="pct"/>
            <w:vMerge w:val="continue"/>
            <w:tcBorders>
              <w:tl2br w:val="nil"/>
              <w:tr2bl w:val="nil"/>
            </w:tcBorders>
            <w:vAlign w:val="center"/>
          </w:tcPr>
          <w:p w14:paraId="76C06710">
            <w:pPr>
              <w:pStyle w:val="817"/>
              <w:spacing w:line="240" w:lineRule="atLeast"/>
              <w:rPr>
                <w:rFonts w:eastAsia="宋体"/>
                <w:bCs/>
                <w:snapToGrid/>
                <w:color w:val="000000"/>
                <w:spacing w:val="10"/>
                <w:kern w:val="0"/>
                <w:sz w:val="21"/>
              </w:rPr>
            </w:pPr>
          </w:p>
        </w:tc>
        <w:tc>
          <w:tcPr>
            <w:tcW w:w="2519" w:type="pct"/>
            <w:gridSpan w:val="2"/>
            <w:tcBorders>
              <w:tl2br w:val="nil"/>
              <w:tr2bl w:val="nil"/>
            </w:tcBorders>
            <w:vAlign w:val="center"/>
          </w:tcPr>
          <w:p w14:paraId="04BA00D9">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2.完善白涛园区环境风险防范体系，严格控制项目环境风险，合理布局生产装置及危险化学品仓储等设施。</w:t>
            </w:r>
          </w:p>
        </w:tc>
        <w:tc>
          <w:tcPr>
            <w:tcW w:w="1484" w:type="pct"/>
            <w:vMerge w:val="restart"/>
            <w:tcBorders>
              <w:tl2br w:val="nil"/>
              <w:tr2bl w:val="nil"/>
            </w:tcBorders>
            <w:vAlign w:val="center"/>
          </w:tcPr>
          <w:p w14:paraId="42AE6282">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为园区级环境风险防控，项目不涉及</w:t>
            </w:r>
          </w:p>
        </w:tc>
        <w:tc>
          <w:tcPr>
            <w:tcW w:w="507" w:type="pct"/>
            <w:vMerge w:val="restart"/>
            <w:tcBorders>
              <w:tl2br w:val="nil"/>
              <w:tr2bl w:val="nil"/>
            </w:tcBorders>
            <w:vAlign w:val="center"/>
          </w:tcPr>
          <w:p w14:paraId="0C7B103F">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符合</w:t>
            </w:r>
          </w:p>
        </w:tc>
      </w:tr>
      <w:tr w14:paraId="6CBBD6D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88" w:type="pct"/>
            <w:vMerge w:val="continue"/>
            <w:tcBorders>
              <w:tl2br w:val="nil"/>
              <w:tr2bl w:val="nil"/>
            </w:tcBorders>
            <w:vAlign w:val="center"/>
          </w:tcPr>
          <w:p w14:paraId="5E522BD4">
            <w:pPr>
              <w:pStyle w:val="817"/>
              <w:spacing w:line="240" w:lineRule="atLeast"/>
              <w:rPr>
                <w:rFonts w:eastAsia="宋体"/>
                <w:bCs/>
                <w:snapToGrid/>
                <w:color w:val="000000"/>
                <w:spacing w:val="10"/>
                <w:kern w:val="0"/>
                <w:sz w:val="21"/>
              </w:rPr>
            </w:pPr>
          </w:p>
        </w:tc>
        <w:tc>
          <w:tcPr>
            <w:tcW w:w="2519" w:type="pct"/>
            <w:gridSpan w:val="2"/>
            <w:tcBorders>
              <w:tl2br w:val="nil"/>
              <w:tr2bl w:val="nil"/>
            </w:tcBorders>
            <w:vAlign w:val="center"/>
          </w:tcPr>
          <w:p w14:paraId="175B751F">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3.强化乌江岸线1公里范围内危化品码头的环境风险防范措施。</w:t>
            </w:r>
          </w:p>
        </w:tc>
        <w:tc>
          <w:tcPr>
            <w:tcW w:w="1484" w:type="pct"/>
            <w:vMerge w:val="continue"/>
            <w:tcBorders>
              <w:tl2br w:val="nil"/>
              <w:tr2bl w:val="nil"/>
            </w:tcBorders>
            <w:vAlign w:val="center"/>
          </w:tcPr>
          <w:p w14:paraId="7613A796">
            <w:pPr>
              <w:pStyle w:val="817"/>
              <w:spacing w:line="240" w:lineRule="atLeast"/>
              <w:rPr>
                <w:rFonts w:eastAsia="宋体"/>
                <w:bCs/>
                <w:snapToGrid/>
                <w:color w:val="000000"/>
                <w:spacing w:val="10"/>
                <w:kern w:val="0"/>
                <w:sz w:val="21"/>
              </w:rPr>
            </w:pPr>
          </w:p>
        </w:tc>
        <w:tc>
          <w:tcPr>
            <w:tcW w:w="507" w:type="pct"/>
            <w:vMerge w:val="continue"/>
            <w:tcBorders>
              <w:tl2br w:val="nil"/>
              <w:tr2bl w:val="nil"/>
            </w:tcBorders>
            <w:vAlign w:val="center"/>
          </w:tcPr>
          <w:p w14:paraId="1C762159">
            <w:pPr>
              <w:pStyle w:val="817"/>
              <w:spacing w:line="240" w:lineRule="atLeast"/>
              <w:rPr>
                <w:rFonts w:eastAsia="宋体"/>
                <w:bCs/>
                <w:snapToGrid/>
                <w:color w:val="000000"/>
                <w:spacing w:val="10"/>
                <w:kern w:val="0"/>
                <w:sz w:val="21"/>
              </w:rPr>
            </w:pPr>
          </w:p>
        </w:tc>
      </w:tr>
      <w:tr w14:paraId="2905B7D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88" w:type="pct"/>
            <w:vMerge w:val="restart"/>
            <w:tcBorders>
              <w:tl2br w:val="nil"/>
              <w:tr2bl w:val="nil"/>
            </w:tcBorders>
            <w:vAlign w:val="center"/>
          </w:tcPr>
          <w:p w14:paraId="49B61DE2">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资源开发利用要求</w:t>
            </w:r>
          </w:p>
        </w:tc>
        <w:tc>
          <w:tcPr>
            <w:tcW w:w="2519" w:type="pct"/>
            <w:gridSpan w:val="2"/>
            <w:tcBorders>
              <w:tl2br w:val="nil"/>
              <w:tr2bl w:val="nil"/>
            </w:tcBorders>
            <w:vAlign w:val="center"/>
          </w:tcPr>
          <w:p w14:paraId="5BE9F2C1">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1.除热电项目及工艺特殊需求外，禁止引入煤炭作为燃料的企业。</w:t>
            </w:r>
          </w:p>
        </w:tc>
        <w:tc>
          <w:tcPr>
            <w:tcW w:w="1484" w:type="pct"/>
            <w:tcBorders>
              <w:tl2br w:val="nil"/>
              <w:tr2bl w:val="nil"/>
            </w:tcBorders>
            <w:vAlign w:val="center"/>
          </w:tcPr>
          <w:p w14:paraId="01454C58">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项目不涉及</w:t>
            </w:r>
          </w:p>
        </w:tc>
        <w:tc>
          <w:tcPr>
            <w:tcW w:w="507" w:type="pct"/>
            <w:tcBorders>
              <w:tl2br w:val="nil"/>
              <w:tr2bl w:val="nil"/>
            </w:tcBorders>
            <w:vAlign w:val="center"/>
          </w:tcPr>
          <w:p w14:paraId="5BBCE413">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符合</w:t>
            </w:r>
          </w:p>
        </w:tc>
      </w:tr>
      <w:tr w14:paraId="1559F27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1290" w:hRule="atLeast"/>
        </w:trPr>
        <w:tc>
          <w:tcPr>
            <w:tcW w:w="488" w:type="pct"/>
            <w:vMerge w:val="continue"/>
            <w:tcBorders>
              <w:tl2br w:val="nil"/>
              <w:tr2bl w:val="nil"/>
            </w:tcBorders>
            <w:vAlign w:val="center"/>
          </w:tcPr>
          <w:p w14:paraId="443476EA">
            <w:pPr>
              <w:pStyle w:val="817"/>
              <w:spacing w:line="240" w:lineRule="atLeast"/>
              <w:rPr>
                <w:rFonts w:eastAsia="宋体"/>
                <w:bCs/>
                <w:snapToGrid/>
                <w:color w:val="000000"/>
                <w:spacing w:val="10"/>
                <w:kern w:val="0"/>
                <w:sz w:val="21"/>
              </w:rPr>
            </w:pPr>
          </w:p>
        </w:tc>
        <w:tc>
          <w:tcPr>
            <w:tcW w:w="2519" w:type="pct"/>
            <w:gridSpan w:val="2"/>
            <w:tcBorders>
              <w:tl2br w:val="nil"/>
              <w:tr2bl w:val="nil"/>
            </w:tcBorders>
            <w:vAlign w:val="center"/>
          </w:tcPr>
          <w:p w14:paraId="2DB6BBF9">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2.对建峰化工自来水厂、蒿枝坝自来水厂、马脚溪自来水厂集中式饮用水源保护区，以及小溪风景名胜区、乌江森林公园、乌江沿线自然生态岸线要严加保护，不得违规侵占，严禁进行影响饮用水源保护和破坏生态环境的开发活动。</w:t>
            </w:r>
          </w:p>
        </w:tc>
        <w:tc>
          <w:tcPr>
            <w:tcW w:w="1484" w:type="pct"/>
            <w:tcBorders>
              <w:tl2br w:val="nil"/>
              <w:tr2bl w:val="nil"/>
            </w:tcBorders>
            <w:vAlign w:val="center"/>
          </w:tcPr>
          <w:p w14:paraId="441CE7E0">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项目在重庆白涛化工园区涪陵LNG工厂内，不涉及上述敏感区。</w:t>
            </w:r>
          </w:p>
        </w:tc>
        <w:tc>
          <w:tcPr>
            <w:tcW w:w="507" w:type="pct"/>
            <w:tcBorders>
              <w:tl2br w:val="nil"/>
              <w:tr2bl w:val="nil"/>
            </w:tcBorders>
            <w:vAlign w:val="center"/>
          </w:tcPr>
          <w:p w14:paraId="77DA0F8A">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符合</w:t>
            </w:r>
          </w:p>
        </w:tc>
      </w:tr>
      <w:tr w14:paraId="7CCC856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88" w:type="pct"/>
            <w:tcBorders>
              <w:tl2br w:val="nil"/>
              <w:tr2bl w:val="nil"/>
            </w:tcBorders>
            <w:vAlign w:val="center"/>
          </w:tcPr>
          <w:p w14:paraId="144CE995">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禁止准入产业</w:t>
            </w:r>
          </w:p>
        </w:tc>
        <w:tc>
          <w:tcPr>
            <w:tcW w:w="395" w:type="pct"/>
            <w:vMerge w:val="restart"/>
            <w:tcBorders>
              <w:tl2br w:val="nil"/>
              <w:tr2bl w:val="nil"/>
            </w:tcBorders>
            <w:vAlign w:val="center"/>
          </w:tcPr>
          <w:p w14:paraId="3992589D">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天然气化工</w:t>
            </w:r>
          </w:p>
        </w:tc>
        <w:tc>
          <w:tcPr>
            <w:tcW w:w="2124" w:type="pct"/>
            <w:tcBorders>
              <w:tl2br w:val="nil"/>
              <w:tr2bl w:val="nil"/>
            </w:tcBorders>
            <w:vAlign w:val="center"/>
          </w:tcPr>
          <w:p w14:paraId="45D80005">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新建以天然气为原料生产甲醇装置（天然气制1,4-丁二醇副产甲醇、甲醛除外）；</w:t>
            </w:r>
          </w:p>
        </w:tc>
        <w:tc>
          <w:tcPr>
            <w:tcW w:w="1484" w:type="pct"/>
            <w:tcBorders>
              <w:tl2br w:val="nil"/>
              <w:tr2bl w:val="nil"/>
            </w:tcBorders>
            <w:vAlign w:val="center"/>
          </w:tcPr>
          <w:p w14:paraId="06C2CB2E">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项目仅为氦气回收，不属于上述项目</w:t>
            </w:r>
          </w:p>
        </w:tc>
        <w:tc>
          <w:tcPr>
            <w:tcW w:w="507" w:type="pct"/>
            <w:tcBorders>
              <w:tl2br w:val="nil"/>
              <w:tr2bl w:val="nil"/>
            </w:tcBorders>
            <w:vAlign w:val="center"/>
          </w:tcPr>
          <w:p w14:paraId="7A84B5AF">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符合</w:t>
            </w:r>
          </w:p>
        </w:tc>
      </w:tr>
      <w:tr w14:paraId="0771E83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88" w:type="pct"/>
            <w:tcBorders>
              <w:tl2br w:val="nil"/>
              <w:tr2bl w:val="nil"/>
            </w:tcBorders>
            <w:vAlign w:val="center"/>
          </w:tcPr>
          <w:p w14:paraId="664E40D8">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限制准入条件</w:t>
            </w:r>
          </w:p>
        </w:tc>
        <w:tc>
          <w:tcPr>
            <w:tcW w:w="395" w:type="pct"/>
            <w:vMerge w:val="continue"/>
            <w:tcBorders>
              <w:tl2br w:val="nil"/>
              <w:tr2bl w:val="nil"/>
            </w:tcBorders>
            <w:vAlign w:val="center"/>
          </w:tcPr>
          <w:p w14:paraId="23D91224">
            <w:pPr>
              <w:pStyle w:val="817"/>
              <w:spacing w:line="240" w:lineRule="atLeast"/>
              <w:rPr>
                <w:rFonts w:eastAsia="宋体"/>
                <w:bCs/>
                <w:snapToGrid/>
                <w:color w:val="000000"/>
                <w:spacing w:val="10"/>
                <w:kern w:val="0"/>
                <w:sz w:val="21"/>
              </w:rPr>
            </w:pPr>
          </w:p>
        </w:tc>
        <w:tc>
          <w:tcPr>
            <w:tcW w:w="2124" w:type="pct"/>
            <w:tcBorders>
              <w:tl2br w:val="nil"/>
              <w:tr2bl w:val="nil"/>
            </w:tcBorders>
            <w:vAlign w:val="center"/>
          </w:tcPr>
          <w:p w14:paraId="21A19B9E">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禁止新建或扩建以化肥为产品的合成氨项目（区域规划搬迁、综合利用项目除外）。</w:t>
            </w:r>
          </w:p>
        </w:tc>
        <w:tc>
          <w:tcPr>
            <w:tcW w:w="1484" w:type="pct"/>
            <w:tcBorders>
              <w:tl2br w:val="nil"/>
              <w:tr2bl w:val="nil"/>
            </w:tcBorders>
            <w:vAlign w:val="center"/>
          </w:tcPr>
          <w:p w14:paraId="3CBDC539">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项目仅为氦气回收，不属于上述项目</w:t>
            </w:r>
          </w:p>
        </w:tc>
        <w:tc>
          <w:tcPr>
            <w:tcW w:w="507" w:type="pct"/>
            <w:tcBorders>
              <w:tl2br w:val="nil"/>
              <w:tr2bl w:val="nil"/>
            </w:tcBorders>
            <w:vAlign w:val="center"/>
          </w:tcPr>
          <w:p w14:paraId="2DFEFE7E">
            <w:pPr>
              <w:pStyle w:val="817"/>
              <w:spacing w:line="240" w:lineRule="atLeast"/>
              <w:rPr>
                <w:rFonts w:eastAsia="宋体"/>
                <w:bCs/>
                <w:snapToGrid/>
                <w:color w:val="000000"/>
                <w:spacing w:val="10"/>
                <w:kern w:val="0"/>
                <w:sz w:val="21"/>
              </w:rPr>
            </w:pPr>
            <w:r>
              <w:rPr>
                <w:rFonts w:eastAsia="宋体"/>
                <w:bCs/>
                <w:snapToGrid/>
                <w:color w:val="000000"/>
                <w:spacing w:val="10"/>
                <w:kern w:val="0"/>
                <w:sz w:val="21"/>
              </w:rPr>
              <w:t>符合</w:t>
            </w:r>
          </w:p>
        </w:tc>
      </w:tr>
    </w:tbl>
    <w:p w14:paraId="7D0ADC47">
      <w:pPr>
        <w:widowControl w:val="0"/>
        <w:ind w:firstLine="420" w:firstLineChars="200"/>
        <w:rPr>
          <w:color w:val="000000"/>
        </w:rPr>
      </w:pPr>
      <w:r>
        <w:rPr>
          <w:color w:val="000000"/>
          <w:sz w:val="21"/>
        </w:rPr>
        <w:t>综上所述，本项目满足园区“三线一单”的要求。</w:t>
      </w:r>
    </w:p>
    <w:p w14:paraId="7B8B2501">
      <w:pPr>
        <w:rPr>
          <w:color w:val="000000"/>
        </w:rPr>
      </w:pPr>
      <w:bookmarkStart w:id="188" w:name="_Toc440766284"/>
      <w:bookmarkStart w:id="189" w:name="_Toc440766088"/>
      <w:bookmarkStart w:id="190" w:name="_Toc408334040"/>
      <w:bookmarkStart w:id="191" w:name="_Toc489922449"/>
      <w:bookmarkStart w:id="192" w:name="_Toc500375990"/>
      <w:bookmarkStart w:id="193" w:name="_Toc477144602"/>
      <w:bookmarkStart w:id="194" w:name="_Toc408345158"/>
      <w:bookmarkStart w:id="195" w:name="_Toc19101_WPSOffice_Level3"/>
    </w:p>
    <w:bookmarkEnd w:id="188"/>
    <w:bookmarkEnd w:id="189"/>
    <w:bookmarkEnd w:id="190"/>
    <w:bookmarkEnd w:id="191"/>
    <w:bookmarkEnd w:id="192"/>
    <w:bookmarkEnd w:id="193"/>
    <w:bookmarkEnd w:id="194"/>
    <w:bookmarkEnd w:id="195"/>
    <w:p w14:paraId="422CB345">
      <w:pPr>
        <w:pStyle w:val="781"/>
        <w:rPr>
          <w:color w:val="000000"/>
        </w:rPr>
      </w:pPr>
      <w:bookmarkStart w:id="196" w:name="_Toc15896"/>
      <w:r>
        <w:rPr>
          <w:color w:val="000000"/>
        </w:rPr>
        <w:t>2企业现状</w:t>
      </w:r>
      <w:bookmarkEnd w:id="196"/>
    </w:p>
    <w:p w14:paraId="0D958AC1">
      <w:pPr>
        <w:pStyle w:val="770"/>
        <w:rPr>
          <w:bCs w:val="0"/>
          <w:color w:val="000000"/>
        </w:rPr>
      </w:pPr>
      <w:bookmarkStart w:id="197" w:name="_Toc24549"/>
      <w:r>
        <w:rPr>
          <w:bCs w:val="0"/>
          <w:color w:val="000000"/>
        </w:rPr>
        <w:t>2.1企业建设历程及环保手续执行情况</w:t>
      </w:r>
      <w:bookmarkEnd w:id="197"/>
    </w:p>
    <w:p w14:paraId="0F395404">
      <w:pPr>
        <w:pStyle w:val="68"/>
        <w:spacing w:before="0" w:beforeAutospacing="0" w:after="0" w:afterAutospacing="0" w:line="360" w:lineRule="auto"/>
        <w:ind w:firstLine="480" w:firstLineChars="200"/>
        <w:rPr>
          <w:rFonts w:ascii="Times New Roman" w:hAnsi="Times New Roman"/>
          <w:bCs/>
          <w:color w:val="000000"/>
        </w:rPr>
      </w:pPr>
      <w:r>
        <w:rPr>
          <w:rFonts w:ascii="Times New Roman" w:hAnsi="Times New Roman"/>
          <w:color w:val="000000"/>
        </w:rPr>
        <w:t>重庆中石化通汇能源有限公司涪陵</w:t>
      </w:r>
      <w:r>
        <w:rPr>
          <w:rFonts w:ascii="Times New Roman" w:hAnsi="Times New Roman"/>
          <w:bCs/>
          <w:color w:val="000000"/>
        </w:rPr>
        <w:t>液化天然气（LNG）工厂项目</w:t>
      </w:r>
      <w:r>
        <w:rPr>
          <w:rFonts w:ascii="Times New Roman" w:hAnsi="Times New Roman"/>
          <w:color w:val="000000"/>
        </w:rPr>
        <w:t>位于重庆市涪陵区白涛工业园区内。2014年，重庆中石化通汇能源有限公司</w:t>
      </w:r>
      <w:r>
        <w:rPr>
          <w:rFonts w:ascii="Times New Roman" w:hAnsi="Times New Roman"/>
          <w:bCs/>
          <w:color w:val="000000"/>
        </w:rPr>
        <w:t>委托后勤工程学院环境保护科学研究所编制了《重庆中石化通汇能源有限公司涪陵液化天然气（LNG）工厂项目环境影响报告书》；2015年3月9日，重庆市涪陵区生态环境局以渝（涪）环准[2015]34号文对该项目下达了环境影响评价文件批准书。环评及批复的建设内容和规模为：项目占地176910m</w:t>
      </w:r>
      <w:r>
        <w:rPr>
          <w:rFonts w:ascii="Times New Roman" w:hAnsi="Times New Roman"/>
          <w:bCs/>
          <w:color w:val="000000"/>
          <w:vertAlign w:val="superscript"/>
        </w:rPr>
        <w:t>2</w:t>
      </w:r>
      <w:r>
        <w:rPr>
          <w:rFonts w:ascii="Times New Roman" w:hAnsi="Times New Roman"/>
          <w:bCs/>
          <w:color w:val="000000"/>
        </w:rPr>
        <w:t>，其中厂区占地174410m</w:t>
      </w:r>
      <w:r>
        <w:rPr>
          <w:rFonts w:ascii="Times New Roman" w:hAnsi="Times New Roman"/>
          <w:bCs/>
          <w:color w:val="000000"/>
          <w:vertAlign w:val="superscript"/>
        </w:rPr>
        <w:t>2</w:t>
      </w:r>
      <w:r>
        <w:rPr>
          <w:rFonts w:ascii="Times New Roman" w:hAnsi="Times New Roman"/>
          <w:bCs/>
          <w:color w:val="000000"/>
        </w:rPr>
        <w:t>，高架火炬占地2500m</w:t>
      </w:r>
      <w:r>
        <w:rPr>
          <w:rFonts w:ascii="Times New Roman" w:hAnsi="Times New Roman"/>
          <w:bCs/>
          <w:color w:val="000000"/>
          <w:vertAlign w:val="superscript"/>
        </w:rPr>
        <w:t>2</w:t>
      </w:r>
      <w:r>
        <w:rPr>
          <w:rFonts w:ascii="Times New Roman" w:hAnsi="Times New Roman"/>
          <w:bCs/>
          <w:color w:val="000000"/>
        </w:rPr>
        <w:t>。总规模为200万Nm</w:t>
      </w:r>
      <w:r>
        <w:rPr>
          <w:rFonts w:ascii="Times New Roman" w:hAnsi="Times New Roman"/>
          <w:bCs/>
          <w:color w:val="000000"/>
          <w:vertAlign w:val="superscript"/>
        </w:rPr>
        <w:t>3</w:t>
      </w:r>
      <w:r>
        <w:rPr>
          <w:rFonts w:ascii="Times New Roman" w:hAnsi="Times New Roman"/>
          <w:bCs/>
          <w:color w:val="000000"/>
        </w:rPr>
        <w:t>/d。分二期建设，其中一期建设100万Nm3/d的天然气液化装置、10000m</w:t>
      </w:r>
      <w:r>
        <w:rPr>
          <w:rFonts w:ascii="Times New Roman" w:hAnsi="Times New Roman"/>
          <w:bCs/>
          <w:color w:val="000000"/>
          <w:vertAlign w:val="superscript"/>
        </w:rPr>
        <w:t>3</w:t>
      </w:r>
      <w:r>
        <w:rPr>
          <w:rFonts w:ascii="Times New Roman" w:hAnsi="Times New Roman"/>
          <w:bCs/>
          <w:color w:val="000000"/>
        </w:rPr>
        <w:t>液化天然气低温储罐、配套的公用工程、辅助设施和生产生活设施；预留二期100万Nm</w:t>
      </w:r>
      <w:r>
        <w:rPr>
          <w:rFonts w:ascii="Times New Roman" w:hAnsi="Times New Roman"/>
          <w:bCs/>
          <w:color w:val="000000"/>
          <w:vertAlign w:val="superscript"/>
        </w:rPr>
        <w:t>3</w:t>
      </w:r>
      <w:r>
        <w:rPr>
          <w:rFonts w:ascii="Times New Roman" w:hAnsi="Times New Roman"/>
          <w:bCs/>
          <w:color w:val="000000"/>
        </w:rPr>
        <w:t>/d天然气液化装置和一台10000m</w:t>
      </w:r>
      <w:r>
        <w:rPr>
          <w:rFonts w:ascii="Times New Roman" w:hAnsi="Times New Roman"/>
          <w:bCs/>
          <w:color w:val="000000"/>
          <w:vertAlign w:val="superscript"/>
        </w:rPr>
        <w:t>3</w:t>
      </w:r>
      <w:r>
        <w:rPr>
          <w:rFonts w:ascii="Times New Roman" w:hAnsi="Times New Roman"/>
          <w:bCs/>
          <w:color w:val="000000"/>
        </w:rPr>
        <w:t>液化天然气低温储罐用地（其中二期液化装置及低温储罐的建设以及场外天然气输送管网不属于环评范围）。</w:t>
      </w:r>
    </w:p>
    <w:p w14:paraId="4F6740BE">
      <w:pPr>
        <w:pStyle w:val="206"/>
        <w:ind w:firstLine="480" w:firstLineChars="200"/>
        <w:rPr>
          <w:rFonts w:ascii="Times New Roman" w:hAnsi="Times New Roman" w:eastAsia="宋体"/>
          <w:color w:val="000000"/>
          <w:sz w:val="24"/>
          <w:szCs w:val="24"/>
        </w:rPr>
      </w:pPr>
      <w:r>
        <w:rPr>
          <w:rFonts w:ascii="Times New Roman" w:hAnsi="Times New Roman" w:eastAsia="宋体"/>
          <w:bCs/>
          <w:color w:val="000000"/>
          <w:sz w:val="24"/>
          <w:szCs w:val="24"/>
        </w:rPr>
        <w:t>2016年1月，企业进行了环境保护设计备案，并取得了备案回执（渝（涪）环设备[2016]1号）；2018年3月项目投入试生产；2019年3月，企业委托重庆市环境保护工程设计研究院有限公司编制了《重庆中石化通汇能源有限公司涪陵液化天然气（LNG）工厂项目竣工环境保护验收报告》，对项目一期进行了环保验收，取得了专家组意见，并于2019年5月14日获得了重庆市涪陵区生态环境局下发的《重庆市建设项目固体废物污染防治设施竣工环境保护验收批复》（渝（涪）环验[2019]38号）。2020年10月，</w:t>
      </w:r>
      <w:r>
        <w:rPr>
          <w:rFonts w:ascii="Times New Roman" w:hAnsi="Times New Roman" w:eastAsia="宋体"/>
          <w:color w:val="000000"/>
          <w:sz w:val="24"/>
          <w:szCs w:val="24"/>
        </w:rPr>
        <w:t>重庆中石化通汇能源有限公司取得了国家排污许可登记回执（登记编号：91500102095333659G001Y）。</w:t>
      </w:r>
    </w:p>
    <w:p w14:paraId="56657BDB">
      <w:pPr>
        <w:pStyle w:val="770"/>
        <w:rPr>
          <w:bCs w:val="0"/>
          <w:color w:val="000000"/>
        </w:rPr>
      </w:pPr>
      <w:bookmarkStart w:id="198" w:name="_Toc24063"/>
      <w:r>
        <w:rPr>
          <w:bCs w:val="0"/>
          <w:color w:val="000000"/>
        </w:rPr>
        <w:t>2.2现有工程概况</w:t>
      </w:r>
      <w:bookmarkEnd w:id="198"/>
    </w:p>
    <w:p w14:paraId="2ECFE951">
      <w:pPr>
        <w:pStyle w:val="771"/>
        <w:rPr>
          <w:b/>
          <w:bCs w:val="0"/>
          <w:color w:val="000000"/>
        </w:rPr>
      </w:pPr>
      <w:r>
        <w:rPr>
          <w:b/>
          <w:bCs w:val="0"/>
          <w:color w:val="000000"/>
        </w:rPr>
        <w:t>2.2.1基本情况</w:t>
      </w:r>
    </w:p>
    <w:p w14:paraId="07F4CF4F">
      <w:pPr>
        <w:pStyle w:val="68"/>
        <w:spacing w:before="0" w:beforeAutospacing="0" w:after="0" w:afterAutospacing="0" w:line="360" w:lineRule="auto"/>
        <w:ind w:firstLine="480" w:firstLineChars="200"/>
        <w:rPr>
          <w:rFonts w:ascii="Times New Roman" w:hAnsi="Times New Roman"/>
          <w:color w:val="000000"/>
        </w:rPr>
      </w:pPr>
      <w:r>
        <w:rPr>
          <w:rFonts w:ascii="Times New Roman" w:hAnsi="Times New Roman"/>
          <w:color w:val="000000"/>
        </w:rPr>
        <w:t>现有工程占地176910m</w:t>
      </w:r>
      <w:r>
        <w:rPr>
          <w:rFonts w:ascii="Times New Roman" w:hAnsi="Times New Roman"/>
          <w:color w:val="000000"/>
          <w:vertAlign w:val="superscript"/>
        </w:rPr>
        <w:t>2</w:t>
      </w:r>
      <w:r>
        <w:rPr>
          <w:rFonts w:ascii="Times New Roman" w:hAnsi="Times New Roman"/>
          <w:color w:val="000000"/>
        </w:rPr>
        <w:t>，其中厂区占地174410m</w:t>
      </w:r>
      <w:r>
        <w:rPr>
          <w:rFonts w:ascii="Times New Roman" w:hAnsi="Times New Roman"/>
          <w:color w:val="000000"/>
          <w:vertAlign w:val="superscript"/>
        </w:rPr>
        <w:t>2</w:t>
      </w:r>
      <w:r>
        <w:rPr>
          <w:rFonts w:ascii="Times New Roman" w:hAnsi="Times New Roman"/>
          <w:color w:val="000000"/>
        </w:rPr>
        <w:t>，高架火炬占地2500m</w:t>
      </w:r>
      <w:r>
        <w:rPr>
          <w:rFonts w:ascii="Times New Roman" w:hAnsi="Times New Roman"/>
          <w:color w:val="000000"/>
          <w:vertAlign w:val="superscript"/>
        </w:rPr>
        <w:t>2</w:t>
      </w:r>
      <w:r>
        <w:rPr>
          <w:rFonts w:ascii="Times New Roman" w:hAnsi="Times New Roman"/>
          <w:color w:val="000000"/>
        </w:rPr>
        <w:t>，现有工程是以页岩气为原料，制备液化天然气LNG，总规模 200 万 Nm</w:t>
      </w:r>
      <w:r>
        <w:rPr>
          <w:rFonts w:ascii="Times New Roman" w:hAnsi="Times New Roman"/>
          <w:color w:val="000000"/>
          <w:vertAlign w:val="superscript"/>
        </w:rPr>
        <w:t>3</w:t>
      </w:r>
      <w:r>
        <w:rPr>
          <w:rFonts w:ascii="Times New Roman" w:hAnsi="Times New Roman"/>
          <w:color w:val="000000"/>
        </w:rPr>
        <w:t>/d，分二期建设，其中一期工程建设 1 套100万Nm</w:t>
      </w:r>
      <w:r>
        <w:rPr>
          <w:rFonts w:ascii="Times New Roman" w:hAnsi="Times New Roman"/>
          <w:color w:val="000000"/>
          <w:vertAlign w:val="superscript"/>
        </w:rPr>
        <w:t>3</w:t>
      </w:r>
      <w:r>
        <w:rPr>
          <w:rFonts w:ascii="Times New Roman" w:hAnsi="Times New Roman"/>
          <w:color w:val="000000"/>
        </w:rPr>
        <w:t>/d 液化天然气装置、1 座10000 m</w:t>
      </w:r>
      <w:r>
        <w:rPr>
          <w:rFonts w:ascii="Times New Roman" w:hAnsi="Times New Roman"/>
          <w:color w:val="000000"/>
          <w:vertAlign w:val="superscript"/>
        </w:rPr>
        <w:t>3</w:t>
      </w:r>
      <w:r>
        <w:rPr>
          <w:rFonts w:ascii="Times New Roman" w:hAnsi="Times New Roman"/>
          <w:color w:val="000000"/>
        </w:rPr>
        <w:t xml:space="preserve"> LNG低温储罐、配套的公用工程、辅助设施和生产生活设施；预留二期建设用地，总建筑面积为8612m</w:t>
      </w:r>
      <w:r>
        <w:rPr>
          <w:rFonts w:ascii="Times New Roman" w:hAnsi="Times New Roman"/>
          <w:color w:val="000000"/>
          <w:vertAlign w:val="superscript"/>
        </w:rPr>
        <w:t>2</w:t>
      </w:r>
      <w:r>
        <w:rPr>
          <w:rFonts w:ascii="Times New Roman" w:hAnsi="Times New Roman"/>
          <w:color w:val="000000"/>
        </w:rPr>
        <w:t>。一期工程已建成，年产液化天然气22.66万t。</w:t>
      </w:r>
    </w:p>
    <w:p w14:paraId="49AAFE95">
      <w:pPr>
        <w:pStyle w:val="68"/>
        <w:spacing w:before="0" w:beforeAutospacing="0" w:after="0" w:afterAutospacing="0" w:line="360" w:lineRule="auto"/>
        <w:ind w:firstLine="480" w:firstLineChars="200"/>
        <w:rPr>
          <w:rFonts w:ascii="Times New Roman" w:hAnsi="Times New Roman"/>
          <w:color w:val="000000"/>
        </w:rPr>
      </w:pPr>
      <w:r>
        <w:rPr>
          <w:rFonts w:ascii="Times New Roman" w:hAnsi="Times New Roman"/>
          <w:color w:val="000000"/>
        </w:rPr>
        <w:t>人员编制及工作制度：60人。年工作日约333d，按8000h计。工作制度3班/d，每班8h。</w:t>
      </w:r>
    </w:p>
    <w:p w14:paraId="392FDD68">
      <w:pPr>
        <w:pStyle w:val="771"/>
        <w:rPr>
          <w:b/>
          <w:bCs w:val="0"/>
          <w:color w:val="000000"/>
        </w:rPr>
      </w:pPr>
      <w:r>
        <w:rPr>
          <w:b/>
          <w:bCs w:val="0"/>
          <w:color w:val="000000"/>
        </w:rPr>
        <w:t>2.2.2产品方案</w:t>
      </w:r>
    </w:p>
    <w:p w14:paraId="76BC37B3">
      <w:pPr>
        <w:ind w:firstLine="480"/>
        <w:rPr>
          <w:color w:val="000000"/>
          <w:kern w:val="0"/>
          <w:szCs w:val="24"/>
        </w:rPr>
      </w:pPr>
      <w:r>
        <w:rPr>
          <w:color w:val="000000"/>
          <w:kern w:val="0"/>
          <w:szCs w:val="24"/>
        </w:rPr>
        <w:t>现有工程主要功能是对进站的天然气进行净化和液化处理，一期天然气处理能力为100万Nm</w:t>
      </w:r>
      <w:r>
        <w:rPr>
          <w:color w:val="000000"/>
          <w:kern w:val="0"/>
          <w:szCs w:val="24"/>
          <w:vertAlign w:val="superscript"/>
        </w:rPr>
        <w:t>3</w:t>
      </w:r>
      <w:r>
        <w:rPr>
          <w:color w:val="000000"/>
          <w:kern w:val="0"/>
          <w:szCs w:val="24"/>
        </w:rPr>
        <w:t>/d、一期液化天</w:t>
      </w:r>
      <w:r>
        <w:rPr>
          <w:rFonts w:hint="eastAsia"/>
          <w:color w:val="000000"/>
          <w:kern w:val="0"/>
          <w:szCs w:val="24"/>
          <w:lang w:eastAsia="zh-CN"/>
        </w:rPr>
        <w:t>然气</w:t>
      </w:r>
      <w:r>
        <w:rPr>
          <w:color w:val="000000"/>
          <w:kern w:val="0"/>
          <w:szCs w:val="24"/>
        </w:rPr>
        <w:t>产量为22.66万t/a，装置操作弹性为60%~110%。液化天然气储罐（常压、低温）储存能力为10000m</w:t>
      </w:r>
      <w:r>
        <w:rPr>
          <w:color w:val="000000"/>
          <w:kern w:val="0"/>
          <w:szCs w:val="24"/>
          <w:vertAlign w:val="superscript"/>
        </w:rPr>
        <w:t>3</w:t>
      </w:r>
      <w:r>
        <w:rPr>
          <w:color w:val="000000"/>
          <w:kern w:val="0"/>
          <w:szCs w:val="24"/>
        </w:rPr>
        <w:t>。产品方案为车用、船用液化天然气，产品符合《液化天然气的一般特性》（GB/T19204-2003），满足《车用压缩天然气》（GB18047-2000）车用天然气要求，以及满足《天然气》（GB17820-1999）中规定的一类天然气要求。</w:t>
      </w:r>
    </w:p>
    <w:p w14:paraId="3341BA69">
      <w:pPr>
        <w:pStyle w:val="771"/>
        <w:rPr>
          <w:b/>
          <w:bCs w:val="0"/>
          <w:color w:val="000000"/>
        </w:rPr>
      </w:pPr>
      <w:r>
        <w:rPr>
          <w:b/>
          <w:bCs w:val="0"/>
          <w:color w:val="000000"/>
        </w:rPr>
        <w:t>2.2.3项目</w:t>
      </w:r>
      <w:r>
        <w:rPr>
          <w:rFonts w:hint="eastAsia"/>
          <w:b/>
          <w:bCs w:val="0"/>
          <w:color w:val="000000"/>
        </w:rPr>
        <w:t>组成</w:t>
      </w:r>
    </w:p>
    <w:p w14:paraId="209BA4A8">
      <w:pPr>
        <w:pStyle w:val="68"/>
        <w:spacing w:before="0" w:beforeAutospacing="0" w:after="0" w:afterAutospacing="0" w:line="360" w:lineRule="auto"/>
        <w:ind w:firstLine="480" w:firstLineChars="200"/>
        <w:rPr>
          <w:rFonts w:ascii="Times New Roman" w:hAnsi="Times New Roman"/>
          <w:color w:val="000000"/>
        </w:rPr>
      </w:pPr>
      <w:r>
        <w:rPr>
          <w:rFonts w:ascii="Times New Roman" w:hAnsi="Times New Roman"/>
          <w:color w:val="000000"/>
        </w:rPr>
        <w:t>现有工程包括原料气计量稳压、净化、液化单元，制冷剂压缩、储配单元，LNG储存单元等主体部分及相应配套的公用工程和辅助设施以及外运设施，现有工程项目组成详见表2.2.3-1。</w:t>
      </w:r>
    </w:p>
    <w:p w14:paraId="3B0B16DC">
      <w:pPr>
        <w:pStyle w:val="149"/>
        <w:spacing w:line="360" w:lineRule="auto"/>
        <w:rPr>
          <w:rFonts w:ascii="Times New Roman" w:eastAsia="宋体"/>
          <w:color w:val="000000"/>
          <w:szCs w:val="21"/>
        </w:rPr>
      </w:pPr>
      <w:r>
        <w:rPr>
          <w:rFonts w:ascii="Times New Roman" w:eastAsia="宋体"/>
          <w:color w:val="000000"/>
          <w:szCs w:val="21"/>
        </w:rPr>
        <w:t>表2.2.3-1 现有工程组成一览表</w:t>
      </w:r>
    </w:p>
    <w:tbl>
      <w:tblPr>
        <w:tblStyle w:val="73"/>
        <w:tblW w:w="4970"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654"/>
        <w:gridCol w:w="1326"/>
        <w:gridCol w:w="6318"/>
      </w:tblGrid>
      <w:tr w14:paraId="4372CCB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93" w:type="pct"/>
            <w:vMerge w:val="restart"/>
            <w:tcBorders>
              <w:tl2br w:val="nil"/>
              <w:tr2bl w:val="nil"/>
            </w:tcBorders>
            <w:vAlign w:val="center"/>
          </w:tcPr>
          <w:p w14:paraId="22B0BA75">
            <w:pPr>
              <w:spacing w:line="320" w:lineRule="exact"/>
              <w:jc w:val="center"/>
              <w:rPr>
                <w:color w:val="000000"/>
                <w:sz w:val="21"/>
              </w:rPr>
            </w:pPr>
            <w:r>
              <w:rPr>
                <w:color w:val="000000"/>
                <w:sz w:val="21"/>
              </w:rPr>
              <w:t>项目</w:t>
            </w:r>
          </w:p>
          <w:p w14:paraId="2FC34855">
            <w:pPr>
              <w:spacing w:line="320" w:lineRule="exact"/>
              <w:jc w:val="center"/>
              <w:rPr>
                <w:color w:val="000000"/>
                <w:sz w:val="21"/>
              </w:rPr>
            </w:pPr>
            <w:r>
              <w:rPr>
                <w:color w:val="000000"/>
                <w:sz w:val="21"/>
              </w:rPr>
              <w:t>名称</w:t>
            </w:r>
          </w:p>
        </w:tc>
        <w:tc>
          <w:tcPr>
            <w:tcW w:w="4606" w:type="pct"/>
            <w:gridSpan w:val="3"/>
            <w:vMerge w:val="restart"/>
            <w:tcBorders>
              <w:tl2br w:val="nil"/>
              <w:tr2bl w:val="nil"/>
            </w:tcBorders>
            <w:vAlign w:val="center"/>
          </w:tcPr>
          <w:p w14:paraId="7952E0AA">
            <w:pPr>
              <w:spacing w:line="320" w:lineRule="exact"/>
              <w:jc w:val="center"/>
              <w:rPr>
                <w:color w:val="000000"/>
                <w:sz w:val="21"/>
              </w:rPr>
            </w:pPr>
            <w:r>
              <w:rPr>
                <w:color w:val="000000"/>
                <w:sz w:val="21"/>
              </w:rPr>
              <w:t>现有工程建设内容</w:t>
            </w:r>
          </w:p>
        </w:tc>
      </w:tr>
      <w:tr w14:paraId="0DBDC9B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93" w:type="pct"/>
            <w:vMerge w:val="continue"/>
            <w:tcBorders>
              <w:tl2br w:val="nil"/>
              <w:tr2bl w:val="nil"/>
            </w:tcBorders>
            <w:vAlign w:val="center"/>
          </w:tcPr>
          <w:p w14:paraId="712B9FAA">
            <w:pPr>
              <w:spacing w:line="320" w:lineRule="exact"/>
              <w:jc w:val="center"/>
              <w:rPr>
                <w:color w:val="000000"/>
                <w:sz w:val="21"/>
              </w:rPr>
            </w:pPr>
          </w:p>
        </w:tc>
        <w:tc>
          <w:tcPr>
            <w:tcW w:w="4606" w:type="pct"/>
            <w:gridSpan w:val="3"/>
            <w:vMerge w:val="continue"/>
            <w:tcBorders>
              <w:tl2br w:val="nil"/>
              <w:tr2bl w:val="nil"/>
            </w:tcBorders>
            <w:vAlign w:val="center"/>
          </w:tcPr>
          <w:p w14:paraId="21B23CE8">
            <w:pPr>
              <w:spacing w:line="320" w:lineRule="exact"/>
              <w:jc w:val="center"/>
              <w:rPr>
                <w:color w:val="000000"/>
                <w:sz w:val="21"/>
              </w:rPr>
            </w:pPr>
          </w:p>
        </w:tc>
      </w:tr>
      <w:tr w14:paraId="77877A4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3" w:type="pct"/>
            <w:vMerge w:val="restart"/>
            <w:tcBorders>
              <w:tl2br w:val="nil"/>
              <w:tr2bl w:val="nil"/>
            </w:tcBorders>
            <w:vAlign w:val="center"/>
          </w:tcPr>
          <w:p w14:paraId="29E3DC35">
            <w:pPr>
              <w:spacing w:line="320" w:lineRule="exact"/>
              <w:jc w:val="center"/>
              <w:rPr>
                <w:color w:val="000000"/>
                <w:sz w:val="21"/>
              </w:rPr>
            </w:pPr>
            <w:r>
              <w:rPr>
                <w:color w:val="000000"/>
                <w:sz w:val="21"/>
              </w:rPr>
              <w:t>主体</w:t>
            </w:r>
          </w:p>
          <w:p w14:paraId="031B0B56">
            <w:pPr>
              <w:spacing w:line="320" w:lineRule="exact"/>
              <w:jc w:val="center"/>
              <w:rPr>
                <w:color w:val="000000"/>
                <w:sz w:val="21"/>
              </w:rPr>
            </w:pPr>
            <w:r>
              <w:rPr>
                <w:color w:val="000000"/>
                <w:sz w:val="21"/>
              </w:rPr>
              <w:t>工程</w:t>
            </w:r>
          </w:p>
        </w:tc>
        <w:tc>
          <w:tcPr>
            <w:tcW w:w="1099" w:type="pct"/>
            <w:gridSpan w:val="2"/>
            <w:tcBorders>
              <w:tl2br w:val="nil"/>
              <w:tr2bl w:val="nil"/>
            </w:tcBorders>
            <w:vAlign w:val="center"/>
          </w:tcPr>
          <w:p w14:paraId="05AF3293">
            <w:pPr>
              <w:widowControl w:val="0"/>
              <w:spacing w:line="240" w:lineRule="atLeast"/>
              <w:jc w:val="center"/>
              <w:rPr>
                <w:color w:val="000000"/>
                <w:sz w:val="21"/>
              </w:rPr>
            </w:pPr>
            <w:r>
              <w:rPr>
                <w:color w:val="000000"/>
                <w:sz w:val="21"/>
              </w:rPr>
              <w:t>天然气净化单元</w:t>
            </w:r>
          </w:p>
        </w:tc>
        <w:tc>
          <w:tcPr>
            <w:tcW w:w="3506" w:type="pct"/>
            <w:tcBorders>
              <w:tl2br w:val="nil"/>
              <w:tr2bl w:val="nil"/>
            </w:tcBorders>
            <w:vAlign w:val="center"/>
          </w:tcPr>
          <w:p w14:paraId="0D9A7F8D">
            <w:pPr>
              <w:widowControl w:val="0"/>
              <w:spacing w:line="240" w:lineRule="atLeast"/>
              <w:rPr>
                <w:color w:val="000000"/>
                <w:sz w:val="21"/>
              </w:rPr>
            </w:pPr>
            <w:r>
              <w:rPr>
                <w:color w:val="000000"/>
                <w:sz w:val="21"/>
              </w:rPr>
              <w:t>包括脱酸、脱水、脱汞净化单元和再生单元</w:t>
            </w:r>
          </w:p>
        </w:tc>
      </w:tr>
      <w:tr w14:paraId="15EAD93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3" w:type="pct"/>
            <w:vMerge w:val="continue"/>
            <w:tcBorders>
              <w:tl2br w:val="nil"/>
              <w:tr2bl w:val="nil"/>
            </w:tcBorders>
            <w:vAlign w:val="center"/>
          </w:tcPr>
          <w:p w14:paraId="643C65BA">
            <w:pPr>
              <w:spacing w:line="320" w:lineRule="exact"/>
              <w:jc w:val="center"/>
              <w:rPr>
                <w:color w:val="000000"/>
                <w:sz w:val="21"/>
              </w:rPr>
            </w:pPr>
          </w:p>
        </w:tc>
        <w:tc>
          <w:tcPr>
            <w:tcW w:w="1099" w:type="pct"/>
            <w:gridSpan w:val="2"/>
            <w:tcBorders>
              <w:tl2br w:val="nil"/>
              <w:tr2bl w:val="nil"/>
            </w:tcBorders>
            <w:vAlign w:val="center"/>
          </w:tcPr>
          <w:p w14:paraId="6A68C5AE">
            <w:pPr>
              <w:widowControl w:val="0"/>
              <w:spacing w:line="240" w:lineRule="atLeast"/>
              <w:jc w:val="center"/>
              <w:rPr>
                <w:color w:val="000000"/>
                <w:sz w:val="21"/>
              </w:rPr>
            </w:pPr>
            <w:r>
              <w:rPr>
                <w:color w:val="000000"/>
                <w:sz w:val="21"/>
              </w:rPr>
              <w:t>天然气液化单元</w:t>
            </w:r>
          </w:p>
        </w:tc>
        <w:tc>
          <w:tcPr>
            <w:tcW w:w="3506" w:type="pct"/>
            <w:tcBorders>
              <w:tl2br w:val="nil"/>
              <w:tr2bl w:val="nil"/>
            </w:tcBorders>
            <w:vAlign w:val="center"/>
          </w:tcPr>
          <w:p w14:paraId="5D6EEF9D">
            <w:pPr>
              <w:widowControl w:val="0"/>
              <w:spacing w:line="240" w:lineRule="atLeast"/>
              <w:rPr>
                <w:color w:val="000000"/>
                <w:sz w:val="21"/>
              </w:rPr>
            </w:pPr>
            <w:r>
              <w:rPr>
                <w:color w:val="000000"/>
                <w:sz w:val="21"/>
              </w:rPr>
              <w:t>包括冷箱，制冷压缩机和冷剂配比</w:t>
            </w:r>
          </w:p>
        </w:tc>
      </w:tr>
      <w:tr w14:paraId="35A6F17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3" w:type="pct"/>
            <w:vMerge w:val="continue"/>
            <w:tcBorders>
              <w:tl2br w:val="nil"/>
              <w:tr2bl w:val="nil"/>
            </w:tcBorders>
            <w:vAlign w:val="center"/>
          </w:tcPr>
          <w:p w14:paraId="154B60C2">
            <w:pPr>
              <w:spacing w:line="320" w:lineRule="exact"/>
              <w:jc w:val="center"/>
              <w:rPr>
                <w:color w:val="000000"/>
                <w:sz w:val="21"/>
              </w:rPr>
            </w:pPr>
          </w:p>
        </w:tc>
        <w:tc>
          <w:tcPr>
            <w:tcW w:w="1099" w:type="pct"/>
            <w:gridSpan w:val="2"/>
            <w:tcBorders>
              <w:tl2br w:val="nil"/>
              <w:tr2bl w:val="nil"/>
            </w:tcBorders>
            <w:vAlign w:val="center"/>
          </w:tcPr>
          <w:p w14:paraId="54E07F18">
            <w:pPr>
              <w:widowControl w:val="0"/>
              <w:spacing w:line="240" w:lineRule="atLeast"/>
              <w:jc w:val="center"/>
              <w:rPr>
                <w:color w:val="000000"/>
                <w:sz w:val="21"/>
              </w:rPr>
            </w:pPr>
            <w:r>
              <w:rPr>
                <w:color w:val="000000"/>
                <w:sz w:val="21"/>
              </w:rPr>
              <w:t>高架火炬</w:t>
            </w:r>
          </w:p>
        </w:tc>
        <w:tc>
          <w:tcPr>
            <w:tcW w:w="3506" w:type="pct"/>
            <w:tcBorders>
              <w:tl2br w:val="nil"/>
              <w:tr2bl w:val="nil"/>
            </w:tcBorders>
            <w:vAlign w:val="center"/>
          </w:tcPr>
          <w:p w14:paraId="060FEFEF">
            <w:pPr>
              <w:widowControl w:val="0"/>
              <w:spacing w:line="240" w:lineRule="atLeast"/>
              <w:rPr>
                <w:color w:val="000000"/>
                <w:sz w:val="21"/>
              </w:rPr>
            </w:pPr>
            <w:r>
              <w:rPr>
                <w:color w:val="000000"/>
                <w:sz w:val="21"/>
              </w:rPr>
              <w:t>设置两套火炬，一套为热火炬，一套为冷火炬。</w:t>
            </w:r>
          </w:p>
          <w:p w14:paraId="74389E83">
            <w:pPr>
              <w:widowControl w:val="0"/>
              <w:spacing w:line="240" w:lineRule="atLeast"/>
              <w:rPr>
                <w:color w:val="000000"/>
                <w:sz w:val="21"/>
              </w:rPr>
            </w:pPr>
            <w:r>
              <w:rPr>
                <w:color w:val="000000"/>
                <w:sz w:val="21"/>
              </w:rPr>
              <w:t>热火炬设计处理能力：185t/h。</w:t>
            </w:r>
          </w:p>
          <w:p w14:paraId="3D8D9D1B">
            <w:pPr>
              <w:widowControl w:val="0"/>
              <w:spacing w:line="240" w:lineRule="atLeast"/>
              <w:rPr>
                <w:color w:val="000000"/>
                <w:sz w:val="21"/>
              </w:rPr>
            </w:pPr>
            <w:r>
              <w:rPr>
                <w:color w:val="000000"/>
                <w:sz w:val="21"/>
              </w:rPr>
              <w:t>冷火炬设计处理能力：20t/h。</w:t>
            </w:r>
          </w:p>
          <w:p w14:paraId="716A637E">
            <w:pPr>
              <w:widowControl w:val="0"/>
              <w:spacing w:line="240" w:lineRule="atLeast"/>
              <w:rPr>
                <w:color w:val="000000"/>
                <w:sz w:val="21"/>
              </w:rPr>
            </w:pPr>
            <w:r>
              <w:rPr>
                <w:color w:val="000000"/>
                <w:sz w:val="21"/>
              </w:rPr>
              <w:t>两套火炬捆绑共架布置，塔架支撑高压火炬，高度80m。</w:t>
            </w:r>
          </w:p>
        </w:tc>
      </w:tr>
      <w:tr w14:paraId="40B59B0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93" w:type="pct"/>
            <w:vMerge w:val="restart"/>
            <w:tcBorders>
              <w:tl2br w:val="nil"/>
              <w:tr2bl w:val="nil"/>
            </w:tcBorders>
            <w:vAlign w:val="center"/>
          </w:tcPr>
          <w:p w14:paraId="06026311">
            <w:pPr>
              <w:spacing w:line="320" w:lineRule="exact"/>
              <w:jc w:val="center"/>
              <w:rPr>
                <w:color w:val="000000"/>
                <w:sz w:val="21"/>
              </w:rPr>
            </w:pPr>
            <w:r>
              <w:rPr>
                <w:color w:val="000000"/>
                <w:sz w:val="21"/>
              </w:rPr>
              <w:t>辅助</w:t>
            </w:r>
          </w:p>
          <w:p w14:paraId="77DE1376">
            <w:pPr>
              <w:spacing w:line="320" w:lineRule="exact"/>
              <w:jc w:val="center"/>
              <w:rPr>
                <w:color w:val="000000"/>
                <w:sz w:val="21"/>
              </w:rPr>
            </w:pPr>
            <w:r>
              <w:rPr>
                <w:color w:val="000000"/>
                <w:sz w:val="21"/>
              </w:rPr>
              <w:t>工程</w:t>
            </w:r>
          </w:p>
        </w:tc>
        <w:tc>
          <w:tcPr>
            <w:tcW w:w="1099" w:type="pct"/>
            <w:gridSpan w:val="2"/>
            <w:tcBorders>
              <w:tl2br w:val="nil"/>
              <w:tr2bl w:val="nil"/>
            </w:tcBorders>
            <w:vAlign w:val="center"/>
          </w:tcPr>
          <w:p w14:paraId="505B9444">
            <w:pPr>
              <w:spacing w:line="320" w:lineRule="exact"/>
              <w:jc w:val="center"/>
              <w:rPr>
                <w:color w:val="000000"/>
                <w:sz w:val="21"/>
              </w:rPr>
            </w:pPr>
            <w:r>
              <w:rPr>
                <w:color w:val="000000"/>
                <w:sz w:val="21"/>
              </w:rPr>
              <w:t>办公楼</w:t>
            </w:r>
          </w:p>
        </w:tc>
        <w:tc>
          <w:tcPr>
            <w:tcW w:w="3506" w:type="pct"/>
            <w:tcBorders>
              <w:tl2br w:val="nil"/>
              <w:tr2bl w:val="nil"/>
            </w:tcBorders>
            <w:vAlign w:val="center"/>
          </w:tcPr>
          <w:p w14:paraId="7A6B0C5A">
            <w:pPr>
              <w:spacing w:line="320" w:lineRule="exact"/>
              <w:rPr>
                <w:color w:val="000000"/>
                <w:sz w:val="21"/>
              </w:rPr>
            </w:pPr>
            <w:r>
              <w:rPr>
                <w:color w:val="000000"/>
                <w:sz w:val="21"/>
              </w:rPr>
              <w:t>包括仪器分析室、办公室等</w:t>
            </w:r>
          </w:p>
        </w:tc>
      </w:tr>
      <w:tr w14:paraId="6B5EB2D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3" w:type="pct"/>
            <w:vMerge w:val="continue"/>
            <w:tcBorders>
              <w:tl2br w:val="nil"/>
              <w:tr2bl w:val="nil"/>
            </w:tcBorders>
            <w:vAlign w:val="center"/>
          </w:tcPr>
          <w:p w14:paraId="70612624">
            <w:pPr>
              <w:spacing w:line="320" w:lineRule="exact"/>
              <w:jc w:val="center"/>
              <w:rPr>
                <w:color w:val="000000"/>
                <w:sz w:val="21"/>
              </w:rPr>
            </w:pPr>
          </w:p>
        </w:tc>
        <w:tc>
          <w:tcPr>
            <w:tcW w:w="1099" w:type="pct"/>
            <w:gridSpan w:val="2"/>
            <w:tcBorders>
              <w:tl2br w:val="nil"/>
              <w:tr2bl w:val="nil"/>
            </w:tcBorders>
            <w:vAlign w:val="center"/>
          </w:tcPr>
          <w:p w14:paraId="59481B9A">
            <w:pPr>
              <w:spacing w:line="320" w:lineRule="exact"/>
              <w:jc w:val="center"/>
              <w:rPr>
                <w:color w:val="000000"/>
                <w:sz w:val="21"/>
              </w:rPr>
            </w:pPr>
            <w:r>
              <w:rPr>
                <w:color w:val="000000"/>
                <w:sz w:val="21"/>
              </w:rPr>
              <w:t>中央控制室</w:t>
            </w:r>
          </w:p>
        </w:tc>
        <w:tc>
          <w:tcPr>
            <w:tcW w:w="3506" w:type="pct"/>
            <w:tcBorders>
              <w:tl2br w:val="nil"/>
              <w:tr2bl w:val="nil"/>
            </w:tcBorders>
            <w:vAlign w:val="center"/>
          </w:tcPr>
          <w:p w14:paraId="5A2CE6A9">
            <w:pPr>
              <w:spacing w:line="320" w:lineRule="exact"/>
              <w:rPr>
                <w:color w:val="000000"/>
                <w:sz w:val="21"/>
              </w:rPr>
            </w:pPr>
            <w:r>
              <w:rPr>
                <w:color w:val="000000"/>
                <w:sz w:val="21"/>
              </w:rPr>
              <w:t>包括操作室、UPS室、机柜室等</w:t>
            </w:r>
          </w:p>
        </w:tc>
      </w:tr>
      <w:tr w14:paraId="2DDB1CF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3" w:type="pct"/>
            <w:vMerge w:val="continue"/>
            <w:tcBorders>
              <w:tl2br w:val="nil"/>
              <w:tr2bl w:val="nil"/>
            </w:tcBorders>
            <w:vAlign w:val="center"/>
          </w:tcPr>
          <w:p w14:paraId="2CC26B18">
            <w:pPr>
              <w:spacing w:line="320" w:lineRule="exact"/>
              <w:jc w:val="center"/>
              <w:rPr>
                <w:color w:val="000000"/>
                <w:sz w:val="21"/>
              </w:rPr>
            </w:pPr>
          </w:p>
        </w:tc>
        <w:tc>
          <w:tcPr>
            <w:tcW w:w="1099" w:type="pct"/>
            <w:gridSpan w:val="2"/>
            <w:tcBorders>
              <w:tl2br w:val="nil"/>
              <w:tr2bl w:val="nil"/>
            </w:tcBorders>
            <w:vAlign w:val="center"/>
          </w:tcPr>
          <w:p w14:paraId="2D7747BE">
            <w:pPr>
              <w:spacing w:line="320" w:lineRule="exact"/>
              <w:jc w:val="center"/>
              <w:rPr>
                <w:color w:val="000000"/>
                <w:sz w:val="21"/>
              </w:rPr>
            </w:pPr>
            <w:r>
              <w:rPr>
                <w:color w:val="000000"/>
                <w:sz w:val="21"/>
              </w:rPr>
              <w:t>化学品仓库</w:t>
            </w:r>
          </w:p>
        </w:tc>
        <w:tc>
          <w:tcPr>
            <w:tcW w:w="3506" w:type="pct"/>
            <w:tcBorders>
              <w:tl2br w:val="nil"/>
              <w:tr2bl w:val="nil"/>
            </w:tcBorders>
            <w:vAlign w:val="center"/>
          </w:tcPr>
          <w:p w14:paraId="66BEA8B0">
            <w:pPr>
              <w:spacing w:line="320" w:lineRule="exact"/>
              <w:rPr>
                <w:color w:val="000000"/>
                <w:sz w:val="21"/>
              </w:rPr>
            </w:pPr>
            <w:r>
              <w:rPr>
                <w:color w:val="000000"/>
                <w:sz w:val="21"/>
              </w:rPr>
              <w:t>建筑面积为200m</w:t>
            </w:r>
            <w:r>
              <w:rPr>
                <w:color w:val="000000"/>
                <w:sz w:val="21"/>
                <w:vertAlign w:val="superscript"/>
              </w:rPr>
              <w:t>2</w:t>
            </w:r>
          </w:p>
        </w:tc>
      </w:tr>
      <w:tr w14:paraId="754949A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3" w:type="pct"/>
            <w:vMerge w:val="restart"/>
            <w:tcBorders>
              <w:tl2br w:val="nil"/>
              <w:tr2bl w:val="nil"/>
            </w:tcBorders>
            <w:vAlign w:val="center"/>
          </w:tcPr>
          <w:p w14:paraId="59A96264">
            <w:pPr>
              <w:spacing w:line="320" w:lineRule="exact"/>
              <w:jc w:val="center"/>
              <w:rPr>
                <w:color w:val="000000"/>
                <w:sz w:val="21"/>
              </w:rPr>
            </w:pPr>
            <w:r>
              <w:rPr>
                <w:color w:val="000000"/>
                <w:sz w:val="21"/>
              </w:rPr>
              <w:t>公用</w:t>
            </w:r>
          </w:p>
          <w:p w14:paraId="13A5A2E3">
            <w:pPr>
              <w:spacing w:line="320" w:lineRule="exact"/>
              <w:jc w:val="center"/>
              <w:rPr>
                <w:color w:val="000000"/>
                <w:sz w:val="21"/>
              </w:rPr>
            </w:pPr>
            <w:r>
              <w:rPr>
                <w:color w:val="000000"/>
                <w:sz w:val="21"/>
              </w:rPr>
              <w:t>工程</w:t>
            </w:r>
          </w:p>
        </w:tc>
        <w:tc>
          <w:tcPr>
            <w:tcW w:w="1099" w:type="pct"/>
            <w:gridSpan w:val="2"/>
            <w:tcBorders>
              <w:tl2br w:val="nil"/>
              <w:tr2bl w:val="nil"/>
            </w:tcBorders>
            <w:vAlign w:val="center"/>
          </w:tcPr>
          <w:p w14:paraId="205D9BF1">
            <w:pPr>
              <w:spacing w:line="320" w:lineRule="exact"/>
              <w:jc w:val="center"/>
              <w:rPr>
                <w:color w:val="000000"/>
                <w:sz w:val="21"/>
              </w:rPr>
            </w:pPr>
            <w:r>
              <w:rPr>
                <w:color w:val="000000"/>
                <w:sz w:val="21"/>
              </w:rPr>
              <w:t>给、排水工程</w:t>
            </w:r>
          </w:p>
        </w:tc>
        <w:tc>
          <w:tcPr>
            <w:tcW w:w="3506" w:type="pct"/>
            <w:tcBorders>
              <w:tl2br w:val="nil"/>
              <w:tr2bl w:val="nil"/>
            </w:tcBorders>
            <w:vAlign w:val="center"/>
          </w:tcPr>
          <w:p w14:paraId="498D9AAD">
            <w:pPr>
              <w:spacing w:line="320" w:lineRule="exact"/>
              <w:rPr>
                <w:color w:val="000000"/>
                <w:sz w:val="21"/>
              </w:rPr>
            </w:pPr>
            <w:r>
              <w:rPr>
                <w:color w:val="000000"/>
                <w:sz w:val="21"/>
              </w:rPr>
              <w:t>给水由园区供给，排水经处理后排入园区市政管网</w:t>
            </w:r>
          </w:p>
        </w:tc>
      </w:tr>
      <w:tr w14:paraId="00D8D4A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3" w:type="pct"/>
            <w:vMerge w:val="continue"/>
            <w:tcBorders>
              <w:tl2br w:val="nil"/>
              <w:tr2bl w:val="nil"/>
            </w:tcBorders>
            <w:vAlign w:val="center"/>
          </w:tcPr>
          <w:p w14:paraId="6B0A63D5">
            <w:pPr>
              <w:spacing w:line="320" w:lineRule="exact"/>
              <w:jc w:val="center"/>
              <w:rPr>
                <w:color w:val="000000"/>
                <w:sz w:val="21"/>
              </w:rPr>
            </w:pPr>
          </w:p>
        </w:tc>
        <w:tc>
          <w:tcPr>
            <w:tcW w:w="1099" w:type="pct"/>
            <w:gridSpan w:val="2"/>
            <w:tcBorders>
              <w:tl2br w:val="nil"/>
              <w:tr2bl w:val="nil"/>
            </w:tcBorders>
            <w:vAlign w:val="center"/>
          </w:tcPr>
          <w:p w14:paraId="78199D91">
            <w:pPr>
              <w:spacing w:line="320" w:lineRule="exact"/>
              <w:jc w:val="center"/>
              <w:rPr>
                <w:color w:val="000000"/>
                <w:sz w:val="21"/>
              </w:rPr>
            </w:pPr>
            <w:r>
              <w:rPr>
                <w:color w:val="000000"/>
                <w:sz w:val="21"/>
              </w:rPr>
              <w:t>空压站</w:t>
            </w:r>
          </w:p>
        </w:tc>
        <w:tc>
          <w:tcPr>
            <w:tcW w:w="3506" w:type="pct"/>
            <w:tcBorders>
              <w:tl2br w:val="nil"/>
              <w:tr2bl w:val="nil"/>
            </w:tcBorders>
            <w:vAlign w:val="center"/>
          </w:tcPr>
          <w:p w14:paraId="38DE5B17">
            <w:pPr>
              <w:spacing w:line="320" w:lineRule="exact"/>
              <w:rPr>
                <w:color w:val="000000"/>
                <w:sz w:val="21"/>
              </w:rPr>
            </w:pPr>
            <w:r>
              <w:rPr>
                <w:color w:val="000000"/>
                <w:sz w:val="21"/>
              </w:rPr>
              <w:t>3台空气压缩机，2用1备。其中两台压缩机组的进气量均为1500Nm</w:t>
            </w:r>
            <w:r>
              <w:rPr>
                <w:color w:val="000000"/>
                <w:sz w:val="21"/>
                <w:vertAlign w:val="superscript"/>
              </w:rPr>
              <w:t>3</w:t>
            </w:r>
            <w:r>
              <w:rPr>
                <w:color w:val="000000"/>
                <w:sz w:val="21"/>
              </w:rPr>
              <w:t>/h，一台压缩机组的进气量为1100Nm</w:t>
            </w:r>
            <w:r>
              <w:rPr>
                <w:color w:val="000000"/>
                <w:sz w:val="21"/>
                <w:vertAlign w:val="superscript"/>
              </w:rPr>
              <w:t>3</w:t>
            </w:r>
            <w:r>
              <w:rPr>
                <w:color w:val="000000"/>
                <w:sz w:val="21"/>
              </w:rPr>
              <w:t>/h.</w:t>
            </w:r>
          </w:p>
        </w:tc>
      </w:tr>
      <w:tr w14:paraId="62C1854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3" w:type="pct"/>
            <w:vMerge w:val="continue"/>
            <w:tcBorders>
              <w:tl2br w:val="nil"/>
              <w:tr2bl w:val="nil"/>
            </w:tcBorders>
            <w:vAlign w:val="center"/>
          </w:tcPr>
          <w:p w14:paraId="23A3B139">
            <w:pPr>
              <w:spacing w:line="320" w:lineRule="exact"/>
              <w:jc w:val="center"/>
              <w:rPr>
                <w:color w:val="000000"/>
                <w:sz w:val="21"/>
              </w:rPr>
            </w:pPr>
          </w:p>
        </w:tc>
        <w:tc>
          <w:tcPr>
            <w:tcW w:w="1099" w:type="pct"/>
            <w:gridSpan w:val="2"/>
            <w:tcBorders>
              <w:tl2br w:val="nil"/>
              <w:tr2bl w:val="nil"/>
            </w:tcBorders>
            <w:vAlign w:val="center"/>
          </w:tcPr>
          <w:p w14:paraId="325F6A2F">
            <w:pPr>
              <w:spacing w:line="320" w:lineRule="exact"/>
              <w:jc w:val="center"/>
              <w:rPr>
                <w:color w:val="000000"/>
                <w:sz w:val="21"/>
              </w:rPr>
            </w:pPr>
            <w:r>
              <w:rPr>
                <w:color w:val="000000"/>
                <w:sz w:val="21"/>
              </w:rPr>
              <w:t>氮气站</w:t>
            </w:r>
          </w:p>
        </w:tc>
        <w:tc>
          <w:tcPr>
            <w:tcW w:w="3506" w:type="pct"/>
            <w:tcBorders>
              <w:tl2br w:val="nil"/>
              <w:tr2bl w:val="nil"/>
            </w:tcBorders>
            <w:vAlign w:val="center"/>
          </w:tcPr>
          <w:p w14:paraId="1C7DAEF4">
            <w:pPr>
              <w:spacing w:line="320" w:lineRule="exact"/>
              <w:rPr>
                <w:color w:val="000000"/>
                <w:sz w:val="21"/>
              </w:rPr>
            </w:pPr>
            <w:r>
              <w:rPr>
                <w:color w:val="000000"/>
                <w:sz w:val="21"/>
              </w:rPr>
              <w:t>提供仪表或设备吹扫氮气</w:t>
            </w:r>
          </w:p>
        </w:tc>
      </w:tr>
      <w:tr w14:paraId="4B77445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3" w:type="pct"/>
            <w:vMerge w:val="continue"/>
            <w:tcBorders>
              <w:tl2br w:val="nil"/>
              <w:tr2bl w:val="nil"/>
            </w:tcBorders>
            <w:vAlign w:val="center"/>
          </w:tcPr>
          <w:p w14:paraId="0BBC7658">
            <w:pPr>
              <w:spacing w:line="320" w:lineRule="exact"/>
              <w:jc w:val="center"/>
              <w:rPr>
                <w:color w:val="000000"/>
                <w:sz w:val="21"/>
              </w:rPr>
            </w:pPr>
          </w:p>
        </w:tc>
        <w:tc>
          <w:tcPr>
            <w:tcW w:w="1099" w:type="pct"/>
            <w:gridSpan w:val="2"/>
            <w:tcBorders>
              <w:tl2br w:val="nil"/>
              <w:tr2bl w:val="nil"/>
            </w:tcBorders>
            <w:vAlign w:val="center"/>
          </w:tcPr>
          <w:p w14:paraId="1DDB4077">
            <w:pPr>
              <w:spacing w:line="320" w:lineRule="exact"/>
              <w:jc w:val="center"/>
              <w:rPr>
                <w:color w:val="000000"/>
                <w:sz w:val="21"/>
              </w:rPr>
            </w:pPr>
            <w:r>
              <w:rPr>
                <w:color w:val="000000"/>
                <w:sz w:val="21"/>
              </w:rPr>
              <w:t>循环水场</w:t>
            </w:r>
          </w:p>
        </w:tc>
        <w:tc>
          <w:tcPr>
            <w:tcW w:w="3506" w:type="pct"/>
            <w:tcBorders>
              <w:tl2br w:val="nil"/>
              <w:tr2bl w:val="nil"/>
            </w:tcBorders>
            <w:vAlign w:val="center"/>
          </w:tcPr>
          <w:p w14:paraId="30713859">
            <w:pPr>
              <w:spacing w:line="320" w:lineRule="exact"/>
              <w:rPr>
                <w:color w:val="000000"/>
                <w:sz w:val="21"/>
                <w:vertAlign w:val="superscript"/>
              </w:rPr>
            </w:pPr>
            <w:r>
              <w:rPr>
                <w:color w:val="000000"/>
                <w:sz w:val="21"/>
              </w:rPr>
              <w:t>设置2台逆流组合式通风冷却塔，单塔能力为1500m</w:t>
            </w:r>
            <w:r>
              <w:rPr>
                <w:color w:val="000000"/>
                <w:sz w:val="21"/>
                <w:vertAlign w:val="superscript"/>
              </w:rPr>
              <w:t>3</w:t>
            </w:r>
            <w:r>
              <w:rPr>
                <w:color w:val="000000"/>
                <w:sz w:val="21"/>
              </w:rPr>
              <w:t>/h，设循环水给水泵3台，2开1备，单泵Q=1500m</w:t>
            </w:r>
            <w:r>
              <w:rPr>
                <w:color w:val="000000"/>
                <w:sz w:val="21"/>
                <w:vertAlign w:val="superscript"/>
              </w:rPr>
              <w:t>3</w:t>
            </w:r>
            <w:r>
              <w:rPr>
                <w:color w:val="000000"/>
                <w:sz w:val="21"/>
              </w:rPr>
              <w:t>/h，设置吸水池、旁滤装置、消毒及加药装置、监测换热器等配套设施。</w:t>
            </w:r>
          </w:p>
        </w:tc>
      </w:tr>
      <w:tr w14:paraId="2F74AC7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3" w:type="pct"/>
            <w:vMerge w:val="continue"/>
            <w:tcBorders>
              <w:tl2br w:val="nil"/>
              <w:tr2bl w:val="nil"/>
            </w:tcBorders>
            <w:vAlign w:val="center"/>
          </w:tcPr>
          <w:p w14:paraId="735FA150">
            <w:pPr>
              <w:spacing w:line="320" w:lineRule="exact"/>
              <w:jc w:val="center"/>
              <w:rPr>
                <w:color w:val="000000"/>
                <w:sz w:val="21"/>
              </w:rPr>
            </w:pPr>
          </w:p>
        </w:tc>
        <w:tc>
          <w:tcPr>
            <w:tcW w:w="1099" w:type="pct"/>
            <w:gridSpan w:val="2"/>
            <w:tcBorders>
              <w:tl2br w:val="nil"/>
              <w:tr2bl w:val="nil"/>
            </w:tcBorders>
            <w:vAlign w:val="center"/>
          </w:tcPr>
          <w:p w14:paraId="5911D0EC">
            <w:pPr>
              <w:spacing w:line="320" w:lineRule="exact"/>
              <w:jc w:val="center"/>
              <w:rPr>
                <w:color w:val="000000"/>
                <w:sz w:val="21"/>
              </w:rPr>
            </w:pPr>
            <w:r>
              <w:rPr>
                <w:color w:val="000000"/>
                <w:sz w:val="21"/>
              </w:rPr>
              <w:t>供配电</w:t>
            </w:r>
          </w:p>
        </w:tc>
        <w:tc>
          <w:tcPr>
            <w:tcW w:w="3506" w:type="pct"/>
            <w:tcBorders>
              <w:tl2br w:val="nil"/>
              <w:tr2bl w:val="nil"/>
            </w:tcBorders>
            <w:vAlign w:val="center"/>
          </w:tcPr>
          <w:p w14:paraId="7FA47E9E">
            <w:pPr>
              <w:spacing w:line="320" w:lineRule="exact"/>
              <w:rPr>
                <w:color w:val="000000"/>
                <w:sz w:val="21"/>
              </w:rPr>
            </w:pPr>
            <w:r>
              <w:rPr>
                <w:color w:val="000000"/>
                <w:sz w:val="21"/>
              </w:rPr>
              <w:t>全厂总用电负荷约为11410.5kW，新建一个变电所，设置2台35/10kV容量8000kVA 配电变压器，建筑面积1500m</w:t>
            </w:r>
            <w:r>
              <w:rPr>
                <w:color w:val="000000"/>
                <w:sz w:val="21"/>
                <w:vertAlign w:val="superscript"/>
              </w:rPr>
              <w:t>2</w:t>
            </w:r>
          </w:p>
        </w:tc>
      </w:tr>
      <w:tr w14:paraId="60D8584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3" w:type="pct"/>
            <w:vMerge w:val="continue"/>
            <w:tcBorders>
              <w:tl2br w:val="nil"/>
              <w:tr2bl w:val="nil"/>
            </w:tcBorders>
            <w:vAlign w:val="center"/>
          </w:tcPr>
          <w:p w14:paraId="616ACFC4">
            <w:pPr>
              <w:spacing w:line="320" w:lineRule="exact"/>
              <w:jc w:val="center"/>
              <w:rPr>
                <w:color w:val="000000"/>
                <w:sz w:val="21"/>
              </w:rPr>
            </w:pPr>
          </w:p>
        </w:tc>
        <w:tc>
          <w:tcPr>
            <w:tcW w:w="1099" w:type="pct"/>
            <w:gridSpan w:val="2"/>
            <w:tcBorders>
              <w:tl2br w:val="nil"/>
              <w:tr2bl w:val="nil"/>
            </w:tcBorders>
            <w:vAlign w:val="center"/>
          </w:tcPr>
          <w:p w14:paraId="6DBADE28">
            <w:pPr>
              <w:spacing w:line="320" w:lineRule="exact"/>
              <w:jc w:val="center"/>
              <w:rPr>
                <w:color w:val="000000"/>
                <w:sz w:val="21"/>
              </w:rPr>
            </w:pPr>
            <w:r>
              <w:rPr>
                <w:color w:val="000000"/>
                <w:sz w:val="21"/>
              </w:rPr>
              <w:t>消防</w:t>
            </w:r>
          </w:p>
        </w:tc>
        <w:tc>
          <w:tcPr>
            <w:tcW w:w="3506" w:type="pct"/>
            <w:tcBorders>
              <w:tl2br w:val="nil"/>
              <w:tr2bl w:val="nil"/>
            </w:tcBorders>
            <w:vAlign w:val="center"/>
          </w:tcPr>
          <w:p w14:paraId="43081914">
            <w:pPr>
              <w:spacing w:line="320" w:lineRule="exact"/>
              <w:rPr>
                <w:color w:val="000000"/>
                <w:sz w:val="21"/>
              </w:rPr>
            </w:pPr>
            <w:r>
              <w:rPr>
                <w:color w:val="000000"/>
                <w:sz w:val="21"/>
              </w:rPr>
              <w:t>DN150消防水管网、室外消火栓、水炮、高倍数泡沫灭火系统、干粉灭火系统、火灾自动报警系统、可燃检测报警系统、稳高压消防给水系统、新建消防水站，设置防水储罐2座，单罐容积为3000m</w:t>
            </w:r>
            <w:r>
              <w:rPr>
                <w:color w:val="000000"/>
                <w:sz w:val="21"/>
                <w:vertAlign w:val="superscript"/>
              </w:rPr>
              <w:t>3</w:t>
            </w:r>
            <w:r>
              <w:rPr>
                <w:color w:val="000000"/>
                <w:sz w:val="21"/>
              </w:rPr>
              <w:t>，消防水罐总容积为6000m</w:t>
            </w:r>
            <w:r>
              <w:rPr>
                <w:color w:val="000000"/>
                <w:sz w:val="21"/>
                <w:vertAlign w:val="superscript"/>
              </w:rPr>
              <w:t>3</w:t>
            </w:r>
            <w:r>
              <w:rPr>
                <w:color w:val="000000"/>
                <w:sz w:val="21"/>
              </w:rPr>
              <w:t>，同时设有消防水泵和稳压泵，日常保持稳高压消防管网压力0.7~1.2MPa。</w:t>
            </w:r>
          </w:p>
        </w:tc>
      </w:tr>
      <w:tr w14:paraId="25B2DD9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3" w:type="pct"/>
            <w:vMerge w:val="continue"/>
            <w:tcBorders>
              <w:tl2br w:val="nil"/>
              <w:tr2bl w:val="nil"/>
            </w:tcBorders>
            <w:vAlign w:val="center"/>
          </w:tcPr>
          <w:p w14:paraId="757DCA9A">
            <w:pPr>
              <w:spacing w:line="320" w:lineRule="exact"/>
              <w:jc w:val="center"/>
              <w:rPr>
                <w:color w:val="000000"/>
                <w:sz w:val="21"/>
              </w:rPr>
            </w:pPr>
          </w:p>
        </w:tc>
        <w:tc>
          <w:tcPr>
            <w:tcW w:w="1099" w:type="pct"/>
            <w:gridSpan w:val="2"/>
            <w:tcBorders>
              <w:tl2br w:val="nil"/>
              <w:tr2bl w:val="nil"/>
            </w:tcBorders>
            <w:vAlign w:val="center"/>
          </w:tcPr>
          <w:p w14:paraId="065911F3">
            <w:pPr>
              <w:spacing w:line="320" w:lineRule="exact"/>
              <w:jc w:val="center"/>
              <w:rPr>
                <w:color w:val="000000"/>
                <w:sz w:val="21"/>
              </w:rPr>
            </w:pPr>
            <w:r>
              <w:rPr>
                <w:color w:val="000000"/>
                <w:sz w:val="21"/>
              </w:rPr>
              <w:t>供热</w:t>
            </w:r>
          </w:p>
        </w:tc>
        <w:tc>
          <w:tcPr>
            <w:tcW w:w="3506" w:type="pct"/>
            <w:tcBorders>
              <w:tl2br w:val="nil"/>
              <w:tr2bl w:val="nil"/>
            </w:tcBorders>
            <w:vAlign w:val="center"/>
          </w:tcPr>
          <w:p w14:paraId="15B160C2">
            <w:pPr>
              <w:spacing w:line="320" w:lineRule="exact"/>
              <w:rPr>
                <w:color w:val="000000"/>
                <w:sz w:val="21"/>
              </w:rPr>
            </w:pPr>
            <w:r>
              <w:rPr>
                <w:color w:val="000000"/>
                <w:sz w:val="21"/>
              </w:rPr>
              <w:t>项目用热主要为生产用热。工艺装置用热负荷主要为再生用热，作为MDEA（N-甲基二乙醇胺）再生和分子筛再生，生产用热负荷1740KW，采用燃气导热油炉供热。燃料气主要为进站天然气、闪蒸气和凝液赋热后气体，配置燃气分离器和过滤器各一套，分离过滤稳压后供导热油炉使用。</w:t>
            </w:r>
          </w:p>
        </w:tc>
      </w:tr>
      <w:tr w14:paraId="46EFE2E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3" w:type="pct"/>
            <w:vMerge w:val="restart"/>
            <w:tcBorders>
              <w:tl2br w:val="nil"/>
              <w:tr2bl w:val="nil"/>
            </w:tcBorders>
            <w:vAlign w:val="center"/>
          </w:tcPr>
          <w:p w14:paraId="2983785B">
            <w:pPr>
              <w:spacing w:line="320" w:lineRule="exact"/>
              <w:jc w:val="center"/>
              <w:rPr>
                <w:color w:val="000000"/>
                <w:sz w:val="21"/>
              </w:rPr>
            </w:pPr>
            <w:r>
              <w:rPr>
                <w:color w:val="000000"/>
                <w:sz w:val="21"/>
              </w:rPr>
              <w:t>环保</w:t>
            </w:r>
          </w:p>
          <w:p w14:paraId="6289D06E">
            <w:pPr>
              <w:spacing w:line="320" w:lineRule="exact"/>
              <w:jc w:val="center"/>
              <w:rPr>
                <w:color w:val="000000"/>
                <w:sz w:val="21"/>
              </w:rPr>
            </w:pPr>
            <w:r>
              <w:rPr>
                <w:color w:val="000000"/>
                <w:sz w:val="21"/>
              </w:rPr>
              <w:t>工程</w:t>
            </w:r>
          </w:p>
        </w:tc>
        <w:tc>
          <w:tcPr>
            <w:tcW w:w="1099" w:type="pct"/>
            <w:gridSpan w:val="2"/>
            <w:tcBorders>
              <w:tl2br w:val="nil"/>
              <w:tr2bl w:val="nil"/>
            </w:tcBorders>
            <w:vAlign w:val="center"/>
          </w:tcPr>
          <w:p w14:paraId="20C909C9">
            <w:pPr>
              <w:spacing w:line="320" w:lineRule="exact"/>
              <w:jc w:val="center"/>
              <w:rPr>
                <w:color w:val="000000"/>
                <w:sz w:val="21"/>
              </w:rPr>
            </w:pPr>
            <w:r>
              <w:rPr>
                <w:color w:val="000000"/>
                <w:sz w:val="21"/>
              </w:rPr>
              <w:t>污水处理</w:t>
            </w:r>
          </w:p>
        </w:tc>
        <w:tc>
          <w:tcPr>
            <w:tcW w:w="3506" w:type="pct"/>
            <w:tcBorders>
              <w:tl2br w:val="nil"/>
              <w:tr2bl w:val="nil"/>
            </w:tcBorders>
            <w:vAlign w:val="center"/>
          </w:tcPr>
          <w:p w14:paraId="5C035F6A">
            <w:pPr>
              <w:spacing w:line="320" w:lineRule="exact"/>
              <w:rPr>
                <w:color w:val="000000"/>
                <w:sz w:val="21"/>
              </w:rPr>
            </w:pPr>
            <w:r>
              <w:rPr>
                <w:color w:val="000000"/>
                <w:sz w:val="21"/>
              </w:rPr>
              <w:t>生产废水主要来自工艺装置、地面冲洗水等，经重力由生产废水管道排入生产废水池（设计处理规模2.2m</w:t>
            </w:r>
            <w:r>
              <w:rPr>
                <w:color w:val="000000"/>
                <w:sz w:val="21"/>
                <w:vertAlign w:val="superscript"/>
              </w:rPr>
              <w:t>3</w:t>
            </w:r>
            <w:r>
              <w:rPr>
                <w:color w:val="000000"/>
                <w:sz w:val="21"/>
              </w:rPr>
              <w:t>/h），再由泵提升，在项目界区内与生活污水管道合并后输送至园区潘家坝污水处理厂统一处理。生活污水经化粪池(2个，总设计处理规模18m</w:t>
            </w:r>
            <w:r>
              <w:rPr>
                <w:color w:val="000000"/>
                <w:sz w:val="21"/>
                <w:vertAlign w:val="superscript"/>
              </w:rPr>
              <w:t>3</w:t>
            </w:r>
            <w:r>
              <w:rPr>
                <w:color w:val="000000"/>
                <w:sz w:val="21"/>
              </w:rPr>
              <w:t>/d)处理后进入生活污水提升池，经泵提升后与收集的生产废水管道汇合后统一输送至园区潘家坝污水处理厂处理。</w:t>
            </w:r>
          </w:p>
        </w:tc>
      </w:tr>
      <w:tr w14:paraId="6E52FE2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3" w:type="pct"/>
            <w:vMerge w:val="continue"/>
            <w:tcBorders>
              <w:tl2br w:val="nil"/>
              <w:tr2bl w:val="nil"/>
            </w:tcBorders>
            <w:vAlign w:val="center"/>
          </w:tcPr>
          <w:p w14:paraId="0911F560">
            <w:pPr>
              <w:spacing w:line="320" w:lineRule="exact"/>
              <w:jc w:val="center"/>
              <w:rPr>
                <w:color w:val="000000"/>
                <w:sz w:val="21"/>
              </w:rPr>
            </w:pPr>
          </w:p>
        </w:tc>
        <w:tc>
          <w:tcPr>
            <w:tcW w:w="1099" w:type="pct"/>
            <w:gridSpan w:val="2"/>
            <w:tcBorders>
              <w:tl2br w:val="nil"/>
              <w:tr2bl w:val="nil"/>
            </w:tcBorders>
            <w:vAlign w:val="center"/>
          </w:tcPr>
          <w:p w14:paraId="2DAF5D2C">
            <w:pPr>
              <w:spacing w:line="320" w:lineRule="exact"/>
              <w:jc w:val="center"/>
              <w:rPr>
                <w:color w:val="000000"/>
                <w:sz w:val="21"/>
              </w:rPr>
            </w:pPr>
            <w:r>
              <w:rPr>
                <w:color w:val="000000"/>
                <w:sz w:val="21"/>
              </w:rPr>
              <w:t>废气处理</w:t>
            </w:r>
          </w:p>
        </w:tc>
        <w:tc>
          <w:tcPr>
            <w:tcW w:w="3506" w:type="pct"/>
            <w:tcBorders>
              <w:tl2br w:val="nil"/>
              <w:tr2bl w:val="nil"/>
            </w:tcBorders>
            <w:vAlign w:val="center"/>
          </w:tcPr>
          <w:p w14:paraId="0A028D01">
            <w:pPr>
              <w:spacing w:line="240" w:lineRule="auto"/>
              <w:rPr>
                <w:color w:val="000000"/>
                <w:sz w:val="21"/>
              </w:rPr>
            </w:pPr>
            <w:r>
              <w:rPr>
                <w:color w:val="000000"/>
                <w:sz w:val="21"/>
              </w:rPr>
              <w:t>胺汽提塔废气主通过硫化物吸附床吸附H</w:t>
            </w:r>
            <w:r>
              <w:rPr>
                <w:color w:val="000000"/>
                <w:sz w:val="21"/>
                <w:vertAlign w:val="subscript"/>
              </w:rPr>
              <w:t>2</w:t>
            </w:r>
            <w:r>
              <w:rPr>
                <w:color w:val="000000"/>
                <w:sz w:val="21"/>
              </w:rPr>
              <w:t>S后由15m高的烟囱直接排放；导热油炉废气通过高25m的烟囱排放；胺闪蒸罐废气、LNG储罐闪蒸汽、各冷剂储罐闪蒸汽引至80m高架火炬燃烧。</w:t>
            </w:r>
          </w:p>
        </w:tc>
      </w:tr>
      <w:tr w14:paraId="38DAF2B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93" w:type="pct"/>
            <w:vMerge w:val="continue"/>
            <w:tcBorders>
              <w:tl2br w:val="nil"/>
              <w:tr2bl w:val="nil"/>
            </w:tcBorders>
            <w:vAlign w:val="center"/>
          </w:tcPr>
          <w:p w14:paraId="148EADEC">
            <w:pPr>
              <w:spacing w:line="320" w:lineRule="exact"/>
              <w:jc w:val="center"/>
              <w:rPr>
                <w:color w:val="000000"/>
                <w:sz w:val="21"/>
              </w:rPr>
            </w:pPr>
          </w:p>
        </w:tc>
        <w:tc>
          <w:tcPr>
            <w:tcW w:w="363" w:type="pct"/>
            <w:vMerge w:val="restart"/>
            <w:tcBorders>
              <w:tl2br w:val="nil"/>
              <w:tr2bl w:val="nil"/>
            </w:tcBorders>
            <w:vAlign w:val="center"/>
          </w:tcPr>
          <w:p w14:paraId="51105DE0">
            <w:pPr>
              <w:spacing w:line="320" w:lineRule="exact"/>
              <w:jc w:val="center"/>
              <w:rPr>
                <w:color w:val="000000"/>
                <w:sz w:val="21"/>
              </w:rPr>
            </w:pPr>
            <w:r>
              <w:rPr>
                <w:color w:val="000000"/>
                <w:sz w:val="21"/>
              </w:rPr>
              <w:t>固废</w:t>
            </w:r>
          </w:p>
        </w:tc>
        <w:tc>
          <w:tcPr>
            <w:tcW w:w="736" w:type="pct"/>
            <w:tcBorders>
              <w:tl2br w:val="nil"/>
              <w:tr2bl w:val="nil"/>
            </w:tcBorders>
            <w:vAlign w:val="center"/>
          </w:tcPr>
          <w:p w14:paraId="385F580D">
            <w:pPr>
              <w:spacing w:line="320" w:lineRule="exact"/>
              <w:jc w:val="center"/>
              <w:rPr>
                <w:color w:val="000000"/>
                <w:sz w:val="21"/>
              </w:rPr>
            </w:pPr>
            <w:r>
              <w:rPr>
                <w:color w:val="000000"/>
                <w:sz w:val="21"/>
              </w:rPr>
              <w:t>危废暂存间</w:t>
            </w:r>
          </w:p>
        </w:tc>
        <w:tc>
          <w:tcPr>
            <w:tcW w:w="3506" w:type="pct"/>
            <w:tcBorders>
              <w:tl2br w:val="nil"/>
              <w:tr2bl w:val="nil"/>
            </w:tcBorders>
            <w:vAlign w:val="center"/>
          </w:tcPr>
          <w:p w14:paraId="68406310">
            <w:pPr>
              <w:spacing w:line="320" w:lineRule="exact"/>
              <w:rPr>
                <w:color w:val="000000"/>
                <w:sz w:val="21"/>
              </w:rPr>
            </w:pPr>
            <w:r>
              <w:rPr>
                <w:color w:val="000000"/>
                <w:sz w:val="21"/>
              </w:rPr>
              <w:t>1个，建筑面积53.76m</w:t>
            </w:r>
            <w:r>
              <w:rPr>
                <w:color w:val="000000"/>
                <w:sz w:val="21"/>
                <w:vertAlign w:val="superscript"/>
              </w:rPr>
              <w:t>2</w:t>
            </w:r>
            <w:r>
              <w:rPr>
                <w:color w:val="000000"/>
                <w:sz w:val="21"/>
              </w:rPr>
              <w:t>，采取了“四防”措施</w:t>
            </w:r>
          </w:p>
        </w:tc>
      </w:tr>
      <w:tr w14:paraId="31E0D8E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93" w:type="pct"/>
            <w:vMerge w:val="continue"/>
            <w:tcBorders>
              <w:tl2br w:val="nil"/>
              <w:tr2bl w:val="nil"/>
            </w:tcBorders>
            <w:vAlign w:val="center"/>
          </w:tcPr>
          <w:p w14:paraId="48D81D75">
            <w:pPr>
              <w:spacing w:line="320" w:lineRule="exact"/>
              <w:jc w:val="center"/>
              <w:rPr>
                <w:color w:val="000000"/>
                <w:sz w:val="21"/>
              </w:rPr>
            </w:pPr>
          </w:p>
        </w:tc>
        <w:tc>
          <w:tcPr>
            <w:tcW w:w="363" w:type="pct"/>
            <w:vMerge w:val="continue"/>
            <w:tcBorders>
              <w:tl2br w:val="nil"/>
              <w:tr2bl w:val="nil"/>
            </w:tcBorders>
            <w:vAlign w:val="center"/>
          </w:tcPr>
          <w:p w14:paraId="7099F59B">
            <w:pPr>
              <w:spacing w:line="320" w:lineRule="exact"/>
              <w:jc w:val="center"/>
              <w:rPr>
                <w:color w:val="000000"/>
                <w:sz w:val="21"/>
              </w:rPr>
            </w:pPr>
          </w:p>
        </w:tc>
        <w:tc>
          <w:tcPr>
            <w:tcW w:w="736" w:type="pct"/>
            <w:tcBorders>
              <w:tl2br w:val="nil"/>
              <w:tr2bl w:val="nil"/>
            </w:tcBorders>
            <w:vAlign w:val="center"/>
          </w:tcPr>
          <w:p w14:paraId="1918C39E">
            <w:pPr>
              <w:spacing w:line="320" w:lineRule="exact"/>
              <w:jc w:val="center"/>
              <w:rPr>
                <w:color w:val="000000"/>
                <w:sz w:val="21"/>
              </w:rPr>
            </w:pPr>
            <w:r>
              <w:rPr>
                <w:color w:val="000000"/>
                <w:sz w:val="21"/>
              </w:rPr>
              <w:t>一般固废暂存间</w:t>
            </w:r>
          </w:p>
        </w:tc>
        <w:tc>
          <w:tcPr>
            <w:tcW w:w="3506" w:type="pct"/>
            <w:tcBorders>
              <w:tl2br w:val="nil"/>
              <w:tr2bl w:val="nil"/>
            </w:tcBorders>
            <w:vAlign w:val="center"/>
          </w:tcPr>
          <w:p w14:paraId="1729D1C0">
            <w:pPr>
              <w:spacing w:line="320" w:lineRule="exact"/>
              <w:rPr>
                <w:color w:val="000000"/>
                <w:sz w:val="21"/>
              </w:rPr>
            </w:pPr>
            <w:r>
              <w:rPr>
                <w:color w:val="000000"/>
                <w:sz w:val="21"/>
              </w:rPr>
              <w:t>1个，建筑面积9m</w:t>
            </w:r>
            <w:r>
              <w:rPr>
                <w:color w:val="000000"/>
                <w:sz w:val="21"/>
                <w:vertAlign w:val="superscript"/>
              </w:rPr>
              <w:t>2</w:t>
            </w:r>
            <w:r>
              <w:rPr>
                <w:color w:val="000000"/>
                <w:sz w:val="21"/>
              </w:rPr>
              <w:t>，采取了“防渗漏、防雨淋、防扬尘”措施</w:t>
            </w:r>
          </w:p>
        </w:tc>
      </w:tr>
      <w:tr w14:paraId="64DA713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3" w:type="pct"/>
            <w:vMerge w:val="continue"/>
            <w:tcBorders>
              <w:tl2br w:val="nil"/>
              <w:tr2bl w:val="nil"/>
            </w:tcBorders>
            <w:vAlign w:val="center"/>
          </w:tcPr>
          <w:p w14:paraId="713D062A">
            <w:pPr>
              <w:spacing w:line="320" w:lineRule="exact"/>
              <w:jc w:val="center"/>
              <w:rPr>
                <w:color w:val="000000"/>
                <w:sz w:val="21"/>
              </w:rPr>
            </w:pPr>
          </w:p>
        </w:tc>
        <w:tc>
          <w:tcPr>
            <w:tcW w:w="363" w:type="pct"/>
            <w:vMerge w:val="restart"/>
            <w:tcBorders>
              <w:tl2br w:val="nil"/>
              <w:tr2bl w:val="nil"/>
            </w:tcBorders>
            <w:vAlign w:val="center"/>
          </w:tcPr>
          <w:p w14:paraId="362F7C03">
            <w:pPr>
              <w:spacing w:line="320" w:lineRule="exact"/>
              <w:jc w:val="center"/>
              <w:rPr>
                <w:color w:val="000000"/>
                <w:sz w:val="21"/>
              </w:rPr>
            </w:pPr>
            <w:r>
              <w:rPr>
                <w:color w:val="000000"/>
                <w:sz w:val="21"/>
              </w:rPr>
              <w:t>环境风险</w:t>
            </w:r>
          </w:p>
        </w:tc>
        <w:tc>
          <w:tcPr>
            <w:tcW w:w="736" w:type="pct"/>
            <w:tcBorders>
              <w:tl2br w:val="nil"/>
              <w:tr2bl w:val="nil"/>
            </w:tcBorders>
            <w:vAlign w:val="center"/>
          </w:tcPr>
          <w:p w14:paraId="421C7949">
            <w:pPr>
              <w:spacing w:line="320" w:lineRule="exact"/>
              <w:jc w:val="center"/>
              <w:rPr>
                <w:color w:val="000000"/>
                <w:sz w:val="21"/>
              </w:rPr>
            </w:pPr>
            <w:r>
              <w:rPr>
                <w:color w:val="000000"/>
                <w:sz w:val="21"/>
              </w:rPr>
              <w:t>事故池</w:t>
            </w:r>
          </w:p>
        </w:tc>
        <w:tc>
          <w:tcPr>
            <w:tcW w:w="3506" w:type="pct"/>
            <w:tcBorders>
              <w:tl2br w:val="nil"/>
              <w:tr2bl w:val="nil"/>
            </w:tcBorders>
            <w:vAlign w:val="center"/>
          </w:tcPr>
          <w:p w14:paraId="40070480">
            <w:pPr>
              <w:spacing w:line="320" w:lineRule="exact"/>
              <w:rPr>
                <w:color w:val="000000"/>
                <w:sz w:val="21"/>
              </w:rPr>
            </w:pPr>
            <w:r>
              <w:rPr>
                <w:color w:val="000000"/>
                <w:sz w:val="21"/>
              </w:rPr>
              <w:t>1个，容积为1000m</w:t>
            </w:r>
            <w:r>
              <w:rPr>
                <w:color w:val="000000"/>
                <w:sz w:val="21"/>
                <w:vertAlign w:val="superscript"/>
              </w:rPr>
              <w:t>3</w:t>
            </w:r>
            <w:r>
              <w:rPr>
                <w:color w:val="000000"/>
                <w:sz w:val="21"/>
              </w:rPr>
              <w:t>，防渗处理</w:t>
            </w:r>
          </w:p>
        </w:tc>
      </w:tr>
      <w:tr w14:paraId="34146A2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3" w:type="pct"/>
            <w:vMerge w:val="continue"/>
            <w:tcBorders>
              <w:tl2br w:val="nil"/>
              <w:tr2bl w:val="nil"/>
            </w:tcBorders>
            <w:vAlign w:val="center"/>
          </w:tcPr>
          <w:p w14:paraId="1CD92138">
            <w:pPr>
              <w:spacing w:line="320" w:lineRule="exact"/>
              <w:jc w:val="center"/>
              <w:rPr>
                <w:color w:val="000000"/>
                <w:sz w:val="21"/>
              </w:rPr>
            </w:pPr>
          </w:p>
        </w:tc>
        <w:tc>
          <w:tcPr>
            <w:tcW w:w="363" w:type="pct"/>
            <w:vMerge w:val="continue"/>
            <w:tcBorders>
              <w:tl2br w:val="nil"/>
              <w:tr2bl w:val="nil"/>
            </w:tcBorders>
            <w:vAlign w:val="center"/>
          </w:tcPr>
          <w:p w14:paraId="5FBBA4DB">
            <w:pPr>
              <w:spacing w:line="320" w:lineRule="exact"/>
              <w:jc w:val="center"/>
              <w:rPr>
                <w:color w:val="000000"/>
                <w:sz w:val="21"/>
              </w:rPr>
            </w:pPr>
          </w:p>
        </w:tc>
        <w:tc>
          <w:tcPr>
            <w:tcW w:w="736" w:type="pct"/>
            <w:tcBorders>
              <w:tl2br w:val="nil"/>
              <w:tr2bl w:val="nil"/>
            </w:tcBorders>
            <w:vAlign w:val="center"/>
          </w:tcPr>
          <w:p w14:paraId="1E8F13F0">
            <w:pPr>
              <w:spacing w:line="320" w:lineRule="exact"/>
              <w:jc w:val="center"/>
              <w:rPr>
                <w:color w:val="000000"/>
                <w:sz w:val="21"/>
              </w:rPr>
            </w:pPr>
            <w:r>
              <w:rPr>
                <w:color w:val="000000"/>
                <w:sz w:val="21"/>
              </w:rPr>
              <w:t>LNG罐</w:t>
            </w:r>
          </w:p>
          <w:p w14:paraId="2346A982">
            <w:pPr>
              <w:spacing w:line="320" w:lineRule="exact"/>
              <w:jc w:val="center"/>
              <w:rPr>
                <w:color w:val="000000"/>
                <w:sz w:val="21"/>
              </w:rPr>
            </w:pPr>
            <w:r>
              <w:rPr>
                <w:color w:val="000000"/>
                <w:sz w:val="21"/>
              </w:rPr>
              <w:t>防火堤</w:t>
            </w:r>
          </w:p>
        </w:tc>
        <w:tc>
          <w:tcPr>
            <w:tcW w:w="3506" w:type="pct"/>
            <w:tcBorders>
              <w:tl2br w:val="nil"/>
              <w:tr2bl w:val="nil"/>
            </w:tcBorders>
            <w:vAlign w:val="center"/>
          </w:tcPr>
          <w:p w14:paraId="01E94912">
            <w:pPr>
              <w:spacing w:line="320" w:lineRule="exact"/>
              <w:rPr>
                <w:color w:val="000000"/>
                <w:sz w:val="21"/>
                <w:vertAlign w:val="superscript"/>
              </w:rPr>
            </w:pPr>
            <w:r>
              <w:rPr>
                <w:color w:val="000000"/>
                <w:sz w:val="21"/>
              </w:rPr>
              <w:t>有效容积22400m</w:t>
            </w:r>
            <w:r>
              <w:rPr>
                <w:color w:val="000000"/>
                <w:sz w:val="21"/>
                <w:vertAlign w:val="superscript"/>
              </w:rPr>
              <w:t>3</w:t>
            </w:r>
            <w:r>
              <w:rPr>
                <w:color w:val="000000"/>
                <w:sz w:val="21"/>
              </w:rPr>
              <w:t>，防渗处理</w:t>
            </w:r>
          </w:p>
        </w:tc>
      </w:tr>
      <w:tr w14:paraId="2BD9AD1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393" w:type="pct"/>
            <w:vMerge w:val="restart"/>
            <w:tcBorders>
              <w:tl2br w:val="nil"/>
              <w:tr2bl w:val="nil"/>
            </w:tcBorders>
            <w:vAlign w:val="center"/>
          </w:tcPr>
          <w:p w14:paraId="2BD6A2A6">
            <w:pPr>
              <w:spacing w:line="320" w:lineRule="exact"/>
              <w:jc w:val="center"/>
              <w:rPr>
                <w:color w:val="000000"/>
                <w:sz w:val="21"/>
              </w:rPr>
            </w:pPr>
            <w:r>
              <w:rPr>
                <w:color w:val="000000"/>
                <w:sz w:val="21"/>
              </w:rPr>
              <w:t>储运工程</w:t>
            </w:r>
          </w:p>
        </w:tc>
        <w:tc>
          <w:tcPr>
            <w:tcW w:w="1099" w:type="pct"/>
            <w:gridSpan w:val="2"/>
            <w:tcBorders>
              <w:tl2br w:val="nil"/>
              <w:tr2bl w:val="nil"/>
            </w:tcBorders>
            <w:vAlign w:val="center"/>
          </w:tcPr>
          <w:p w14:paraId="391A2B7B">
            <w:pPr>
              <w:spacing w:line="320" w:lineRule="exact"/>
              <w:jc w:val="center"/>
              <w:rPr>
                <w:color w:val="000000"/>
                <w:sz w:val="21"/>
              </w:rPr>
            </w:pPr>
            <w:r>
              <w:rPr>
                <w:color w:val="000000"/>
                <w:sz w:val="21"/>
              </w:rPr>
              <w:t>储罐区</w:t>
            </w:r>
          </w:p>
        </w:tc>
        <w:tc>
          <w:tcPr>
            <w:tcW w:w="3506" w:type="pct"/>
            <w:tcBorders>
              <w:tl2br w:val="nil"/>
              <w:tr2bl w:val="nil"/>
            </w:tcBorders>
            <w:vAlign w:val="center"/>
          </w:tcPr>
          <w:p w14:paraId="11D2DFAF">
            <w:pPr>
              <w:spacing w:line="320" w:lineRule="exact"/>
              <w:rPr>
                <w:color w:val="000000"/>
                <w:sz w:val="21"/>
              </w:rPr>
            </w:pPr>
            <w:r>
              <w:rPr>
                <w:color w:val="000000"/>
                <w:sz w:val="21"/>
              </w:rPr>
              <w:t>常压低温LNG储罐1个，潜液泵2台（1开1备），BOG压缩机1台。</w:t>
            </w:r>
          </w:p>
        </w:tc>
      </w:tr>
      <w:tr w14:paraId="3881C9C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3" w:type="pct"/>
            <w:vMerge w:val="continue"/>
            <w:tcBorders>
              <w:tl2br w:val="nil"/>
              <w:tr2bl w:val="nil"/>
            </w:tcBorders>
            <w:vAlign w:val="center"/>
          </w:tcPr>
          <w:p w14:paraId="7E7856E7">
            <w:pPr>
              <w:spacing w:line="320" w:lineRule="exact"/>
              <w:jc w:val="center"/>
              <w:rPr>
                <w:color w:val="000000"/>
                <w:sz w:val="21"/>
              </w:rPr>
            </w:pPr>
          </w:p>
        </w:tc>
        <w:tc>
          <w:tcPr>
            <w:tcW w:w="1099" w:type="pct"/>
            <w:gridSpan w:val="2"/>
            <w:tcBorders>
              <w:tl2br w:val="nil"/>
              <w:tr2bl w:val="nil"/>
            </w:tcBorders>
            <w:vAlign w:val="center"/>
          </w:tcPr>
          <w:p w14:paraId="7DA970A2">
            <w:pPr>
              <w:spacing w:line="320" w:lineRule="exact"/>
              <w:jc w:val="center"/>
              <w:rPr>
                <w:color w:val="000000"/>
                <w:sz w:val="21"/>
              </w:rPr>
            </w:pPr>
            <w:r>
              <w:rPr>
                <w:color w:val="000000"/>
                <w:sz w:val="21"/>
              </w:rPr>
              <w:t>装卸站</w:t>
            </w:r>
          </w:p>
        </w:tc>
        <w:tc>
          <w:tcPr>
            <w:tcW w:w="3506" w:type="pct"/>
            <w:tcBorders>
              <w:tl2br w:val="nil"/>
              <w:tr2bl w:val="nil"/>
            </w:tcBorders>
            <w:vAlign w:val="center"/>
          </w:tcPr>
          <w:p w14:paraId="64B4DE4B">
            <w:pPr>
              <w:spacing w:line="320" w:lineRule="exact"/>
              <w:rPr>
                <w:color w:val="000000"/>
                <w:sz w:val="21"/>
              </w:rPr>
            </w:pPr>
            <w:r>
              <w:rPr>
                <w:color w:val="000000"/>
                <w:sz w:val="21"/>
              </w:rPr>
              <w:t>设置6个装/卸车鹤位，其中4个用于LNG装车，2个用于冷剂卸车。</w:t>
            </w:r>
          </w:p>
        </w:tc>
      </w:tr>
    </w:tbl>
    <w:p w14:paraId="11D05856">
      <w:pPr>
        <w:pStyle w:val="771"/>
        <w:rPr>
          <w:b/>
          <w:bCs w:val="0"/>
          <w:color w:val="000000"/>
        </w:rPr>
      </w:pPr>
      <w:r>
        <w:rPr>
          <w:b/>
          <w:bCs w:val="0"/>
          <w:color w:val="000000"/>
        </w:rPr>
        <w:t>2.2.4公用工程</w:t>
      </w:r>
    </w:p>
    <w:p w14:paraId="4974B08B">
      <w:pPr>
        <w:rPr>
          <w:b/>
          <w:bCs/>
          <w:color w:val="000000"/>
          <w:szCs w:val="24"/>
        </w:rPr>
      </w:pPr>
      <w:r>
        <w:rPr>
          <w:b/>
          <w:bCs/>
          <w:color w:val="000000"/>
          <w:szCs w:val="24"/>
        </w:rPr>
        <w:t>1、给排水</w:t>
      </w:r>
    </w:p>
    <w:p w14:paraId="6C1D5AF6">
      <w:pPr>
        <w:ind w:firstLine="480"/>
        <w:rPr>
          <w:color w:val="000000"/>
          <w:szCs w:val="24"/>
        </w:rPr>
      </w:pPr>
      <w:r>
        <w:rPr>
          <w:color w:val="000000"/>
          <w:szCs w:val="24"/>
        </w:rPr>
        <w:t>（1）给水</w:t>
      </w:r>
    </w:p>
    <w:p w14:paraId="1AA0192A">
      <w:pPr>
        <w:ind w:firstLine="480"/>
        <w:rPr>
          <w:color w:val="000000"/>
          <w:szCs w:val="24"/>
        </w:rPr>
      </w:pPr>
      <w:r>
        <w:rPr>
          <w:color w:val="000000"/>
          <w:szCs w:val="24"/>
        </w:rPr>
        <w:t>① 生产给水系统</w:t>
      </w:r>
    </w:p>
    <w:p w14:paraId="351FE02F">
      <w:pPr>
        <w:ind w:firstLine="480"/>
        <w:rPr>
          <w:color w:val="000000"/>
          <w:szCs w:val="24"/>
        </w:rPr>
      </w:pPr>
      <w:r>
        <w:rPr>
          <w:color w:val="000000"/>
          <w:szCs w:val="24"/>
        </w:rPr>
        <w:t>生产给水由白涛工业园区给水厂供给，敷设管道至厂区边界外1m（按两期用水量敷设管道），直接供给厂区内各工艺生产装置、辅助生产设施或单元生产使用及卫生间、拖布池用水。</w:t>
      </w:r>
    </w:p>
    <w:p w14:paraId="36A6A806">
      <w:pPr>
        <w:ind w:firstLine="480"/>
        <w:rPr>
          <w:color w:val="000000"/>
          <w:szCs w:val="24"/>
        </w:rPr>
      </w:pPr>
      <w:r>
        <w:rPr>
          <w:color w:val="000000"/>
          <w:szCs w:val="24"/>
        </w:rPr>
        <w:t>② 生活给水系统</w:t>
      </w:r>
    </w:p>
    <w:p w14:paraId="2D4A25D8">
      <w:pPr>
        <w:ind w:firstLine="480"/>
        <w:rPr>
          <w:color w:val="000000"/>
          <w:szCs w:val="24"/>
        </w:rPr>
      </w:pPr>
      <w:r>
        <w:rPr>
          <w:color w:val="000000"/>
          <w:szCs w:val="24"/>
        </w:rPr>
        <w:t>由白涛工业园区给水厂供给，经超滤设施处理后供给工艺生产装置、辅助生产设施或单元的人员饮用。</w:t>
      </w:r>
    </w:p>
    <w:p w14:paraId="11DBA47E">
      <w:pPr>
        <w:ind w:firstLine="480"/>
        <w:rPr>
          <w:color w:val="000000"/>
          <w:szCs w:val="24"/>
        </w:rPr>
      </w:pPr>
      <w:r>
        <w:rPr>
          <w:color w:val="000000"/>
          <w:szCs w:val="24"/>
        </w:rPr>
        <w:t>（2）消防水系统</w:t>
      </w:r>
    </w:p>
    <w:p w14:paraId="73B87779">
      <w:pPr>
        <w:ind w:firstLine="480"/>
        <w:rPr>
          <w:color w:val="000000"/>
          <w:szCs w:val="24"/>
        </w:rPr>
      </w:pPr>
      <w:r>
        <w:rPr>
          <w:color w:val="000000"/>
          <w:szCs w:val="24"/>
        </w:rPr>
        <w:t>LNG工厂内设置稳高压消防给水系统和泡沫灭火系统，消防用水储备于厂内消防水储罐中，补充水接自涪陵白涛工业园区给水管网，消防补水管管径为DN150，以保证消防水罐补水时间小于48h。</w:t>
      </w:r>
    </w:p>
    <w:p w14:paraId="5061622B">
      <w:pPr>
        <w:ind w:firstLine="480"/>
        <w:rPr>
          <w:color w:val="000000"/>
          <w:szCs w:val="24"/>
        </w:rPr>
      </w:pPr>
      <w:r>
        <w:rPr>
          <w:color w:val="000000"/>
          <w:szCs w:val="24"/>
        </w:rPr>
        <w:t>厂区同一时间内火灾次数按一次计算，装置最大消防水量发生在LNG储罐区，为消防冷却水量和泡沫消防水量之和。全厂设计消防水量为266L/s，火灾延续时间不小于6h。</w:t>
      </w:r>
    </w:p>
    <w:p w14:paraId="6220DCF7">
      <w:pPr>
        <w:ind w:firstLine="480"/>
        <w:rPr>
          <w:color w:val="000000"/>
          <w:szCs w:val="24"/>
        </w:rPr>
      </w:pPr>
      <w:r>
        <w:rPr>
          <w:color w:val="000000"/>
          <w:szCs w:val="24"/>
        </w:rPr>
        <w:t>厂内新建消防水站，设置防水储罐2座，单罐容积为3000m</w:t>
      </w:r>
      <w:r>
        <w:rPr>
          <w:color w:val="000000"/>
          <w:szCs w:val="24"/>
          <w:vertAlign w:val="superscript"/>
        </w:rPr>
        <w:t>3</w:t>
      </w:r>
      <w:r>
        <w:rPr>
          <w:color w:val="000000"/>
          <w:szCs w:val="24"/>
        </w:rPr>
        <w:t>，消防水罐总容积为6000m</w:t>
      </w:r>
      <w:r>
        <w:rPr>
          <w:color w:val="000000"/>
          <w:szCs w:val="24"/>
          <w:vertAlign w:val="superscript"/>
        </w:rPr>
        <w:t>3</w:t>
      </w:r>
      <w:r>
        <w:rPr>
          <w:color w:val="000000"/>
          <w:szCs w:val="24"/>
        </w:rPr>
        <w:t>，同时设有消防水泵和稳压泵，日常保持稳高压消防管网压力0.7~1.2MPa。</w:t>
      </w:r>
    </w:p>
    <w:p w14:paraId="531174C7">
      <w:pPr>
        <w:ind w:firstLine="480"/>
        <w:rPr>
          <w:color w:val="000000"/>
          <w:szCs w:val="24"/>
        </w:rPr>
      </w:pPr>
      <w:r>
        <w:rPr>
          <w:color w:val="000000"/>
          <w:szCs w:val="24"/>
        </w:rPr>
        <w:t>消防水、泡沫原液经泡沫比例混合装置混合后，配置成高倍数泡沫混合液，由泡沫混合液管道输送至LNG储罐区或装卸站，为罐区或装卸站事故集液池提供泡沫混合液。</w:t>
      </w:r>
    </w:p>
    <w:p w14:paraId="0621C6EE">
      <w:pPr>
        <w:ind w:firstLine="480"/>
        <w:rPr>
          <w:color w:val="000000"/>
          <w:szCs w:val="24"/>
        </w:rPr>
      </w:pPr>
      <w:r>
        <w:rPr>
          <w:color w:val="000000"/>
          <w:szCs w:val="24"/>
        </w:rPr>
        <w:t>（3）循环水系统</w:t>
      </w:r>
    </w:p>
    <w:p w14:paraId="327BA4B0">
      <w:pPr>
        <w:ind w:firstLine="480"/>
        <w:rPr>
          <w:color w:val="000000"/>
          <w:szCs w:val="24"/>
        </w:rPr>
      </w:pPr>
      <w:r>
        <w:rPr>
          <w:color w:val="000000"/>
          <w:szCs w:val="24"/>
        </w:rPr>
        <w:t>循环水系统为工艺生产装置换热设备提供冷却用水，换热后升温的水回到循环水站，经冷却塔降温处理后循环使用。</w:t>
      </w:r>
    </w:p>
    <w:p w14:paraId="5515BCA0">
      <w:pPr>
        <w:ind w:firstLine="480"/>
        <w:rPr>
          <w:color w:val="000000"/>
          <w:szCs w:val="24"/>
        </w:rPr>
      </w:pPr>
      <w:r>
        <w:rPr>
          <w:color w:val="000000"/>
          <w:szCs w:val="24"/>
        </w:rPr>
        <w:t>LNG项目分二期建设，一期LNG生产规模为100万Nm</w:t>
      </w:r>
      <w:r>
        <w:rPr>
          <w:color w:val="000000"/>
          <w:szCs w:val="24"/>
          <w:vertAlign w:val="superscript"/>
        </w:rPr>
        <w:t>3</w:t>
      </w:r>
      <w:r>
        <w:rPr>
          <w:color w:val="000000"/>
          <w:szCs w:val="24"/>
        </w:rPr>
        <w:t>/d，生产用循环冷却水水量为1477m</w:t>
      </w:r>
      <w:r>
        <w:rPr>
          <w:color w:val="000000"/>
          <w:szCs w:val="24"/>
          <w:vertAlign w:val="superscript"/>
        </w:rPr>
        <w:t>3</w:t>
      </w:r>
      <w:r>
        <w:rPr>
          <w:color w:val="000000"/>
          <w:szCs w:val="24"/>
        </w:rPr>
        <w:t>/h。预留二期位置。</w:t>
      </w:r>
    </w:p>
    <w:p w14:paraId="60F8177D">
      <w:pPr>
        <w:ind w:firstLine="480"/>
        <w:rPr>
          <w:color w:val="000000"/>
          <w:szCs w:val="24"/>
        </w:rPr>
      </w:pPr>
      <w:r>
        <w:rPr>
          <w:color w:val="000000"/>
          <w:szCs w:val="24"/>
        </w:rPr>
        <w:t>（4）循环水站</w:t>
      </w:r>
    </w:p>
    <w:p w14:paraId="7544B1B7">
      <w:pPr>
        <w:ind w:firstLine="480"/>
        <w:rPr>
          <w:color w:val="000000"/>
          <w:szCs w:val="24"/>
        </w:rPr>
      </w:pPr>
      <w:r>
        <w:rPr>
          <w:color w:val="000000"/>
          <w:szCs w:val="24"/>
        </w:rPr>
        <w:t>LNG工厂新建循环水站。循环水站按一期所需要的循环水量确定循环水站规模，预留二期扩建位置，并按此规模规划占地，配套的加药系统、配电、控制系统等一期一次建设，冷却塔和循环水给水泵分期建设。</w:t>
      </w:r>
    </w:p>
    <w:p w14:paraId="4E3B00D3">
      <w:pPr>
        <w:ind w:firstLine="480"/>
        <w:rPr>
          <w:color w:val="000000"/>
          <w:szCs w:val="24"/>
        </w:rPr>
      </w:pPr>
      <w:r>
        <w:rPr>
          <w:color w:val="000000"/>
          <w:szCs w:val="24"/>
        </w:rPr>
        <w:t>2）排水</w:t>
      </w:r>
    </w:p>
    <w:p w14:paraId="52A41B25">
      <w:pPr>
        <w:ind w:firstLine="480"/>
        <w:rPr>
          <w:color w:val="000000"/>
          <w:szCs w:val="24"/>
        </w:rPr>
      </w:pPr>
      <w:r>
        <w:rPr>
          <w:rFonts w:hint="eastAsia"/>
          <w:color w:val="000000"/>
          <w:szCs w:val="24"/>
          <w:lang w:eastAsia="zh-CN"/>
        </w:rPr>
        <w:t>根据</w:t>
      </w:r>
      <w:r>
        <w:rPr>
          <w:color w:val="000000"/>
          <w:szCs w:val="24"/>
        </w:rPr>
        <w:t>污水性质、处理要求、处理方法、污染程度的不同，遵循“清污分流、污污分治、雨污分流”的原则，目前全厂工艺污水、生活污水分别经管道输送至园区潘家污水处理厂集中处理，达到《污水综合排放标准》（GB8978-1996）一级标准后排入乌江。</w:t>
      </w:r>
    </w:p>
    <w:p w14:paraId="2C079CD2">
      <w:pPr>
        <w:rPr>
          <w:b/>
          <w:color w:val="000000"/>
          <w:szCs w:val="24"/>
        </w:rPr>
      </w:pPr>
      <w:r>
        <w:rPr>
          <w:b/>
          <w:color w:val="000000"/>
          <w:szCs w:val="24"/>
        </w:rPr>
        <w:t>2、供热</w:t>
      </w:r>
    </w:p>
    <w:p w14:paraId="6B8E7DA5">
      <w:pPr>
        <w:ind w:firstLine="480"/>
        <w:rPr>
          <w:color w:val="000000"/>
          <w:szCs w:val="24"/>
        </w:rPr>
      </w:pPr>
      <w:r>
        <w:rPr>
          <w:color w:val="000000"/>
          <w:szCs w:val="24"/>
        </w:rPr>
        <w:t>LNG工厂用热主要为生产用热。工艺装置用热负荷主要为再生用热，用热点为MDEA（N-甲基二乙醇胺）再生和分子筛再生，生产用热负荷1740kW，采用燃气导热油炉供热。燃料气主要为进站天然气、闪蒸气和凝液赋热后气体，配置燃气分离器和过滤器各一套，分离过滤稳压后供导热油炉使用。</w:t>
      </w:r>
    </w:p>
    <w:p w14:paraId="61F2F3BE">
      <w:pPr>
        <w:rPr>
          <w:b/>
          <w:color w:val="000000"/>
          <w:szCs w:val="24"/>
        </w:rPr>
      </w:pPr>
      <w:r>
        <w:rPr>
          <w:b/>
          <w:color w:val="000000"/>
          <w:szCs w:val="24"/>
        </w:rPr>
        <w:t>3、供电</w:t>
      </w:r>
    </w:p>
    <w:p w14:paraId="1C341224">
      <w:pPr>
        <w:ind w:firstLine="480"/>
        <w:rPr>
          <w:color w:val="000000"/>
          <w:szCs w:val="24"/>
        </w:rPr>
      </w:pPr>
      <w:r>
        <w:rPr>
          <w:color w:val="000000"/>
          <w:szCs w:val="24"/>
        </w:rPr>
        <w:t>1）电源概述</w:t>
      </w:r>
    </w:p>
    <w:p w14:paraId="1347C441">
      <w:pPr>
        <w:ind w:firstLine="480"/>
        <w:rPr>
          <w:color w:val="000000"/>
          <w:szCs w:val="24"/>
        </w:rPr>
      </w:pPr>
      <w:r>
        <w:rPr>
          <w:color w:val="000000"/>
          <w:szCs w:val="24"/>
        </w:rPr>
        <w:t>工业园区提供两路10kV和一路35kV供电电源。全厂总用电负荷约为10540.3kW，其中混合制冷压缩机电机功率为8466.2kW。</w:t>
      </w:r>
    </w:p>
    <w:p w14:paraId="6F2C5872">
      <w:pPr>
        <w:ind w:firstLine="480"/>
        <w:rPr>
          <w:color w:val="000000"/>
          <w:szCs w:val="24"/>
        </w:rPr>
      </w:pPr>
      <w:r>
        <w:rPr>
          <w:color w:val="000000"/>
          <w:szCs w:val="24"/>
        </w:rPr>
        <w:t>2）供配电系统</w:t>
      </w:r>
    </w:p>
    <w:p w14:paraId="536E1C42">
      <w:pPr>
        <w:ind w:firstLine="480"/>
        <w:rPr>
          <w:color w:val="000000"/>
          <w:szCs w:val="24"/>
        </w:rPr>
      </w:pPr>
      <w:r>
        <w:rPr>
          <w:color w:val="000000"/>
          <w:szCs w:val="24"/>
        </w:rPr>
        <w:t>在本装置区内新建一个变电所，为全厂高、低压设备供电，该变电所外引两路10kV和一路35kV供电电源。</w:t>
      </w:r>
    </w:p>
    <w:p w14:paraId="5D116795">
      <w:pPr>
        <w:ind w:firstLine="480"/>
        <w:rPr>
          <w:color w:val="000000"/>
          <w:szCs w:val="24"/>
        </w:rPr>
      </w:pPr>
      <w:r>
        <w:rPr>
          <w:color w:val="000000"/>
          <w:szCs w:val="24"/>
        </w:rPr>
        <w:t>变电所采用10kV系统采用单母线分段接线，分段开关处设手/自投装置；0.4kV配电装置也采用单母线分段接线，分列运行，分段开关处设手/自投装置。设置2台10/0.4kV容量1600kVA配电变压器，负荷率均为39.8%。本装置中混合制冷压缩机（电机功率8466.2kW）供电10kV高压软起动方式供电方式。</w:t>
      </w:r>
    </w:p>
    <w:p w14:paraId="78074C2C">
      <w:pPr>
        <w:rPr>
          <w:b/>
          <w:color w:val="000000"/>
          <w:szCs w:val="24"/>
        </w:rPr>
      </w:pPr>
      <w:r>
        <w:rPr>
          <w:b/>
          <w:color w:val="000000"/>
          <w:szCs w:val="24"/>
        </w:rPr>
        <w:t>4、通讯</w:t>
      </w:r>
    </w:p>
    <w:p w14:paraId="6ECECB2F">
      <w:pPr>
        <w:ind w:firstLine="480"/>
        <w:rPr>
          <w:color w:val="000000"/>
          <w:szCs w:val="24"/>
        </w:rPr>
      </w:pPr>
      <w:r>
        <w:rPr>
          <w:color w:val="000000"/>
          <w:szCs w:val="24"/>
        </w:rPr>
        <w:t>通信内容主要包括调度电话站系统、综合布线系统、无线通信系统、火灾报警系统、电视监视系统、扩音对讲系统、周界报警系统、门禁系统和工程界区内电信线路等。</w:t>
      </w:r>
    </w:p>
    <w:p w14:paraId="4D348EEA">
      <w:pPr>
        <w:rPr>
          <w:b/>
          <w:color w:val="000000"/>
          <w:szCs w:val="24"/>
        </w:rPr>
      </w:pPr>
      <w:r>
        <w:rPr>
          <w:b/>
          <w:color w:val="000000"/>
          <w:szCs w:val="24"/>
        </w:rPr>
        <w:t>5、空压站、氮气站</w:t>
      </w:r>
    </w:p>
    <w:p w14:paraId="2E3D699A">
      <w:pPr>
        <w:ind w:firstLine="480" w:firstLineChars="200"/>
        <w:rPr>
          <w:color w:val="000000"/>
          <w:szCs w:val="24"/>
        </w:rPr>
      </w:pPr>
      <w:r>
        <w:rPr>
          <w:color w:val="000000"/>
          <w:szCs w:val="24"/>
        </w:rPr>
        <w:t>LNG工厂空压站主要向生产装置及储罐区、装车系统提供0.6MPa，无油，无水，无尘的洁净的仪表空气及向PSA装置提供制氮用压缩空气。空压站内设置压缩机两台。一开一备，单台能力为1000Nm</w:t>
      </w:r>
      <w:r>
        <w:rPr>
          <w:color w:val="000000"/>
          <w:szCs w:val="24"/>
          <w:vertAlign w:val="superscript"/>
        </w:rPr>
        <w:t>3</w:t>
      </w:r>
      <w:r>
        <w:rPr>
          <w:color w:val="000000"/>
          <w:szCs w:val="24"/>
        </w:rPr>
        <w:t>/h，排气压力为1.0MPa，无热再生干燥器一套，能力为1000Nm</w:t>
      </w:r>
      <w:r>
        <w:rPr>
          <w:color w:val="000000"/>
          <w:szCs w:val="24"/>
          <w:vertAlign w:val="superscript"/>
        </w:rPr>
        <w:t>3</w:t>
      </w:r>
      <w:r>
        <w:rPr>
          <w:color w:val="000000"/>
          <w:szCs w:val="24"/>
        </w:rPr>
        <w:t>/h。并配有粗过滤器、精过滤器，以确保压缩空气无油无尘。</w:t>
      </w:r>
    </w:p>
    <w:p w14:paraId="43C989E6">
      <w:pPr>
        <w:ind w:firstLine="480"/>
        <w:rPr>
          <w:color w:val="000000"/>
          <w:szCs w:val="24"/>
        </w:rPr>
      </w:pPr>
      <w:r>
        <w:rPr>
          <w:color w:val="000000"/>
          <w:szCs w:val="24"/>
        </w:rPr>
        <w:t>氮气站主要向液化天然气生产装置、储罐区及装车系统提供0.6MPa，纯度99.9%的氮气，由PSA制氮工序和液氮气化工艺组成。根据工艺装置生产的要求，正常使用需要100Nm</w:t>
      </w:r>
      <w:r>
        <w:rPr>
          <w:color w:val="000000"/>
          <w:szCs w:val="24"/>
          <w:vertAlign w:val="superscript"/>
        </w:rPr>
        <w:t>3</w:t>
      </w:r>
      <w:r>
        <w:rPr>
          <w:color w:val="000000"/>
          <w:szCs w:val="24"/>
        </w:rPr>
        <w:t>/h氮气。需要压缩空气量为450N m</w:t>
      </w:r>
      <w:r>
        <w:rPr>
          <w:color w:val="000000"/>
          <w:szCs w:val="24"/>
          <w:vertAlign w:val="superscript"/>
        </w:rPr>
        <w:t>3</w:t>
      </w:r>
      <w:r>
        <w:rPr>
          <w:color w:val="000000"/>
          <w:szCs w:val="24"/>
        </w:rPr>
        <w:t>/h。</w:t>
      </w:r>
    </w:p>
    <w:p w14:paraId="32D42105">
      <w:pPr>
        <w:ind w:firstLine="480"/>
        <w:rPr>
          <w:color w:val="000000"/>
          <w:szCs w:val="24"/>
        </w:rPr>
      </w:pPr>
      <w:r>
        <w:rPr>
          <w:color w:val="000000"/>
          <w:szCs w:val="24"/>
        </w:rPr>
        <w:t>PSA制氮选用PSA变压吸附制氮装置一套，该装置产氮气量为100Nm</w:t>
      </w:r>
      <w:r>
        <w:rPr>
          <w:color w:val="000000"/>
          <w:szCs w:val="24"/>
          <w:vertAlign w:val="superscript"/>
        </w:rPr>
        <w:t>3</w:t>
      </w:r>
      <w:r>
        <w:rPr>
          <w:color w:val="000000"/>
          <w:szCs w:val="24"/>
        </w:rPr>
        <w:t>/h，出口氮气纯度为99.9%。PSA变压吸附制氮的原理是以空气为原材料，利用一种高效能、高选择的固体吸附剂（碳分子筛）对氮和氧的选择性吸附的性能把空气中的氮和氧分离出来。碳分子筛对氮和氧的分离作用主要是基于这两种气体在碳分子筛表面的扩散速率不同，较小直径的气体（氧气）扩散较快，较多进入分子筛固相。这样气相中就可以得到氮的富集成分。一段时间后，分子筛对氧的吸附达到平衡，根据碳分子筛在不同压力下对吸附气体的吸附量不同的特性，降低压力使碳分子筛解除对氧的吸附，这一过程称为再生。变压吸附法通常使用两塔并联，交替进行加压吸附和解压再生，从而获得连续的氮气流。</w:t>
      </w:r>
    </w:p>
    <w:p w14:paraId="511CA6DB">
      <w:pPr>
        <w:ind w:firstLine="480"/>
        <w:rPr>
          <w:color w:val="000000"/>
          <w:szCs w:val="24"/>
        </w:rPr>
      </w:pPr>
      <w:r>
        <w:rPr>
          <w:color w:val="000000"/>
          <w:szCs w:val="24"/>
        </w:rPr>
        <w:t>液氮气化是将外购的液氮注入储罐，液氮经空温式气化器和电加热水浴式气化器气化后进入氮气稳定罐备用。液氮气化主要是在开停车阶段和制氮设备故障时保障氮气供应。</w:t>
      </w:r>
    </w:p>
    <w:p w14:paraId="72CF8659">
      <w:pPr>
        <w:rPr>
          <w:b/>
          <w:color w:val="000000"/>
          <w:szCs w:val="24"/>
        </w:rPr>
      </w:pPr>
      <w:r>
        <w:rPr>
          <w:b/>
          <w:color w:val="000000"/>
          <w:szCs w:val="24"/>
        </w:rPr>
        <w:t>6、消防</w:t>
      </w:r>
    </w:p>
    <w:p w14:paraId="4123575C">
      <w:pPr>
        <w:ind w:firstLine="480"/>
        <w:rPr>
          <w:color w:val="000000"/>
          <w:szCs w:val="24"/>
        </w:rPr>
      </w:pPr>
      <w:r>
        <w:rPr>
          <w:color w:val="000000"/>
          <w:szCs w:val="24"/>
        </w:rPr>
        <w:t>武警重庆市涪陵区消防支队白涛中队</w:t>
      </w:r>
      <w:r>
        <w:rPr>
          <w:rFonts w:hint="eastAsia"/>
          <w:color w:val="000000"/>
          <w:szCs w:val="24"/>
        </w:rPr>
        <w:t>坐落</w:t>
      </w:r>
      <w:r>
        <w:rPr>
          <w:color w:val="000000"/>
          <w:szCs w:val="24"/>
        </w:rPr>
        <w:t>于涪陵区白涛工业园区，毗邻重庆华峰化工集团。中队现有执勤消防队员36人，设4个战斗班和1个通信班，担负着白涛工业园区、白涛镇、礁石镇、大木乡、武陵山乡的灭火救灾、抢险救援和社会救助等多项任务。中队目前有执勤消防车4辆，其中水罐车2辆，泡沫消防车1辆，抢险救援消防车1辆。拥有灭火、侦检、破拆、堵漏、救生、警戒、输转、洗消、照明排烟以及消防员防护装备等各类器材装备2000余件套。能够快速有效处置各类火灾事故、地质灾害、车祸救援、社会救助等。白涛中队驻地距厂区最远点行车距离约3.5km。</w:t>
      </w:r>
    </w:p>
    <w:p w14:paraId="2F4935CC">
      <w:pPr>
        <w:ind w:firstLine="480"/>
        <w:rPr>
          <w:color w:val="000000"/>
          <w:szCs w:val="24"/>
        </w:rPr>
      </w:pPr>
      <w:r>
        <w:rPr>
          <w:color w:val="000000"/>
          <w:szCs w:val="24"/>
        </w:rPr>
        <w:t>参考《石油天然气防火设计规范》（GB50183），厂区设有10000m</w:t>
      </w:r>
      <w:r>
        <w:rPr>
          <w:color w:val="000000"/>
          <w:szCs w:val="24"/>
          <w:vertAlign w:val="superscript"/>
        </w:rPr>
        <w:t>3</w:t>
      </w:r>
      <w:r>
        <w:rPr>
          <w:color w:val="000000"/>
          <w:szCs w:val="24"/>
        </w:rPr>
        <w:t>LNG储罐，按储罐总容量划分为一级站场，规范要求“一、二、三级油气站场集中地区应设置等级不低于二级的消防站”。本项目邻近的消防协作力量---白涛中队距本项目最远点行车距离约3.5km，其消防车配置满足二级消防站的要求，行车距离满足规范要求，但车型仅适合城镇消防灭火。综合考虑本项目的火灾特点、火灾危险性及管理要求，本项目配置了2台重型消防车，由白涛中队集中管理，厂区内不另设消防站及消防队员。</w:t>
      </w:r>
    </w:p>
    <w:p w14:paraId="64D5A1CD">
      <w:pPr>
        <w:ind w:firstLine="480"/>
        <w:rPr>
          <w:color w:val="000000"/>
          <w:szCs w:val="24"/>
        </w:rPr>
      </w:pPr>
      <w:r>
        <w:rPr>
          <w:color w:val="000000"/>
          <w:szCs w:val="24"/>
        </w:rPr>
        <w:t>室外消防管网采用稳高压消防系统，供水压力0.8MPa。配备了室外消火栓、消防水炮、固定水喷雾系统（液化天然气储罐）、高倍数泡沫固定式局部应用灭火系统、固定干粉灭火系统、室内消火栓等。</w:t>
      </w:r>
    </w:p>
    <w:p w14:paraId="37A0C8B4">
      <w:pPr>
        <w:pStyle w:val="771"/>
        <w:rPr>
          <w:b/>
          <w:bCs w:val="0"/>
          <w:color w:val="000000"/>
        </w:rPr>
      </w:pPr>
      <w:r>
        <w:rPr>
          <w:b/>
          <w:bCs w:val="0"/>
          <w:color w:val="000000"/>
        </w:rPr>
        <w:t>2.2.5储运工程</w:t>
      </w:r>
    </w:p>
    <w:p w14:paraId="0FB489D0">
      <w:pPr>
        <w:rPr>
          <w:bCs/>
          <w:color w:val="000000"/>
          <w:szCs w:val="24"/>
        </w:rPr>
      </w:pPr>
      <w:r>
        <w:rPr>
          <w:bCs/>
          <w:color w:val="000000"/>
          <w:szCs w:val="24"/>
        </w:rPr>
        <w:t>2.2.5.1LNG罐区</w:t>
      </w:r>
    </w:p>
    <w:p w14:paraId="4E1265B0">
      <w:pPr>
        <w:ind w:firstLine="480"/>
        <w:rPr>
          <w:color w:val="000000"/>
          <w:szCs w:val="24"/>
        </w:rPr>
      </w:pPr>
      <w:r>
        <w:rPr>
          <w:color w:val="000000"/>
          <w:szCs w:val="24"/>
        </w:rPr>
        <w:t>现有工程LNG罐区共有常压低温储罐1台，潜液泵2台（1开1备），BOG压缩机2台（1开1备）。</w:t>
      </w:r>
    </w:p>
    <w:p w14:paraId="4841BFAC">
      <w:pPr>
        <w:ind w:firstLine="480"/>
        <w:rPr>
          <w:color w:val="000000"/>
          <w:szCs w:val="24"/>
        </w:rPr>
      </w:pPr>
      <w:r>
        <w:rPr>
          <w:color w:val="000000"/>
          <w:szCs w:val="24"/>
        </w:rPr>
        <w:t>（1）LNG低温储罐</w:t>
      </w:r>
    </w:p>
    <w:p w14:paraId="0EC22CF8">
      <w:pPr>
        <w:spacing w:line="240" w:lineRule="auto"/>
        <w:jc w:val="center"/>
        <w:rPr>
          <w:color w:val="000000"/>
          <w:sz w:val="21"/>
        </w:rPr>
      </w:pPr>
      <w:r>
        <w:rPr>
          <w:color w:val="000000"/>
          <w:sz w:val="21"/>
        </w:rPr>
        <w:t>表2.2.5.1-1  LNG低温储罐</w:t>
      </w:r>
    </w:p>
    <w:tbl>
      <w:tblPr>
        <w:tblStyle w:val="73"/>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46"/>
        <w:gridCol w:w="636"/>
        <w:gridCol w:w="636"/>
        <w:gridCol w:w="1329"/>
        <w:gridCol w:w="836"/>
        <w:gridCol w:w="846"/>
        <w:gridCol w:w="870"/>
        <w:gridCol w:w="1529"/>
        <w:gridCol w:w="1056"/>
      </w:tblGrid>
      <w:tr w14:paraId="0F98669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l2br w:val="nil"/>
              <w:tr2bl w:val="nil"/>
            </w:tcBorders>
            <w:vAlign w:val="center"/>
          </w:tcPr>
          <w:p w14:paraId="79B36665">
            <w:pPr>
              <w:spacing w:line="320" w:lineRule="exact"/>
              <w:jc w:val="center"/>
              <w:rPr>
                <w:color w:val="000000"/>
                <w:sz w:val="21"/>
              </w:rPr>
            </w:pPr>
            <w:r>
              <w:rPr>
                <w:color w:val="000000"/>
                <w:sz w:val="21"/>
              </w:rPr>
              <w:t>介质</w:t>
            </w:r>
          </w:p>
        </w:tc>
        <w:tc>
          <w:tcPr>
            <w:tcW w:w="636" w:type="dxa"/>
            <w:tcBorders>
              <w:tl2br w:val="nil"/>
              <w:tr2bl w:val="nil"/>
            </w:tcBorders>
            <w:vAlign w:val="center"/>
          </w:tcPr>
          <w:p w14:paraId="06198B34">
            <w:pPr>
              <w:spacing w:line="320" w:lineRule="exact"/>
              <w:jc w:val="center"/>
              <w:rPr>
                <w:color w:val="000000"/>
                <w:sz w:val="21"/>
              </w:rPr>
            </w:pPr>
            <w:r>
              <w:rPr>
                <w:color w:val="000000"/>
                <w:sz w:val="21"/>
              </w:rPr>
              <w:t>相态</w:t>
            </w:r>
          </w:p>
        </w:tc>
        <w:tc>
          <w:tcPr>
            <w:tcW w:w="636" w:type="dxa"/>
            <w:tcBorders>
              <w:tl2br w:val="nil"/>
              <w:tr2bl w:val="nil"/>
            </w:tcBorders>
            <w:vAlign w:val="center"/>
          </w:tcPr>
          <w:p w14:paraId="6FFA4166">
            <w:pPr>
              <w:spacing w:line="320" w:lineRule="exact"/>
              <w:jc w:val="center"/>
              <w:rPr>
                <w:color w:val="000000"/>
                <w:sz w:val="21"/>
              </w:rPr>
            </w:pPr>
            <w:r>
              <w:rPr>
                <w:color w:val="000000"/>
                <w:sz w:val="21"/>
              </w:rPr>
              <w:t>型式</w:t>
            </w:r>
          </w:p>
        </w:tc>
        <w:tc>
          <w:tcPr>
            <w:tcW w:w="1329" w:type="dxa"/>
            <w:tcBorders>
              <w:tl2br w:val="nil"/>
              <w:tr2bl w:val="nil"/>
            </w:tcBorders>
            <w:vAlign w:val="center"/>
          </w:tcPr>
          <w:p w14:paraId="70F19F9F">
            <w:pPr>
              <w:spacing w:line="320" w:lineRule="exact"/>
              <w:jc w:val="center"/>
              <w:rPr>
                <w:color w:val="000000"/>
                <w:sz w:val="21"/>
              </w:rPr>
            </w:pPr>
            <w:r>
              <w:rPr>
                <w:color w:val="000000"/>
                <w:sz w:val="21"/>
              </w:rPr>
              <w:t>规格</w:t>
            </w:r>
          </w:p>
          <w:p w14:paraId="2C05E2DC">
            <w:pPr>
              <w:spacing w:line="320" w:lineRule="exact"/>
              <w:jc w:val="center"/>
              <w:rPr>
                <w:color w:val="000000"/>
                <w:sz w:val="21"/>
              </w:rPr>
            </w:pPr>
            <w:r>
              <w:rPr>
                <w:color w:val="000000"/>
                <w:sz w:val="21"/>
              </w:rPr>
              <w:t>（m）</w:t>
            </w:r>
          </w:p>
        </w:tc>
        <w:tc>
          <w:tcPr>
            <w:tcW w:w="836" w:type="dxa"/>
            <w:tcBorders>
              <w:tl2br w:val="nil"/>
              <w:tr2bl w:val="nil"/>
            </w:tcBorders>
            <w:vAlign w:val="center"/>
          </w:tcPr>
          <w:p w14:paraId="2689F01F">
            <w:pPr>
              <w:spacing w:line="320" w:lineRule="exact"/>
              <w:jc w:val="center"/>
              <w:rPr>
                <w:color w:val="000000"/>
                <w:sz w:val="21"/>
              </w:rPr>
            </w:pPr>
            <w:r>
              <w:rPr>
                <w:color w:val="000000"/>
                <w:sz w:val="21"/>
              </w:rPr>
              <w:t>单台容积</w:t>
            </w:r>
          </w:p>
          <w:p w14:paraId="2EA5544D">
            <w:pPr>
              <w:spacing w:line="320" w:lineRule="exact"/>
              <w:jc w:val="center"/>
              <w:rPr>
                <w:color w:val="000000"/>
                <w:sz w:val="21"/>
                <w:vertAlign w:val="superscript"/>
              </w:rPr>
            </w:pPr>
            <w:r>
              <w:rPr>
                <w:color w:val="000000"/>
                <w:sz w:val="21"/>
              </w:rPr>
              <w:t>（m</w:t>
            </w:r>
            <w:r>
              <w:rPr>
                <w:color w:val="000000"/>
                <w:sz w:val="21"/>
                <w:vertAlign w:val="superscript"/>
              </w:rPr>
              <w:t>3</w:t>
            </w:r>
            <w:r>
              <w:rPr>
                <w:color w:val="000000"/>
                <w:sz w:val="21"/>
              </w:rPr>
              <w:t>）</w:t>
            </w:r>
          </w:p>
        </w:tc>
        <w:tc>
          <w:tcPr>
            <w:tcW w:w="846" w:type="dxa"/>
            <w:tcBorders>
              <w:tl2br w:val="nil"/>
              <w:tr2bl w:val="nil"/>
            </w:tcBorders>
            <w:vAlign w:val="center"/>
          </w:tcPr>
          <w:p w14:paraId="675CB96D">
            <w:pPr>
              <w:spacing w:line="320" w:lineRule="exact"/>
              <w:jc w:val="center"/>
              <w:rPr>
                <w:color w:val="000000"/>
                <w:sz w:val="21"/>
              </w:rPr>
            </w:pPr>
            <w:r>
              <w:rPr>
                <w:color w:val="000000"/>
                <w:sz w:val="21"/>
              </w:rPr>
              <w:t>数量</w:t>
            </w:r>
          </w:p>
          <w:p w14:paraId="665AAEE6">
            <w:pPr>
              <w:spacing w:line="320" w:lineRule="exact"/>
              <w:jc w:val="center"/>
              <w:rPr>
                <w:color w:val="000000"/>
                <w:sz w:val="21"/>
              </w:rPr>
            </w:pPr>
            <w:r>
              <w:rPr>
                <w:color w:val="000000"/>
                <w:sz w:val="21"/>
              </w:rPr>
              <w:t>（台）</w:t>
            </w:r>
          </w:p>
        </w:tc>
        <w:tc>
          <w:tcPr>
            <w:tcW w:w="870" w:type="dxa"/>
            <w:tcBorders>
              <w:tl2br w:val="nil"/>
              <w:tr2bl w:val="nil"/>
            </w:tcBorders>
            <w:vAlign w:val="center"/>
          </w:tcPr>
          <w:p w14:paraId="7551D06A">
            <w:pPr>
              <w:spacing w:line="320" w:lineRule="exact"/>
              <w:jc w:val="center"/>
              <w:rPr>
                <w:color w:val="000000"/>
                <w:sz w:val="21"/>
              </w:rPr>
            </w:pPr>
            <w:r>
              <w:rPr>
                <w:color w:val="000000"/>
                <w:sz w:val="21"/>
              </w:rPr>
              <w:t>总容积</w:t>
            </w:r>
          </w:p>
          <w:p w14:paraId="46E5A214">
            <w:pPr>
              <w:spacing w:line="320" w:lineRule="exact"/>
              <w:jc w:val="center"/>
              <w:rPr>
                <w:color w:val="000000"/>
                <w:sz w:val="21"/>
              </w:rPr>
            </w:pPr>
            <w:r>
              <w:rPr>
                <w:color w:val="000000"/>
                <w:sz w:val="21"/>
              </w:rPr>
              <w:t>（m</w:t>
            </w:r>
            <w:r>
              <w:rPr>
                <w:color w:val="000000"/>
                <w:sz w:val="21"/>
                <w:vertAlign w:val="superscript"/>
              </w:rPr>
              <w:t>3</w:t>
            </w:r>
            <w:r>
              <w:rPr>
                <w:color w:val="000000"/>
                <w:sz w:val="21"/>
              </w:rPr>
              <w:t>）</w:t>
            </w:r>
          </w:p>
        </w:tc>
        <w:tc>
          <w:tcPr>
            <w:tcW w:w="1529" w:type="dxa"/>
            <w:tcBorders>
              <w:tl2br w:val="nil"/>
              <w:tr2bl w:val="nil"/>
            </w:tcBorders>
            <w:vAlign w:val="center"/>
          </w:tcPr>
          <w:p w14:paraId="7AE6D886">
            <w:pPr>
              <w:spacing w:line="320" w:lineRule="exact"/>
              <w:jc w:val="center"/>
              <w:rPr>
                <w:color w:val="000000"/>
                <w:sz w:val="21"/>
              </w:rPr>
            </w:pPr>
            <w:r>
              <w:rPr>
                <w:color w:val="000000"/>
                <w:sz w:val="21"/>
              </w:rPr>
              <w:t>材质</w:t>
            </w:r>
          </w:p>
        </w:tc>
        <w:tc>
          <w:tcPr>
            <w:tcW w:w="1056" w:type="dxa"/>
            <w:tcBorders>
              <w:tl2br w:val="nil"/>
              <w:tr2bl w:val="nil"/>
            </w:tcBorders>
            <w:vAlign w:val="center"/>
          </w:tcPr>
          <w:p w14:paraId="734ECB3C">
            <w:pPr>
              <w:spacing w:line="320" w:lineRule="exact"/>
              <w:jc w:val="center"/>
              <w:rPr>
                <w:color w:val="000000"/>
                <w:sz w:val="21"/>
              </w:rPr>
            </w:pPr>
            <w:r>
              <w:rPr>
                <w:color w:val="000000"/>
                <w:sz w:val="21"/>
              </w:rPr>
              <w:t>储存时间</w:t>
            </w:r>
          </w:p>
        </w:tc>
      </w:tr>
      <w:tr w14:paraId="5678EDB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l2br w:val="nil"/>
              <w:tr2bl w:val="nil"/>
            </w:tcBorders>
            <w:vAlign w:val="center"/>
          </w:tcPr>
          <w:p w14:paraId="37205AC7">
            <w:pPr>
              <w:spacing w:line="320" w:lineRule="exact"/>
              <w:jc w:val="center"/>
              <w:rPr>
                <w:color w:val="000000"/>
                <w:sz w:val="21"/>
              </w:rPr>
            </w:pPr>
            <w:r>
              <w:rPr>
                <w:color w:val="000000"/>
                <w:sz w:val="21"/>
              </w:rPr>
              <w:t>液化</w:t>
            </w:r>
          </w:p>
          <w:p w14:paraId="753AA737">
            <w:pPr>
              <w:spacing w:line="320" w:lineRule="exact"/>
              <w:jc w:val="center"/>
              <w:rPr>
                <w:color w:val="000000"/>
                <w:sz w:val="21"/>
              </w:rPr>
            </w:pPr>
            <w:r>
              <w:rPr>
                <w:color w:val="000000"/>
                <w:sz w:val="21"/>
              </w:rPr>
              <w:t>天然气</w:t>
            </w:r>
          </w:p>
        </w:tc>
        <w:tc>
          <w:tcPr>
            <w:tcW w:w="636" w:type="dxa"/>
            <w:tcBorders>
              <w:tl2br w:val="nil"/>
              <w:tr2bl w:val="nil"/>
            </w:tcBorders>
            <w:vAlign w:val="center"/>
          </w:tcPr>
          <w:p w14:paraId="116F29BA">
            <w:pPr>
              <w:spacing w:line="320" w:lineRule="exact"/>
              <w:jc w:val="center"/>
              <w:rPr>
                <w:color w:val="000000"/>
                <w:sz w:val="21"/>
              </w:rPr>
            </w:pPr>
            <w:r>
              <w:rPr>
                <w:color w:val="000000"/>
                <w:sz w:val="21"/>
              </w:rPr>
              <w:t>液态</w:t>
            </w:r>
          </w:p>
        </w:tc>
        <w:tc>
          <w:tcPr>
            <w:tcW w:w="636" w:type="dxa"/>
            <w:tcBorders>
              <w:tl2br w:val="nil"/>
              <w:tr2bl w:val="nil"/>
            </w:tcBorders>
            <w:vAlign w:val="center"/>
          </w:tcPr>
          <w:p w14:paraId="419503DD">
            <w:pPr>
              <w:spacing w:line="320" w:lineRule="exact"/>
              <w:jc w:val="center"/>
              <w:rPr>
                <w:color w:val="000000"/>
                <w:sz w:val="21"/>
              </w:rPr>
            </w:pPr>
            <w:r>
              <w:rPr>
                <w:color w:val="000000"/>
                <w:sz w:val="21"/>
              </w:rPr>
              <w:t>单包</w:t>
            </w:r>
          </w:p>
          <w:p w14:paraId="26D28EE2">
            <w:pPr>
              <w:spacing w:line="320" w:lineRule="exact"/>
              <w:jc w:val="center"/>
              <w:rPr>
                <w:color w:val="000000"/>
                <w:sz w:val="21"/>
              </w:rPr>
            </w:pPr>
            <w:r>
              <w:rPr>
                <w:color w:val="000000"/>
                <w:sz w:val="21"/>
              </w:rPr>
              <w:t>容罐</w:t>
            </w:r>
          </w:p>
        </w:tc>
        <w:tc>
          <w:tcPr>
            <w:tcW w:w="1329" w:type="dxa"/>
            <w:tcBorders>
              <w:tl2br w:val="nil"/>
              <w:tr2bl w:val="nil"/>
            </w:tcBorders>
            <w:vAlign w:val="center"/>
          </w:tcPr>
          <w:p w14:paraId="0D467CB4">
            <w:pPr>
              <w:spacing w:line="320" w:lineRule="exact"/>
              <w:jc w:val="center"/>
              <w:rPr>
                <w:color w:val="000000"/>
                <w:sz w:val="21"/>
              </w:rPr>
            </w:pPr>
            <w:r>
              <w:rPr>
                <w:color w:val="000000"/>
                <w:sz w:val="21"/>
              </w:rPr>
              <w:t>ø28×25.4</w:t>
            </w:r>
          </w:p>
        </w:tc>
        <w:tc>
          <w:tcPr>
            <w:tcW w:w="836" w:type="dxa"/>
            <w:tcBorders>
              <w:tl2br w:val="nil"/>
              <w:tr2bl w:val="nil"/>
            </w:tcBorders>
            <w:vAlign w:val="center"/>
          </w:tcPr>
          <w:p w14:paraId="1234CA95">
            <w:pPr>
              <w:spacing w:line="320" w:lineRule="exact"/>
              <w:jc w:val="center"/>
              <w:rPr>
                <w:color w:val="000000"/>
                <w:sz w:val="21"/>
              </w:rPr>
            </w:pPr>
            <w:r>
              <w:rPr>
                <w:color w:val="000000"/>
                <w:sz w:val="21"/>
              </w:rPr>
              <w:t>10000</w:t>
            </w:r>
          </w:p>
        </w:tc>
        <w:tc>
          <w:tcPr>
            <w:tcW w:w="846" w:type="dxa"/>
            <w:tcBorders>
              <w:tl2br w:val="nil"/>
              <w:tr2bl w:val="nil"/>
            </w:tcBorders>
            <w:vAlign w:val="center"/>
          </w:tcPr>
          <w:p w14:paraId="28768D08">
            <w:pPr>
              <w:spacing w:line="320" w:lineRule="exact"/>
              <w:jc w:val="center"/>
              <w:rPr>
                <w:color w:val="000000"/>
                <w:sz w:val="21"/>
              </w:rPr>
            </w:pPr>
            <w:r>
              <w:rPr>
                <w:color w:val="000000"/>
                <w:sz w:val="21"/>
              </w:rPr>
              <w:t>1</w:t>
            </w:r>
          </w:p>
        </w:tc>
        <w:tc>
          <w:tcPr>
            <w:tcW w:w="870" w:type="dxa"/>
            <w:tcBorders>
              <w:tl2br w:val="nil"/>
              <w:tr2bl w:val="nil"/>
            </w:tcBorders>
            <w:vAlign w:val="center"/>
          </w:tcPr>
          <w:p w14:paraId="75257836">
            <w:pPr>
              <w:spacing w:line="320" w:lineRule="exact"/>
              <w:jc w:val="center"/>
              <w:rPr>
                <w:color w:val="000000"/>
                <w:sz w:val="21"/>
              </w:rPr>
            </w:pPr>
            <w:r>
              <w:rPr>
                <w:color w:val="000000"/>
                <w:sz w:val="21"/>
              </w:rPr>
              <w:t>10000</w:t>
            </w:r>
          </w:p>
        </w:tc>
        <w:tc>
          <w:tcPr>
            <w:tcW w:w="1529" w:type="dxa"/>
            <w:tcBorders>
              <w:tl2br w:val="nil"/>
              <w:tr2bl w:val="nil"/>
            </w:tcBorders>
            <w:vAlign w:val="center"/>
          </w:tcPr>
          <w:p w14:paraId="4279F8C0">
            <w:pPr>
              <w:spacing w:line="320" w:lineRule="exact"/>
              <w:jc w:val="center"/>
              <w:rPr>
                <w:color w:val="000000"/>
                <w:sz w:val="21"/>
              </w:rPr>
            </w:pPr>
            <w:r>
              <w:rPr>
                <w:color w:val="000000"/>
                <w:sz w:val="21"/>
              </w:rPr>
              <w:t>30408（内），</w:t>
            </w:r>
          </w:p>
          <w:p w14:paraId="278C1995">
            <w:pPr>
              <w:spacing w:line="320" w:lineRule="exact"/>
              <w:jc w:val="center"/>
              <w:rPr>
                <w:color w:val="000000"/>
                <w:sz w:val="21"/>
              </w:rPr>
            </w:pPr>
            <w:r>
              <w:rPr>
                <w:color w:val="000000"/>
                <w:sz w:val="21"/>
              </w:rPr>
              <w:t>16MnR（外）</w:t>
            </w:r>
          </w:p>
        </w:tc>
        <w:tc>
          <w:tcPr>
            <w:tcW w:w="1056" w:type="dxa"/>
            <w:tcBorders>
              <w:tl2br w:val="nil"/>
              <w:tr2bl w:val="nil"/>
            </w:tcBorders>
            <w:vAlign w:val="center"/>
          </w:tcPr>
          <w:p w14:paraId="446423BD">
            <w:pPr>
              <w:spacing w:line="320" w:lineRule="exact"/>
              <w:jc w:val="center"/>
              <w:rPr>
                <w:color w:val="000000"/>
                <w:sz w:val="21"/>
              </w:rPr>
            </w:pPr>
            <w:r>
              <w:rPr>
                <w:color w:val="000000"/>
                <w:sz w:val="21"/>
              </w:rPr>
              <w:t>6天</w:t>
            </w:r>
          </w:p>
        </w:tc>
      </w:tr>
    </w:tbl>
    <w:p w14:paraId="3D605309">
      <w:pPr>
        <w:ind w:firstLine="480"/>
        <w:rPr>
          <w:color w:val="000000"/>
          <w:szCs w:val="24"/>
        </w:rPr>
      </w:pPr>
      <w:r>
        <w:rPr>
          <w:color w:val="000000"/>
          <w:szCs w:val="24"/>
        </w:rPr>
        <w:t>（2）LNG潜液泵</w:t>
      </w:r>
    </w:p>
    <w:p w14:paraId="1A075C03">
      <w:pPr>
        <w:ind w:firstLine="480"/>
        <w:rPr>
          <w:color w:val="000000"/>
          <w:szCs w:val="24"/>
        </w:rPr>
      </w:pPr>
      <w:r>
        <w:rPr>
          <w:color w:val="000000"/>
          <w:szCs w:val="24"/>
        </w:rPr>
        <w:t>LNG低温储罐的潜液泵位于罐内部，其参数如下表。</w:t>
      </w:r>
    </w:p>
    <w:p w14:paraId="5A9B2DE8">
      <w:pPr>
        <w:spacing w:line="240" w:lineRule="auto"/>
        <w:jc w:val="center"/>
        <w:rPr>
          <w:color w:val="000000"/>
          <w:sz w:val="21"/>
        </w:rPr>
      </w:pPr>
      <w:r>
        <w:rPr>
          <w:color w:val="000000"/>
          <w:sz w:val="21"/>
        </w:rPr>
        <w:t>表2.2.5.1-2   LNG潜液泵参数</w:t>
      </w:r>
    </w:p>
    <w:tbl>
      <w:tblPr>
        <w:tblStyle w:val="73"/>
        <w:tblW w:w="0" w:type="auto"/>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1"/>
        <w:gridCol w:w="858"/>
        <w:gridCol w:w="1231"/>
        <w:gridCol w:w="940"/>
        <w:gridCol w:w="957"/>
        <w:gridCol w:w="936"/>
        <w:gridCol w:w="957"/>
        <w:gridCol w:w="961"/>
        <w:gridCol w:w="1016"/>
      </w:tblGrid>
      <w:tr w14:paraId="6F4EF69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91" w:type="dxa"/>
            <w:vMerge w:val="restart"/>
            <w:tcBorders>
              <w:top w:val="single" w:color="auto" w:sz="2" w:space="0"/>
              <w:left w:val="single" w:color="auto" w:sz="2" w:space="0"/>
              <w:bottom w:val="single" w:color="auto" w:sz="4" w:space="0"/>
              <w:right w:val="single" w:color="auto" w:sz="4" w:space="0"/>
            </w:tcBorders>
            <w:vAlign w:val="center"/>
          </w:tcPr>
          <w:p w14:paraId="6137318D">
            <w:pPr>
              <w:spacing w:line="320" w:lineRule="exact"/>
              <w:jc w:val="center"/>
              <w:rPr>
                <w:color w:val="000000"/>
                <w:sz w:val="21"/>
              </w:rPr>
            </w:pPr>
            <w:r>
              <w:rPr>
                <w:color w:val="000000"/>
                <w:sz w:val="21"/>
              </w:rPr>
              <w:t>类型</w:t>
            </w:r>
          </w:p>
        </w:tc>
        <w:tc>
          <w:tcPr>
            <w:tcW w:w="858" w:type="dxa"/>
            <w:vMerge w:val="restart"/>
            <w:tcBorders>
              <w:top w:val="single" w:color="auto" w:sz="2" w:space="0"/>
              <w:left w:val="single" w:color="auto" w:sz="4" w:space="0"/>
              <w:bottom w:val="single" w:color="auto" w:sz="4" w:space="0"/>
              <w:right w:val="single" w:color="auto" w:sz="4" w:space="0"/>
            </w:tcBorders>
            <w:vAlign w:val="center"/>
          </w:tcPr>
          <w:p w14:paraId="438955B5">
            <w:pPr>
              <w:spacing w:line="320" w:lineRule="exact"/>
              <w:jc w:val="center"/>
              <w:rPr>
                <w:color w:val="000000"/>
                <w:sz w:val="21"/>
              </w:rPr>
            </w:pPr>
            <w:r>
              <w:rPr>
                <w:color w:val="000000"/>
                <w:sz w:val="21"/>
              </w:rPr>
              <w:t>流量</w:t>
            </w:r>
          </w:p>
          <w:p w14:paraId="44A65A56">
            <w:pPr>
              <w:spacing w:line="320" w:lineRule="exact"/>
              <w:jc w:val="center"/>
              <w:rPr>
                <w:color w:val="000000"/>
                <w:sz w:val="21"/>
              </w:rPr>
            </w:pPr>
            <w:r>
              <w:rPr>
                <w:color w:val="000000"/>
                <w:sz w:val="21"/>
              </w:rPr>
              <w:t>（t/h）</w:t>
            </w:r>
          </w:p>
        </w:tc>
        <w:tc>
          <w:tcPr>
            <w:tcW w:w="1231" w:type="dxa"/>
            <w:vMerge w:val="restart"/>
            <w:tcBorders>
              <w:top w:val="single" w:color="auto" w:sz="2" w:space="0"/>
              <w:left w:val="single" w:color="auto" w:sz="4" w:space="0"/>
              <w:bottom w:val="single" w:color="auto" w:sz="4" w:space="0"/>
              <w:right w:val="single" w:color="auto" w:sz="4" w:space="0"/>
            </w:tcBorders>
            <w:vAlign w:val="center"/>
          </w:tcPr>
          <w:p w14:paraId="31A6977B">
            <w:pPr>
              <w:spacing w:line="320" w:lineRule="exact"/>
              <w:jc w:val="center"/>
              <w:rPr>
                <w:color w:val="000000"/>
                <w:sz w:val="21"/>
              </w:rPr>
            </w:pPr>
            <w:r>
              <w:rPr>
                <w:color w:val="000000"/>
                <w:sz w:val="21"/>
              </w:rPr>
              <w:t>扬程</w:t>
            </w:r>
          </w:p>
          <w:p w14:paraId="657BE5D3">
            <w:pPr>
              <w:spacing w:line="320" w:lineRule="exact"/>
              <w:jc w:val="center"/>
              <w:rPr>
                <w:color w:val="000000"/>
                <w:sz w:val="21"/>
              </w:rPr>
            </w:pPr>
            <w:r>
              <w:rPr>
                <w:color w:val="000000"/>
                <w:sz w:val="21"/>
              </w:rPr>
              <w:t>（mLNG）</w:t>
            </w:r>
          </w:p>
        </w:tc>
        <w:tc>
          <w:tcPr>
            <w:tcW w:w="940" w:type="dxa"/>
            <w:vMerge w:val="restart"/>
            <w:tcBorders>
              <w:top w:val="single" w:color="auto" w:sz="2" w:space="0"/>
              <w:left w:val="single" w:color="auto" w:sz="4" w:space="0"/>
              <w:bottom w:val="single" w:color="auto" w:sz="4" w:space="0"/>
              <w:right w:val="single" w:color="auto" w:sz="4" w:space="0"/>
            </w:tcBorders>
            <w:vAlign w:val="center"/>
          </w:tcPr>
          <w:p w14:paraId="595419D2">
            <w:pPr>
              <w:spacing w:line="320" w:lineRule="exact"/>
              <w:jc w:val="center"/>
              <w:rPr>
                <w:color w:val="000000"/>
                <w:sz w:val="21"/>
              </w:rPr>
            </w:pPr>
            <w:r>
              <w:rPr>
                <w:color w:val="000000"/>
                <w:sz w:val="21"/>
              </w:rPr>
              <w:t>功率</w:t>
            </w:r>
          </w:p>
          <w:p w14:paraId="74989C92">
            <w:pPr>
              <w:spacing w:line="320" w:lineRule="exact"/>
              <w:jc w:val="center"/>
              <w:rPr>
                <w:color w:val="000000"/>
                <w:sz w:val="21"/>
              </w:rPr>
            </w:pPr>
            <w:r>
              <w:rPr>
                <w:color w:val="000000"/>
                <w:sz w:val="21"/>
              </w:rPr>
              <w:t>（kW）</w:t>
            </w:r>
          </w:p>
        </w:tc>
        <w:tc>
          <w:tcPr>
            <w:tcW w:w="2850" w:type="dxa"/>
            <w:gridSpan w:val="3"/>
            <w:tcBorders>
              <w:top w:val="single" w:color="auto" w:sz="2" w:space="0"/>
              <w:left w:val="single" w:color="auto" w:sz="4" w:space="0"/>
              <w:bottom w:val="single" w:color="auto" w:sz="4" w:space="0"/>
              <w:right w:val="single" w:color="auto" w:sz="4" w:space="0"/>
            </w:tcBorders>
            <w:vAlign w:val="center"/>
          </w:tcPr>
          <w:p w14:paraId="0DF70BCE">
            <w:pPr>
              <w:spacing w:line="320" w:lineRule="exact"/>
              <w:jc w:val="center"/>
              <w:rPr>
                <w:color w:val="000000"/>
                <w:sz w:val="21"/>
              </w:rPr>
            </w:pPr>
            <w:r>
              <w:rPr>
                <w:color w:val="000000"/>
                <w:sz w:val="21"/>
              </w:rPr>
              <w:t>压力（MPaG）</w:t>
            </w:r>
          </w:p>
        </w:tc>
        <w:tc>
          <w:tcPr>
            <w:tcW w:w="1977" w:type="dxa"/>
            <w:gridSpan w:val="2"/>
            <w:tcBorders>
              <w:top w:val="single" w:color="auto" w:sz="2" w:space="0"/>
              <w:left w:val="single" w:color="auto" w:sz="4" w:space="0"/>
              <w:bottom w:val="single" w:color="auto" w:sz="4" w:space="0"/>
              <w:right w:val="single" w:color="auto" w:sz="2" w:space="0"/>
            </w:tcBorders>
            <w:vAlign w:val="center"/>
          </w:tcPr>
          <w:p w14:paraId="53E63078">
            <w:pPr>
              <w:spacing w:line="320" w:lineRule="exact"/>
              <w:jc w:val="center"/>
              <w:rPr>
                <w:color w:val="000000"/>
                <w:sz w:val="21"/>
              </w:rPr>
            </w:pPr>
            <w:r>
              <w:rPr>
                <w:color w:val="000000"/>
                <w:sz w:val="21"/>
              </w:rPr>
              <w:t>温度（℃）</w:t>
            </w:r>
          </w:p>
        </w:tc>
      </w:tr>
      <w:tr w14:paraId="503E81A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91" w:type="dxa"/>
            <w:vMerge w:val="continue"/>
            <w:tcBorders>
              <w:top w:val="single" w:color="auto" w:sz="4" w:space="0"/>
              <w:left w:val="single" w:color="auto" w:sz="2" w:space="0"/>
              <w:bottom w:val="single" w:color="auto" w:sz="4" w:space="0"/>
              <w:right w:val="single" w:color="auto" w:sz="4" w:space="0"/>
            </w:tcBorders>
            <w:vAlign w:val="center"/>
          </w:tcPr>
          <w:p w14:paraId="3808F421">
            <w:pPr>
              <w:spacing w:line="320" w:lineRule="exact"/>
              <w:jc w:val="center"/>
              <w:rPr>
                <w:color w:val="000000"/>
                <w:sz w:val="21"/>
              </w:rPr>
            </w:pPr>
          </w:p>
        </w:tc>
        <w:tc>
          <w:tcPr>
            <w:tcW w:w="858" w:type="dxa"/>
            <w:vMerge w:val="continue"/>
            <w:tcBorders>
              <w:top w:val="single" w:color="auto" w:sz="4" w:space="0"/>
              <w:left w:val="single" w:color="auto" w:sz="4" w:space="0"/>
              <w:bottom w:val="single" w:color="auto" w:sz="4" w:space="0"/>
              <w:right w:val="single" w:color="auto" w:sz="4" w:space="0"/>
            </w:tcBorders>
            <w:vAlign w:val="center"/>
          </w:tcPr>
          <w:p w14:paraId="08684891">
            <w:pPr>
              <w:spacing w:line="320" w:lineRule="exact"/>
              <w:jc w:val="center"/>
              <w:rPr>
                <w:color w:val="000000"/>
                <w:sz w:val="21"/>
              </w:rPr>
            </w:pPr>
          </w:p>
        </w:tc>
        <w:tc>
          <w:tcPr>
            <w:tcW w:w="1231" w:type="dxa"/>
            <w:vMerge w:val="continue"/>
            <w:tcBorders>
              <w:top w:val="single" w:color="auto" w:sz="4" w:space="0"/>
              <w:left w:val="single" w:color="auto" w:sz="4" w:space="0"/>
              <w:bottom w:val="single" w:color="auto" w:sz="4" w:space="0"/>
              <w:right w:val="single" w:color="auto" w:sz="4" w:space="0"/>
            </w:tcBorders>
            <w:vAlign w:val="center"/>
          </w:tcPr>
          <w:p w14:paraId="48C79EED">
            <w:pPr>
              <w:spacing w:line="320" w:lineRule="exact"/>
              <w:jc w:val="center"/>
              <w:rPr>
                <w:color w:val="000000"/>
                <w:sz w:val="21"/>
              </w:rPr>
            </w:pPr>
          </w:p>
        </w:tc>
        <w:tc>
          <w:tcPr>
            <w:tcW w:w="940" w:type="dxa"/>
            <w:vMerge w:val="continue"/>
            <w:tcBorders>
              <w:top w:val="single" w:color="auto" w:sz="4" w:space="0"/>
              <w:left w:val="single" w:color="auto" w:sz="4" w:space="0"/>
              <w:bottom w:val="single" w:color="auto" w:sz="4" w:space="0"/>
              <w:right w:val="single" w:color="auto" w:sz="4" w:space="0"/>
            </w:tcBorders>
            <w:vAlign w:val="center"/>
          </w:tcPr>
          <w:p w14:paraId="3762CE0B">
            <w:pPr>
              <w:spacing w:line="320" w:lineRule="exact"/>
              <w:jc w:val="center"/>
              <w:rPr>
                <w:color w:val="000000"/>
                <w:sz w:val="21"/>
              </w:rPr>
            </w:pPr>
          </w:p>
        </w:tc>
        <w:tc>
          <w:tcPr>
            <w:tcW w:w="957" w:type="dxa"/>
            <w:tcBorders>
              <w:top w:val="single" w:color="auto" w:sz="4" w:space="0"/>
              <w:left w:val="single" w:color="auto" w:sz="4" w:space="0"/>
              <w:bottom w:val="single" w:color="auto" w:sz="4" w:space="0"/>
              <w:right w:val="single" w:color="auto" w:sz="4" w:space="0"/>
            </w:tcBorders>
            <w:vAlign w:val="center"/>
          </w:tcPr>
          <w:p w14:paraId="6F1F4861">
            <w:pPr>
              <w:spacing w:line="320" w:lineRule="exact"/>
              <w:jc w:val="center"/>
              <w:rPr>
                <w:color w:val="000000"/>
                <w:sz w:val="21"/>
              </w:rPr>
            </w:pPr>
            <w:r>
              <w:rPr>
                <w:color w:val="000000"/>
                <w:sz w:val="21"/>
              </w:rPr>
              <w:t>吸入压力</w:t>
            </w:r>
          </w:p>
        </w:tc>
        <w:tc>
          <w:tcPr>
            <w:tcW w:w="936" w:type="dxa"/>
            <w:tcBorders>
              <w:top w:val="single" w:color="auto" w:sz="4" w:space="0"/>
              <w:left w:val="single" w:color="auto" w:sz="4" w:space="0"/>
              <w:bottom w:val="single" w:color="auto" w:sz="4" w:space="0"/>
              <w:right w:val="single" w:color="auto" w:sz="4" w:space="0"/>
            </w:tcBorders>
            <w:vAlign w:val="center"/>
          </w:tcPr>
          <w:p w14:paraId="6ADB7307">
            <w:pPr>
              <w:spacing w:line="320" w:lineRule="exact"/>
              <w:jc w:val="center"/>
              <w:rPr>
                <w:color w:val="000000"/>
                <w:sz w:val="21"/>
              </w:rPr>
            </w:pPr>
            <w:r>
              <w:rPr>
                <w:color w:val="000000"/>
                <w:sz w:val="21"/>
              </w:rPr>
              <w:t>排出压力</w:t>
            </w:r>
          </w:p>
        </w:tc>
        <w:tc>
          <w:tcPr>
            <w:tcW w:w="957" w:type="dxa"/>
            <w:tcBorders>
              <w:top w:val="single" w:color="auto" w:sz="4" w:space="0"/>
              <w:left w:val="single" w:color="auto" w:sz="4" w:space="0"/>
              <w:bottom w:val="single" w:color="auto" w:sz="4" w:space="0"/>
              <w:right w:val="single" w:color="auto" w:sz="4" w:space="0"/>
            </w:tcBorders>
            <w:vAlign w:val="center"/>
          </w:tcPr>
          <w:p w14:paraId="027A8332">
            <w:pPr>
              <w:spacing w:line="320" w:lineRule="exact"/>
              <w:jc w:val="center"/>
              <w:rPr>
                <w:color w:val="000000"/>
                <w:sz w:val="21"/>
              </w:rPr>
            </w:pPr>
            <w:r>
              <w:rPr>
                <w:color w:val="000000"/>
                <w:sz w:val="21"/>
              </w:rPr>
              <w:t>设计压力</w:t>
            </w:r>
          </w:p>
        </w:tc>
        <w:tc>
          <w:tcPr>
            <w:tcW w:w="961" w:type="dxa"/>
            <w:tcBorders>
              <w:top w:val="single" w:color="auto" w:sz="4" w:space="0"/>
              <w:left w:val="single" w:color="auto" w:sz="4" w:space="0"/>
              <w:bottom w:val="single" w:color="auto" w:sz="4" w:space="0"/>
              <w:right w:val="single" w:color="auto" w:sz="4" w:space="0"/>
            </w:tcBorders>
            <w:vAlign w:val="center"/>
          </w:tcPr>
          <w:p w14:paraId="2EB73CFE">
            <w:pPr>
              <w:spacing w:line="320" w:lineRule="exact"/>
              <w:jc w:val="center"/>
              <w:rPr>
                <w:color w:val="000000"/>
                <w:sz w:val="21"/>
              </w:rPr>
            </w:pPr>
            <w:r>
              <w:rPr>
                <w:color w:val="000000"/>
                <w:sz w:val="21"/>
              </w:rPr>
              <w:t>操作温度</w:t>
            </w:r>
          </w:p>
        </w:tc>
        <w:tc>
          <w:tcPr>
            <w:tcW w:w="1016" w:type="dxa"/>
            <w:tcBorders>
              <w:top w:val="single" w:color="auto" w:sz="4" w:space="0"/>
              <w:left w:val="single" w:color="auto" w:sz="4" w:space="0"/>
              <w:bottom w:val="single" w:color="auto" w:sz="4" w:space="0"/>
              <w:right w:val="single" w:color="auto" w:sz="2" w:space="0"/>
            </w:tcBorders>
            <w:vAlign w:val="center"/>
          </w:tcPr>
          <w:p w14:paraId="6F8E45B3">
            <w:pPr>
              <w:spacing w:line="320" w:lineRule="exact"/>
              <w:jc w:val="center"/>
              <w:rPr>
                <w:color w:val="000000"/>
                <w:sz w:val="21"/>
              </w:rPr>
            </w:pPr>
            <w:r>
              <w:rPr>
                <w:color w:val="000000"/>
                <w:sz w:val="21"/>
              </w:rPr>
              <w:t>设计温度</w:t>
            </w:r>
          </w:p>
        </w:tc>
      </w:tr>
      <w:tr w14:paraId="66A053B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91" w:type="dxa"/>
            <w:tcBorders>
              <w:top w:val="single" w:color="auto" w:sz="4" w:space="0"/>
              <w:left w:val="single" w:color="auto" w:sz="2" w:space="0"/>
              <w:bottom w:val="single" w:color="auto" w:sz="2" w:space="0"/>
              <w:right w:val="single" w:color="auto" w:sz="4" w:space="0"/>
            </w:tcBorders>
            <w:vAlign w:val="center"/>
          </w:tcPr>
          <w:p w14:paraId="3292CB5E">
            <w:pPr>
              <w:spacing w:line="320" w:lineRule="exact"/>
              <w:jc w:val="center"/>
              <w:rPr>
                <w:color w:val="000000"/>
                <w:sz w:val="21"/>
              </w:rPr>
            </w:pPr>
            <w:r>
              <w:rPr>
                <w:color w:val="000000"/>
                <w:sz w:val="21"/>
              </w:rPr>
              <w:t>立式离心泵</w:t>
            </w:r>
          </w:p>
        </w:tc>
        <w:tc>
          <w:tcPr>
            <w:tcW w:w="858" w:type="dxa"/>
            <w:tcBorders>
              <w:top w:val="single" w:color="auto" w:sz="4" w:space="0"/>
              <w:left w:val="single" w:color="auto" w:sz="4" w:space="0"/>
              <w:bottom w:val="single" w:color="auto" w:sz="2" w:space="0"/>
              <w:right w:val="single" w:color="auto" w:sz="4" w:space="0"/>
            </w:tcBorders>
            <w:vAlign w:val="center"/>
          </w:tcPr>
          <w:p w14:paraId="66BD3B6E">
            <w:pPr>
              <w:spacing w:line="320" w:lineRule="exact"/>
              <w:jc w:val="center"/>
              <w:rPr>
                <w:color w:val="000000"/>
                <w:sz w:val="21"/>
              </w:rPr>
            </w:pPr>
            <w:r>
              <w:rPr>
                <w:color w:val="000000"/>
                <w:sz w:val="21"/>
              </w:rPr>
              <w:t>28.329</w:t>
            </w:r>
          </w:p>
        </w:tc>
        <w:tc>
          <w:tcPr>
            <w:tcW w:w="1231" w:type="dxa"/>
            <w:tcBorders>
              <w:top w:val="single" w:color="auto" w:sz="4" w:space="0"/>
              <w:left w:val="single" w:color="auto" w:sz="4" w:space="0"/>
              <w:bottom w:val="single" w:color="auto" w:sz="2" w:space="0"/>
              <w:right w:val="single" w:color="auto" w:sz="4" w:space="0"/>
            </w:tcBorders>
            <w:vAlign w:val="center"/>
          </w:tcPr>
          <w:p w14:paraId="6A87FD23">
            <w:pPr>
              <w:spacing w:line="320" w:lineRule="exact"/>
              <w:jc w:val="center"/>
              <w:rPr>
                <w:color w:val="000000"/>
                <w:sz w:val="21"/>
              </w:rPr>
            </w:pPr>
            <w:r>
              <w:rPr>
                <w:color w:val="000000"/>
                <w:sz w:val="21"/>
              </w:rPr>
              <w:t>H=253</w:t>
            </w:r>
          </w:p>
        </w:tc>
        <w:tc>
          <w:tcPr>
            <w:tcW w:w="940" w:type="dxa"/>
            <w:tcBorders>
              <w:top w:val="single" w:color="auto" w:sz="4" w:space="0"/>
              <w:left w:val="single" w:color="auto" w:sz="4" w:space="0"/>
              <w:bottom w:val="single" w:color="auto" w:sz="2" w:space="0"/>
              <w:right w:val="single" w:color="auto" w:sz="4" w:space="0"/>
            </w:tcBorders>
            <w:vAlign w:val="center"/>
          </w:tcPr>
          <w:p w14:paraId="31B94D35">
            <w:pPr>
              <w:spacing w:line="320" w:lineRule="exact"/>
              <w:jc w:val="center"/>
              <w:rPr>
                <w:color w:val="000000"/>
                <w:sz w:val="21"/>
              </w:rPr>
            </w:pPr>
            <w:r>
              <w:rPr>
                <w:color w:val="000000"/>
                <w:sz w:val="21"/>
              </w:rPr>
              <w:t>60</w:t>
            </w:r>
          </w:p>
        </w:tc>
        <w:tc>
          <w:tcPr>
            <w:tcW w:w="957" w:type="dxa"/>
            <w:tcBorders>
              <w:top w:val="single" w:color="auto" w:sz="4" w:space="0"/>
              <w:left w:val="single" w:color="auto" w:sz="4" w:space="0"/>
              <w:bottom w:val="single" w:color="auto" w:sz="2" w:space="0"/>
              <w:right w:val="single" w:color="auto" w:sz="4" w:space="0"/>
            </w:tcBorders>
            <w:vAlign w:val="center"/>
          </w:tcPr>
          <w:p w14:paraId="2CC4A438">
            <w:pPr>
              <w:spacing w:line="320" w:lineRule="exact"/>
              <w:jc w:val="center"/>
              <w:rPr>
                <w:color w:val="000000"/>
                <w:sz w:val="21"/>
              </w:rPr>
            </w:pPr>
            <w:r>
              <w:rPr>
                <w:color w:val="000000"/>
                <w:sz w:val="21"/>
              </w:rPr>
              <w:t>0.15</w:t>
            </w:r>
          </w:p>
        </w:tc>
        <w:tc>
          <w:tcPr>
            <w:tcW w:w="936" w:type="dxa"/>
            <w:tcBorders>
              <w:top w:val="single" w:color="auto" w:sz="4" w:space="0"/>
              <w:left w:val="single" w:color="auto" w:sz="4" w:space="0"/>
              <w:bottom w:val="single" w:color="auto" w:sz="2" w:space="0"/>
              <w:right w:val="single" w:color="auto" w:sz="4" w:space="0"/>
            </w:tcBorders>
            <w:vAlign w:val="center"/>
          </w:tcPr>
          <w:p w14:paraId="31DBDF72">
            <w:pPr>
              <w:spacing w:line="320" w:lineRule="exact"/>
              <w:jc w:val="center"/>
              <w:rPr>
                <w:color w:val="000000"/>
                <w:sz w:val="21"/>
              </w:rPr>
            </w:pPr>
            <w:r>
              <w:rPr>
                <w:color w:val="000000"/>
                <w:sz w:val="21"/>
              </w:rPr>
              <w:t>1.0</w:t>
            </w:r>
          </w:p>
        </w:tc>
        <w:tc>
          <w:tcPr>
            <w:tcW w:w="957" w:type="dxa"/>
            <w:tcBorders>
              <w:top w:val="single" w:color="auto" w:sz="4" w:space="0"/>
              <w:left w:val="single" w:color="auto" w:sz="4" w:space="0"/>
              <w:bottom w:val="single" w:color="auto" w:sz="2" w:space="0"/>
              <w:right w:val="single" w:color="auto" w:sz="4" w:space="0"/>
            </w:tcBorders>
            <w:vAlign w:val="center"/>
          </w:tcPr>
          <w:p w14:paraId="41864BEA">
            <w:pPr>
              <w:spacing w:line="320" w:lineRule="exact"/>
              <w:jc w:val="center"/>
              <w:rPr>
                <w:color w:val="000000"/>
                <w:sz w:val="21"/>
              </w:rPr>
            </w:pPr>
            <w:r>
              <w:rPr>
                <w:color w:val="000000"/>
                <w:sz w:val="21"/>
              </w:rPr>
              <w:t>1.79</w:t>
            </w:r>
          </w:p>
        </w:tc>
        <w:tc>
          <w:tcPr>
            <w:tcW w:w="961" w:type="dxa"/>
            <w:tcBorders>
              <w:top w:val="single" w:color="auto" w:sz="4" w:space="0"/>
              <w:left w:val="single" w:color="auto" w:sz="4" w:space="0"/>
              <w:bottom w:val="single" w:color="auto" w:sz="2" w:space="0"/>
              <w:right w:val="single" w:color="auto" w:sz="4" w:space="0"/>
            </w:tcBorders>
            <w:vAlign w:val="center"/>
          </w:tcPr>
          <w:p w14:paraId="1B0AD055">
            <w:pPr>
              <w:spacing w:line="320" w:lineRule="exact"/>
              <w:jc w:val="center"/>
              <w:rPr>
                <w:color w:val="000000"/>
                <w:sz w:val="21"/>
              </w:rPr>
            </w:pPr>
            <w:r>
              <w:rPr>
                <w:color w:val="000000"/>
                <w:sz w:val="21"/>
              </w:rPr>
              <w:t>-162</w:t>
            </w:r>
          </w:p>
        </w:tc>
        <w:tc>
          <w:tcPr>
            <w:tcW w:w="1016" w:type="dxa"/>
            <w:tcBorders>
              <w:top w:val="single" w:color="auto" w:sz="4" w:space="0"/>
              <w:left w:val="single" w:color="auto" w:sz="4" w:space="0"/>
              <w:bottom w:val="single" w:color="auto" w:sz="2" w:space="0"/>
              <w:right w:val="single" w:color="auto" w:sz="2" w:space="0"/>
            </w:tcBorders>
            <w:vAlign w:val="center"/>
          </w:tcPr>
          <w:p w14:paraId="7C367228">
            <w:pPr>
              <w:spacing w:line="320" w:lineRule="exact"/>
              <w:jc w:val="center"/>
              <w:rPr>
                <w:color w:val="000000"/>
                <w:sz w:val="21"/>
              </w:rPr>
            </w:pPr>
            <w:r>
              <w:rPr>
                <w:color w:val="000000"/>
                <w:sz w:val="21"/>
              </w:rPr>
              <w:t>-180/38</w:t>
            </w:r>
          </w:p>
        </w:tc>
      </w:tr>
    </w:tbl>
    <w:p w14:paraId="7EACA234">
      <w:pPr>
        <w:spacing w:line="240" w:lineRule="auto"/>
        <w:jc w:val="center"/>
        <w:rPr>
          <w:color w:val="000000"/>
          <w:kern w:val="0"/>
          <w:sz w:val="21"/>
        </w:rPr>
      </w:pPr>
    </w:p>
    <w:p w14:paraId="15FB0A29">
      <w:pPr>
        <w:ind w:firstLine="480"/>
        <w:rPr>
          <w:color w:val="000000"/>
          <w:szCs w:val="24"/>
        </w:rPr>
      </w:pPr>
      <w:r>
        <w:rPr>
          <w:color w:val="000000"/>
          <w:szCs w:val="24"/>
        </w:rPr>
        <w:t>（3）闪蒸汽（BOG）压缩机</w:t>
      </w:r>
    </w:p>
    <w:p w14:paraId="19259429">
      <w:pPr>
        <w:spacing w:line="240" w:lineRule="auto"/>
        <w:jc w:val="center"/>
        <w:rPr>
          <w:color w:val="000000"/>
          <w:sz w:val="21"/>
        </w:rPr>
      </w:pPr>
      <w:r>
        <w:rPr>
          <w:color w:val="000000"/>
          <w:sz w:val="21"/>
        </w:rPr>
        <w:t>表2.2.5.1-3   BOG压缩机参数</w:t>
      </w:r>
    </w:p>
    <w:tbl>
      <w:tblPr>
        <w:tblStyle w:val="73"/>
        <w:tblW w:w="0" w:type="auto"/>
        <w:tblInd w:w="0" w:type="dxa"/>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6"/>
        <w:gridCol w:w="2237"/>
        <w:gridCol w:w="2237"/>
        <w:gridCol w:w="2237"/>
      </w:tblGrid>
      <w:tr w14:paraId="3CB6B2F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c>
          <w:tcPr>
            <w:tcW w:w="2236" w:type="dxa"/>
            <w:tcBorders>
              <w:top w:val="single" w:color="auto" w:sz="2" w:space="0"/>
              <w:left w:val="single" w:color="auto" w:sz="2" w:space="0"/>
              <w:bottom w:val="single" w:color="auto" w:sz="4" w:space="0"/>
              <w:right w:val="single" w:color="auto" w:sz="4" w:space="0"/>
            </w:tcBorders>
          </w:tcPr>
          <w:p w14:paraId="0429047F">
            <w:pPr>
              <w:spacing w:line="240" w:lineRule="auto"/>
              <w:jc w:val="center"/>
              <w:rPr>
                <w:color w:val="000000"/>
                <w:sz w:val="21"/>
              </w:rPr>
            </w:pPr>
            <w:r>
              <w:rPr>
                <w:color w:val="000000"/>
                <w:sz w:val="21"/>
              </w:rPr>
              <w:t>参数</w:t>
            </w:r>
          </w:p>
        </w:tc>
        <w:tc>
          <w:tcPr>
            <w:tcW w:w="2237" w:type="dxa"/>
            <w:tcBorders>
              <w:top w:val="single" w:color="auto" w:sz="2" w:space="0"/>
              <w:left w:val="single" w:color="auto" w:sz="4" w:space="0"/>
              <w:bottom w:val="single" w:color="auto" w:sz="4" w:space="0"/>
              <w:right w:val="single" w:color="auto" w:sz="4" w:space="0"/>
            </w:tcBorders>
          </w:tcPr>
          <w:p w14:paraId="359A275B">
            <w:pPr>
              <w:spacing w:line="240" w:lineRule="auto"/>
              <w:jc w:val="center"/>
              <w:rPr>
                <w:color w:val="000000"/>
                <w:sz w:val="21"/>
              </w:rPr>
            </w:pPr>
            <w:r>
              <w:rPr>
                <w:color w:val="000000"/>
                <w:sz w:val="21"/>
              </w:rPr>
              <w:t>一级出口</w:t>
            </w:r>
          </w:p>
        </w:tc>
        <w:tc>
          <w:tcPr>
            <w:tcW w:w="2237" w:type="dxa"/>
            <w:tcBorders>
              <w:top w:val="single" w:color="auto" w:sz="2" w:space="0"/>
              <w:left w:val="single" w:color="auto" w:sz="4" w:space="0"/>
              <w:bottom w:val="single" w:color="auto" w:sz="4" w:space="0"/>
              <w:right w:val="single" w:color="auto" w:sz="4" w:space="0"/>
            </w:tcBorders>
          </w:tcPr>
          <w:p w14:paraId="15BD613E">
            <w:pPr>
              <w:spacing w:line="240" w:lineRule="auto"/>
              <w:jc w:val="center"/>
              <w:rPr>
                <w:color w:val="000000"/>
                <w:sz w:val="21"/>
              </w:rPr>
            </w:pPr>
            <w:r>
              <w:rPr>
                <w:color w:val="000000"/>
                <w:sz w:val="21"/>
              </w:rPr>
              <w:t>二级出口</w:t>
            </w:r>
          </w:p>
        </w:tc>
        <w:tc>
          <w:tcPr>
            <w:tcW w:w="2237" w:type="dxa"/>
            <w:tcBorders>
              <w:top w:val="single" w:color="auto" w:sz="2" w:space="0"/>
              <w:left w:val="single" w:color="auto" w:sz="4" w:space="0"/>
              <w:bottom w:val="single" w:color="auto" w:sz="4" w:space="0"/>
              <w:right w:val="single" w:color="auto" w:sz="2" w:space="0"/>
            </w:tcBorders>
          </w:tcPr>
          <w:p w14:paraId="5FA585AC">
            <w:pPr>
              <w:spacing w:line="240" w:lineRule="auto"/>
              <w:jc w:val="center"/>
              <w:rPr>
                <w:color w:val="000000"/>
                <w:sz w:val="21"/>
              </w:rPr>
            </w:pPr>
            <w:r>
              <w:rPr>
                <w:color w:val="000000"/>
                <w:sz w:val="21"/>
              </w:rPr>
              <w:t>三级出口</w:t>
            </w:r>
          </w:p>
        </w:tc>
      </w:tr>
      <w:tr w14:paraId="6E8F437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c>
          <w:tcPr>
            <w:tcW w:w="2236" w:type="dxa"/>
            <w:tcBorders>
              <w:top w:val="single" w:color="auto" w:sz="4" w:space="0"/>
              <w:left w:val="single" w:color="auto" w:sz="2" w:space="0"/>
              <w:bottom w:val="single" w:color="auto" w:sz="4" w:space="0"/>
              <w:right w:val="single" w:color="auto" w:sz="4" w:space="0"/>
            </w:tcBorders>
          </w:tcPr>
          <w:p w14:paraId="19E0C878">
            <w:pPr>
              <w:spacing w:line="240" w:lineRule="auto"/>
              <w:jc w:val="center"/>
              <w:rPr>
                <w:color w:val="000000"/>
                <w:sz w:val="21"/>
              </w:rPr>
            </w:pPr>
            <w:r>
              <w:rPr>
                <w:color w:val="000000"/>
                <w:sz w:val="21"/>
              </w:rPr>
              <w:t>压力    MPaG</w:t>
            </w:r>
          </w:p>
        </w:tc>
        <w:tc>
          <w:tcPr>
            <w:tcW w:w="2237" w:type="dxa"/>
            <w:tcBorders>
              <w:top w:val="single" w:color="auto" w:sz="4" w:space="0"/>
              <w:left w:val="single" w:color="auto" w:sz="4" w:space="0"/>
              <w:bottom w:val="single" w:color="auto" w:sz="4" w:space="0"/>
              <w:right w:val="single" w:color="auto" w:sz="4" w:space="0"/>
            </w:tcBorders>
          </w:tcPr>
          <w:p w14:paraId="77A8BC74">
            <w:pPr>
              <w:spacing w:line="240" w:lineRule="auto"/>
              <w:jc w:val="center"/>
              <w:rPr>
                <w:color w:val="000000"/>
                <w:sz w:val="21"/>
              </w:rPr>
            </w:pPr>
            <w:r>
              <w:rPr>
                <w:color w:val="000000"/>
                <w:sz w:val="21"/>
              </w:rPr>
              <w:t>0.3</w:t>
            </w:r>
          </w:p>
        </w:tc>
        <w:tc>
          <w:tcPr>
            <w:tcW w:w="2237" w:type="dxa"/>
            <w:tcBorders>
              <w:top w:val="single" w:color="auto" w:sz="4" w:space="0"/>
              <w:left w:val="single" w:color="auto" w:sz="4" w:space="0"/>
              <w:bottom w:val="single" w:color="auto" w:sz="4" w:space="0"/>
              <w:right w:val="single" w:color="auto" w:sz="4" w:space="0"/>
            </w:tcBorders>
          </w:tcPr>
          <w:p w14:paraId="6FBE4C04">
            <w:pPr>
              <w:spacing w:line="240" w:lineRule="auto"/>
              <w:jc w:val="center"/>
              <w:rPr>
                <w:color w:val="000000"/>
                <w:sz w:val="21"/>
              </w:rPr>
            </w:pPr>
            <w:r>
              <w:rPr>
                <w:color w:val="000000"/>
                <w:sz w:val="21"/>
              </w:rPr>
              <w:t>0.75</w:t>
            </w:r>
          </w:p>
        </w:tc>
        <w:tc>
          <w:tcPr>
            <w:tcW w:w="2237" w:type="dxa"/>
            <w:tcBorders>
              <w:top w:val="single" w:color="auto" w:sz="4" w:space="0"/>
              <w:left w:val="single" w:color="auto" w:sz="4" w:space="0"/>
              <w:bottom w:val="single" w:color="auto" w:sz="4" w:space="0"/>
              <w:right w:val="single" w:color="auto" w:sz="2" w:space="0"/>
            </w:tcBorders>
          </w:tcPr>
          <w:p w14:paraId="74C46AEE">
            <w:pPr>
              <w:spacing w:line="240" w:lineRule="auto"/>
              <w:jc w:val="center"/>
              <w:rPr>
                <w:color w:val="000000"/>
                <w:sz w:val="21"/>
              </w:rPr>
            </w:pPr>
            <w:r>
              <w:rPr>
                <w:color w:val="000000"/>
                <w:sz w:val="21"/>
              </w:rPr>
              <w:t>1.8</w:t>
            </w:r>
          </w:p>
        </w:tc>
      </w:tr>
      <w:tr w14:paraId="5539775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c>
          <w:tcPr>
            <w:tcW w:w="2236" w:type="dxa"/>
            <w:tcBorders>
              <w:top w:val="single" w:color="auto" w:sz="4" w:space="0"/>
              <w:left w:val="single" w:color="auto" w:sz="2" w:space="0"/>
              <w:bottom w:val="single" w:color="auto" w:sz="4" w:space="0"/>
              <w:right w:val="single" w:color="auto" w:sz="4" w:space="0"/>
            </w:tcBorders>
          </w:tcPr>
          <w:p w14:paraId="78955614">
            <w:pPr>
              <w:spacing w:line="240" w:lineRule="auto"/>
              <w:jc w:val="center"/>
              <w:rPr>
                <w:color w:val="000000"/>
                <w:sz w:val="21"/>
              </w:rPr>
            </w:pPr>
            <w:r>
              <w:rPr>
                <w:color w:val="000000"/>
                <w:sz w:val="21"/>
              </w:rPr>
              <w:t>温度    ℃</w:t>
            </w:r>
          </w:p>
        </w:tc>
        <w:tc>
          <w:tcPr>
            <w:tcW w:w="2237" w:type="dxa"/>
            <w:tcBorders>
              <w:top w:val="single" w:color="auto" w:sz="4" w:space="0"/>
              <w:left w:val="single" w:color="auto" w:sz="4" w:space="0"/>
              <w:bottom w:val="single" w:color="auto" w:sz="4" w:space="0"/>
              <w:right w:val="single" w:color="auto" w:sz="4" w:space="0"/>
            </w:tcBorders>
          </w:tcPr>
          <w:p w14:paraId="010505A7">
            <w:pPr>
              <w:spacing w:line="240" w:lineRule="auto"/>
              <w:jc w:val="center"/>
              <w:rPr>
                <w:color w:val="000000"/>
                <w:sz w:val="21"/>
              </w:rPr>
            </w:pPr>
            <w:r>
              <w:rPr>
                <w:color w:val="000000"/>
                <w:sz w:val="21"/>
              </w:rPr>
              <w:t>122.7</w:t>
            </w:r>
          </w:p>
        </w:tc>
        <w:tc>
          <w:tcPr>
            <w:tcW w:w="2237" w:type="dxa"/>
            <w:tcBorders>
              <w:top w:val="single" w:color="auto" w:sz="4" w:space="0"/>
              <w:left w:val="single" w:color="auto" w:sz="4" w:space="0"/>
              <w:bottom w:val="single" w:color="auto" w:sz="4" w:space="0"/>
              <w:right w:val="single" w:color="auto" w:sz="4" w:space="0"/>
            </w:tcBorders>
          </w:tcPr>
          <w:p w14:paraId="23ADC9AB">
            <w:pPr>
              <w:spacing w:line="240" w:lineRule="auto"/>
              <w:jc w:val="center"/>
              <w:rPr>
                <w:color w:val="000000"/>
                <w:sz w:val="21"/>
              </w:rPr>
            </w:pPr>
            <w:r>
              <w:rPr>
                <w:color w:val="000000"/>
                <w:sz w:val="21"/>
              </w:rPr>
              <w:t>114.4</w:t>
            </w:r>
          </w:p>
        </w:tc>
        <w:tc>
          <w:tcPr>
            <w:tcW w:w="2237" w:type="dxa"/>
            <w:tcBorders>
              <w:top w:val="single" w:color="auto" w:sz="4" w:space="0"/>
              <w:left w:val="single" w:color="auto" w:sz="4" w:space="0"/>
              <w:bottom w:val="single" w:color="auto" w:sz="4" w:space="0"/>
              <w:right w:val="single" w:color="auto" w:sz="2" w:space="0"/>
            </w:tcBorders>
          </w:tcPr>
          <w:p w14:paraId="4566E982">
            <w:pPr>
              <w:spacing w:line="240" w:lineRule="auto"/>
              <w:jc w:val="center"/>
              <w:rPr>
                <w:color w:val="000000"/>
                <w:sz w:val="21"/>
              </w:rPr>
            </w:pPr>
            <w:r>
              <w:rPr>
                <w:color w:val="000000"/>
                <w:sz w:val="21"/>
              </w:rPr>
              <w:t>118.6</w:t>
            </w:r>
          </w:p>
        </w:tc>
      </w:tr>
      <w:tr w14:paraId="4DF9E36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c>
          <w:tcPr>
            <w:tcW w:w="2236" w:type="dxa"/>
            <w:tcBorders>
              <w:top w:val="single" w:color="auto" w:sz="4" w:space="0"/>
              <w:left w:val="single" w:color="auto" w:sz="2" w:space="0"/>
              <w:bottom w:val="single" w:color="auto" w:sz="4" w:space="0"/>
              <w:right w:val="single" w:color="auto" w:sz="4" w:space="0"/>
            </w:tcBorders>
          </w:tcPr>
          <w:p w14:paraId="1401C896">
            <w:pPr>
              <w:spacing w:line="240" w:lineRule="auto"/>
              <w:jc w:val="center"/>
              <w:rPr>
                <w:color w:val="000000"/>
                <w:sz w:val="21"/>
              </w:rPr>
            </w:pPr>
            <w:r>
              <w:rPr>
                <w:color w:val="000000"/>
                <w:sz w:val="21"/>
              </w:rPr>
              <w:t>扬程    m</w:t>
            </w:r>
          </w:p>
        </w:tc>
        <w:tc>
          <w:tcPr>
            <w:tcW w:w="2237" w:type="dxa"/>
            <w:tcBorders>
              <w:top w:val="single" w:color="auto" w:sz="4" w:space="0"/>
              <w:left w:val="single" w:color="auto" w:sz="4" w:space="0"/>
              <w:bottom w:val="single" w:color="auto" w:sz="4" w:space="0"/>
              <w:right w:val="single" w:color="auto" w:sz="4" w:space="0"/>
            </w:tcBorders>
          </w:tcPr>
          <w:p w14:paraId="71954E28">
            <w:pPr>
              <w:spacing w:line="240" w:lineRule="auto"/>
              <w:jc w:val="center"/>
              <w:rPr>
                <w:color w:val="000000"/>
                <w:sz w:val="21"/>
              </w:rPr>
            </w:pPr>
            <w:r>
              <w:rPr>
                <w:color w:val="000000"/>
                <w:sz w:val="21"/>
              </w:rPr>
              <w:t>26093</w:t>
            </w:r>
          </w:p>
        </w:tc>
        <w:tc>
          <w:tcPr>
            <w:tcW w:w="2237" w:type="dxa"/>
            <w:tcBorders>
              <w:top w:val="single" w:color="auto" w:sz="4" w:space="0"/>
              <w:left w:val="single" w:color="auto" w:sz="4" w:space="0"/>
              <w:bottom w:val="single" w:color="auto" w:sz="4" w:space="0"/>
              <w:right w:val="single" w:color="auto" w:sz="4" w:space="0"/>
            </w:tcBorders>
          </w:tcPr>
          <w:p w14:paraId="630BE250">
            <w:pPr>
              <w:spacing w:line="240" w:lineRule="auto"/>
              <w:jc w:val="center"/>
              <w:rPr>
                <w:color w:val="000000"/>
                <w:sz w:val="21"/>
              </w:rPr>
            </w:pPr>
            <w:r>
              <w:rPr>
                <w:color w:val="000000"/>
                <w:sz w:val="21"/>
              </w:rPr>
              <w:t>16666</w:t>
            </w:r>
          </w:p>
        </w:tc>
        <w:tc>
          <w:tcPr>
            <w:tcW w:w="2237" w:type="dxa"/>
            <w:tcBorders>
              <w:top w:val="single" w:color="auto" w:sz="4" w:space="0"/>
              <w:left w:val="single" w:color="auto" w:sz="4" w:space="0"/>
              <w:bottom w:val="single" w:color="auto" w:sz="4" w:space="0"/>
              <w:right w:val="single" w:color="auto" w:sz="2" w:space="0"/>
            </w:tcBorders>
          </w:tcPr>
          <w:p w14:paraId="7CEDB04F">
            <w:pPr>
              <w:spacing w:line="240" w:lineRule="auto"/>
              <w:jc w:val="center"/>
              <w:rPr>
                <w:color w:val="000000"/>
                <w:sz w:val="21"/>
              </w:rPr>
            </w:pPr>
            <w:r>
              <w:rPr>
                <w:color w:val="000000"/>
                <w:sz w:val="21"/>
              </w:rPr>
              <w:t>17478</w:t>
            </w:r>
          </w:p>
        </w:tc>
      </w:tr>
      <w:tr w14:paraId="3058A04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c>
          <w:tcPr>
            <w:tcW w:w="2236" w:type="dxa"/>
            <w:tcBorders>
              <w:top w:val="single" w:color="auto" w:sz="4" w:space="0"/>
              <w:left w:val="single" w:color="auto" w:sz="2" w:space="0"/>
              <w:bottom w:val="single" w:color="auto" w:sz="4" w:space="0"/>
              <w:right w:val="single" w:color="auto" w:sz="4" w:space="0"/>
            </w:tcBorders>
          </w:tcPr>
          <w:p w14:paraId="38AABEF2">
            <w:pPr>
              <w:spacing w:line="240" w:lineRule="auto"/>
              <w:jc w:val="center"/>
              <w:rPr>
                <w:color w:val="000000"/>
                <w:sz w:val="21"/>
              </w:rPr>
            </w:pPr>
            <w:r>
              <w:rPr>
                <w:color w:val="000000"/>
                <w:sz w:val="21"/>
              </w:rPr>
              <w:t>实际功率    kW</w:t>
            </w:r>
          </w:p>
        </w:tc>
        <w:tc>
          <w:tcPr>
            <w:tcW w:w="2237" w:type="dxa"/>
            <w:tcBorders>
              <w:top w:val="single" w:color="auto" w:sz="4" w:space="0"/>
              <w:left w:val="single" w:color="auto" w:sz="4" w:space="0"/>
              <w:bottom w:val="single" w:color="auto" w:sz="4" w:space="0"/>
              <w:right w:val="single" w:color="auto" w:sz="4" w:space="0"/>
            </w:tcBorders>
          </w:tcPr>
          <w:p w14:paraId="146FDD7F">
            <w:pPr>
              <w:spacing w:line="240" w:lineRule="auto"/>
              <w:jc w:val="center"/>
              <w:rPr>
                <w:color w:val="000000"/>
                <w:sz w:val="21"/>
              </w:rPr>
            </w:pPr>
            <w:r>
              <w:rPr>
                <w:color w:val="000000"/>
                <w:sz w:val="21"/>
              </w:rPr>
              <w:t>260</w:t>
            </w:r>
          </w:p>
        </w:tc>
        <w:tc>
          <w:tcPr>
            <w:tcW w:w="2237" w:type="dxa"/>
            <w:tcBorders>
              <w:top w:val="single" w:color="auto" w:sz="4" w:space="0"/>
              <w:left w:val="single" w:color="auto" w:sz="4" w:space="0"/>
              <w:bottom w:val="single" w:color="auto" w:sz="4" w:space="0"/>
              <w:right w:val="single" w:color="auto" w:sz="4" w:space="0"/>
            </w:tcBorders>
          </w:tcPr>
          <w:p w14:paraId="4048FBD7">
            <w:pPr>
              <w:spacing w:line="240" w:lineRule="auto"/>
              <w:jc w:val="center"/>
              <w:rPr>
                <w:color w:val="000000"/>
                <w:sz w:val="21"/>
              </w:rPr>
            </w:pPr>
            <w:r>
              <w:rPr>
                <w:color w:val="000000"/>
                <w:sz w:val="21"/>
              </w:rPr>
              <w:t>166</w:t>
            </w:r>
          </w:p>
        </w:tc>
        <w:tc>
          <w:tcPr>
            <w:tcW w:w="2237" w:type="dxa"/>
            <w:tcBorders>
              <w:top w:val="single" w:color="auto" w:sz="4" w:space="0"/>
              <w:left w:val="single" w:color="auto" w:sz="4" w:space="0"/>
              <w:bottom w:val="single" w:color="auto" w:sz="4" w:space="0"/>
              <w:right w:val="single" w:color="auto" w:sz="2" w:space="0"/>
            </w:tcBorders>
          </w:tcPr>
          <w:p w14:paraId="18FD2A13">
            <w:pPr>
              <w:spacing w:line="240" w:lineRule="auto"/>
              <w:jc w:val="center"/>
              <w:rPr>
                <w:color w:val="000000"/>
                <w:sz w:val="21"/>
              </w:rPr>
            </w:pPr>
            <w:r>
              <w:rPr>
                <w:color w:val="000000"/>
                <w:sz w:val="21"/>
              </w:rPr>
              <w:t>174</w:t>
            </w:r>
          </w:p>
        </w:tc>
      </w:tr>
      <w:tr w14:paraId="159486C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c>
          <w:tcPr>
            <w:tcW w:w="2236" w:type="dxa"/>
            <w:tcBorders>
              <w:top w:val="single" w:color="auto" w:sz="4" w:space="0"/>
              <w:left w:val="single" w:color="auto" w:sz="2" w:space="0"/>
              <w:bottom w:val="single" w:color="auto" w:sz="2" w:space="0"/>
              <w:right w:val="single" w:color="auto" w:sz="4" w:space="0"/>
            </w:tcBorders>
          </w:tcPr>
          <w:p w14:paraId="05D78BDC">
            <w:pPr>
              <w:spacing w:line="240" w:lineRule="auto"/>
              <w:jc w:val="center"/>
              <w:rPr>
                <w:color w:val="000000"/>
                <w:sz w:val="21"/>
              </w:rPr>
            </w:pPr>
            <w:r>
              <w:rPr>
                <w:color w:val="000000"/>
                <w:sz w:val="21"/>
              </w:rPr>
              <w:t>等熵指数    k</w:t>
            </w:r>
          </w:p>
        </w:tc>
        <w:tc>
          <w:tcPr>
            <w:tcW w:w="2237" w:type="dxa"/>
            <w:tcBorders>
              <w:top w:val="single" w:color="auto" w:sz="4" w:space="0"/>
              <w:left w:val="single" w:color="auto" w:sz="4" w:space="0"/>
              <w:bottom w:val="single" w:color="auto" w:sz="2" w:space="0"/>
              <w:right w:val="single" w:color="auto" w:sz="4" w:space="0"/>
            </w:tcBorders>
          </w:tcPr>
          <w:p w14:paraId="24DB697F">
            <w:pPr>
              <w:spacing w:line="240" w:lineRule="auto"/>
              <w:jc w:val="center"/>
              <w:rPr>
                <w:color w:val="000000"/>
                <w:sz w:val="21"/>
              </w:rPr>
            </w:pPr>
            <w:r>
              <w:rPr>
                <w:color w:val="000000"/>
                <w:sz w:val="21"/>
              </w:rPr>
              <w:t>1.300</w:t>
            </w:r>
          </w:p>
        </w:tc>
        <w:tc>
          <w:tcPr>
            <w:tcW w:w="2237" w:type="dxa"/>
            <w:tcBorders>
              <w:top w:val="single" w:color="auto" w:sz="4" w:space="0"/>
              <w:left w:val="single" w:color="auto" w:sz="4" w:space="0"/>
              <w:bottom w:val="single" w:color="auto" w:sz="2" w:space="0"/>
              <w:right w:val="single" w:color="auto" w:sz="4" w:space="0"/>
            </w:tcBorders>
          </w:tcPr>
          <w:p w14:paraId="0D773754">
            <w:pPr>
              <w:spacing w:line="240" w:lineRule="auto"/>
              <w:jc w:val="center"/>
              <w:rPr>
                <w:color w:val="000000"/>
                <w:sz w:val="21"/>
              </w:rPr>
            </w:pPr>
            <w:r>
              <w:rPr>
                <w:color w:val="000000"/>
                <w:sz w:val="21"/>
              </w:rPr>
              <w:t>1.295</w:t>
            </w:r>
          </w:p>
        </w:tc>
        <w:tc>
          <w:tcPr>
            <w:tcW w:w="2237" w:type="dxa"/>
            <w:tcBorders>
              <w:top w:val="single" w:color="auto" w:sz="4" w:space="0"/>
              <w:left w:val="single" w:color="auto" w:sz="4" w:space="0"/>
              <w:bottom w:val="single" w:color="auto" w:sz="2" w:space="0"/>
              <w:right w:val="single" w:color="auto" w:sz="2" w:space="0"/>
            </w:tcBorders>
          </w:tcPr>
          <w:p w14:paraId="161B3DC6">
            <w:pPr>
              <w:spacing w:line="240" w:lineRule="auto"/>
              <w:jc w:val="center"/>
              <w:rPr>
                <w:color w:val="000000"/>
                <w:sz w:val="21"/>
              </w:rPr>
            </w:pPr>
            <w:r>
              <w:rPr>
                <w:color w:val="000000"/>
                <w:sz w:val="21"/>
              </w:rPr>
              <w:t>1.300</w:t>
            </w:r>
          </w:p>
        </w:tc>
      </w:tr>
    </w:tbl>
    <w:p w14:paraId="7BE78C9A">
      <w:pPr>
        <w:ind w:firstLine="480"/>
        <w:rPr>
          <w:color w:val="000000"/>
          <w:szCs w:val="24"/>
        </w:rPr>
      </w:pPr>
      <w:r>
        <w:rPr>
          <w:color w:val="000000"/>
          <w:szCs w:val="24"/>
        </w:rPr>
        <w:t>BOG压缩机组内有段间换热器及入口缓冲罐，设置如下：</w:t>
      </w:r>
    </w:p>
    <w:p w14:paraId="3708B5E8">
      <w:pPr>
        <w:ind w:firstLine="480"/>
        <w:rPr>
          <w:color w:val="000000"/>
          <w:szCs w:val="24"/>
        </w:rPr>
      </w:pPr>
      <w:r>
        <w:rPr>
          <w:color w:val="000000"/>
          <w:szCs w:val="24"/>
        </w:rPr>
        <w:t>水冷器2台、缓冲罐3台；</w:t>
      </w:r>
    </w:p>
    <w:p w14:paraId="295345E2">
      <w:pPr>
        <w:rPr>
          <w:bCs/>
          <w:color w:val="000000"/>
          <w:szCs w:val="24"/>
        </w:rPr>
      </w:pPr>
      <w:r>
        <w:rPr>
          <w:bCs/>
          <w:color w:val="000000"/>
          <w:szCs w:val="24"/>
        </w:rPr>
        <w:t>2.2.5.2装卸站</w:t>
      </w:r>
    </w:p>
    <w:p w14:paraId="6A10A810">
      <w:pPr>
        <w:ind w:firstLine="480"/>
        <w:rPr>
          <w:color w:val="000000"/>
          <w:szCs w:val="24"/>
        </w:rPr>
      </w:pPr>
      <w:r>
        <w:rPr>
          <w:color w:val="000000"/>
          <w:szCs w:val="24"/>
        </w:rPr>
        <w:t>本装置装卸站设置6个装/卸车鹤位，其中4个用于LNG装车，2个用于冷剂卸车。</w:t>
      </w:r>
    </w:p>
    <w:p w14:paraId="6527718F">
      <w:pPr>
        <w:rPr>
          <w:bCs/>
          <w:color w:val="000000"/>
          <w:szCs w:val="24"/>
        </w:rPr>
      </w:pPr>
      <w:r>
        <w:rPr>
          <w:bCs/>
          <w:color w:val="000000"/>
          <w:szCs w:val="24"/>
        </w:rPr>
        <w:t>2.2.5.3厂内工艺管网</w:t>
      </w:r>
    </w:p>
    <w:p w14:paraId="5E061792">
      <w:pPr>
        <w:ind w:firstLine="480"/>
        <w:rPr>
          <w:color w:val="000000"/>
        </w:rPr>
      </w:pPr>
      <w:r>
        <w:rPr>
          <w:color w:val="000000"/>
          <w:szCs w:val="24"/>
        </w:rPr>
        <w:t>全厂管廊担负着各单元之间各种工艺介质及公用工程管道的连接，电气、仪表电缆桥架的铺设。依据各单元的相对位置及界区关系，本装置主管廊采用“L”型、主管廊与支管廊结合的结构形式，在全面规划，合理、有效地利用空间的基础上，满足分期建设要求。管廊沿全厂主干道集中成排架空敷设，总长度约400m，其中主管廊宽度暂定为6m，层数为3层，其余支管廊宽度暂定为6m及4m，层数为2层，考虑第二期的扩建需要，预留30%的裕量。电气、仪表桥架及高架火炬管线等布置于管廊上层，工艺物料及有腐蚀性物料管道尽量在下层敷设。管廊基础及下部为混凝土，上部采用钢结构。</w:t>
      </w:r>
    </w:p>
    <w:p w14:paraId="033B6C64">
      <w:pPr>
        <w:pStyle w:val="771"/>
        <w:rPr>
          <w:b/>
          <w:bCs w:val="0"/>
          <w:color w:val="000000"/>
        </w:rPr>
      </w:pPr>
      <w:r>
        <w:rPr>
          <w:b/>
          <w:bCs w:val="0"/>
          <w:color w:val="000000"/>
        </w:rPr>
        <w:t>2.2.6主要生产设备</w:t>
      </w:r>
    </w:p>
    <w:p w14:paraId="15E868B3">
      <w:pPr>
        <w:pStyle w:val="131"/>
        <w:adjustRightInd w:val="0"/>
        <w:snapToGrid w:val="0"/>
        <w:ind w:firstLine="480" w:firstLineChars="200"/>
        <w:rPr>
          <w:rFonts w:ascii="Times New Roman"/>
        </w:rPr>
      </w:pPr>
      <w:r>
        <w:rPr>
          <w:rFonts w:ascii="Times New Roman"/>
        </w:rPr>
        <w:t>现有工程主要生产设备情况见表2.2.6-1。</w:t>
      </w:r>
    </w:p>
    <w:p w14:paraId="7A96A640">
      <w:pPr>
        <w:ind w:firstLine="3150" w:firstLineChars="1500"/>
        <w:rPr>
          <w:color w:val="000000"/>
          <w:sz w:val="21"/>
        </w:rPr>
      </w:pPr>
      <w:r>
        <w:rPr>
          <w:color w:val="000000"/>
          <w:sz w:val="21"/>
        </w:rPr>
        <w:t>表2.2.6-1现有工程主要生产设备一览表</w:t>
      </w:r>
    </w:p>
    <w:tbl>
      <w:tblPr>
        <w:tblStyle w:val="7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3776"/>
        <w:gridCol w:w="2194"/>
        <w:gridCol w:w="964"/>
        <w:gridCol w:w="1347"/>
      </w:tblGrid>
      <w:tr w14:paraId="5E34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blHeader/>
          <w:jc w:val="center"/>
        </w:trPr>
        <w:tc>
          <w:tcPr>
            <w:tcW w:w="427" w:type="pct"/>
            <w:tcBorders>
              <w:top w:val="single" w:color="auto" w:sz="4" w:space="0"/>
              <w:left w:val="single" w:color="auto" w:sz="4" w:space="0"/>
              <w:bottom w:val="single" w:color="auto" w:sz="4" w:space="0"/>
              <w:right w:val="single" w:color="auto" w:sz="4" w:space="0"/>
            </w:tcBorders>
            <w:vAlign w:val="center"/>
          </w:tcPr>
          <w:p w14:paraId="00DB7281">
            <w:pPr>
              <w:spacing w:line="240" w:lineRule="auto"/>
              <w:jc w:val="center"/>
              <w:rPr>
                <w:color w:val="000000"/>
                <w:sz w:val="21"/>
              </w:rPr>
            </w:pPr>
            <w:r>
              <w:rPr>
                <w:color w:val="000000"/>
                <w:sz w:val="21"/>
              </w:rPr>
              <w:t>序号</w:t>
            </w:r>
          </w:p>
        </w:tc>
        <w:tc>
          <w:tcPr>
            <w:tcW w:w="2084" w:type="pct"/>
            <w:tcBorders>
              <w:top w:val="single" w:color="auto" w:sz="4" w:space="0"/>
              <w:left w:val="single" w:color="auto" w:sz="4" w:space="0"/>
              <w:bottom w:val="single" w:color="auto" w:sz="4" w:space="0"/>
              <w:right w:val="single" w:color="auto" w:sz="4" w:space="0"/>
            </w:tcBorders>
            <w:vAlign w:val="center"/>
          </w:tcPr>
          <w:p w14:paraId="4669F6EA">
            <w:pPr>
              <w:spacing w:line="240" w:lineRule="auto"/>
              <w:jc w:val="center"/>
              <w:rPr>
                <w:color w:val="000000"/>
                <w:sz w:val="21"/>
              </w:rPr>
            </w:pPr>
            <w:r>
              <w:rPr>
                <w:color w:val="000000"/>
                <w:sz w:val="21"/>
              </w:rPr>
              <w:t>设备名称</w:t>
            </w:r>
          </w:p>
        </w:tc>
        <w:tc>
          <w:tcPr>
            <w:tcW w:w="1211" w:type="pct"/>
            <w:tcBorders>
              <w:top w:val="single" w:color="auto" w:sz="4" w:space="0"/>
              <w:left w:val="single" w:color="auto" w:sz="4" w:space="0"/>
              <w:bottom w:val="single" w:color="auto" w:sz="4" w:space="0"/>
              <w:right w:val="single" w:color="auto" w:sz="4" w:space="0"/>
            </w:tcBorders>
            <w:vAlign w:val="center"/>
          </w:tcPr>
          <w:p w14:paraId="6FC0A2BF">
            <w:pPr>
              <w:spacing w:line="240" w:lineRule="auto"/>
              <w:jc w:val="center"/>
              <w:rPr>
                <w:color w:val="000000"/>
                <w:sz w:val="21"/>
              </w:rPr>
            </w:pPr>
            <w:r>
              <w:rPr>
                <w:color w:val="000000"/>
                <w:sz w:val="21"/>
              </w:rPr>
              <w:t>设备详细规格及其附件</w:t>
            </w:r>
          </w:p>
        </w:tc>
        <w:tc>
          <w:tcPr>
            <w:tcW w:w="532" w:type="pct"/>
            <w:tcBorders>
              <w:top w:val="single" w:color="auto" w:sz="4" w:space="0"/>
              <w:left w:val="single" w:color="auto" w:sz="4" w:space="0"/>
              <w:bottom w:val="single" w:color="auto" w:sz="4" w:space="0"/>
              <w:right w:val="single" w:color="auto" w:sz="4" w:space="0"/>
            </w:tcBorders>
            <w:vAlign w:val="center"/>
          </w:tcPr>
          <w:p w14:paraId="5E302CC4">
            <w:pPr>
              <w:spacing w:line="240" w:lineRule="auto"/>
              <w:jc w:val="center"/>
              <w:rPr>
                <w:color w:val="000000"/>
                <w:sz w:val="21"/>
              </w:rPr>
            </w:pPr>
            <w:r>
              <w:rPr>
                <w:color w:val="000000"/>
                <w:sz w:val="21"/>
              </w:rPr>
              <w:t>单位</w:t>
            </w:r>
          </w:p>
        </w:tc>
        <w:tc>
          <w:tcPr>
            <w:tcW w:w="743" w:type="pct"/>
            <w:tcBorders>
              <w:top w:val="single" w:color="auto" w:sz="4" w:space="0"/>
              <w:left w:val="single" w:color="auto" w:sz="4" w:space="0"/>
              <w:bottom w:val="single" w:color="auto" w:sz="4" w:space="0"/>
              <w:right w:val="single" w:color="auto" w:sz="4" w:space="0"/>
            </w:tcBorders>
          </w:tcPr>
          <w:p w14:paraId="04FA1558">
            <w:pPr>
              <w:spacing w:line="240" w:lineRule="auto"/>
              <w:jc w:val="center"/>
              <w:rPr>
                <w:color w:val="000000"/>
                <w:sz w:val="21"/>
              </w:rPr>
            </w:pPr>
            <w:r>
              <w:rPr>
                <w:color w:val="000000"/>
                <w:sz w:val="21"/>
              </w:rPr>
              <w:t>数量</w:t>
            </w:r>
          </w:p>
        </w:tc>
      </w:tr>
      <w:tr w14:paraId="6605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14DF0259">
            <w:pPr>
              <w:spacing w:line="240" w:lineRule="auto"/>
              <w:jc w:val="center"/>
              <w:rPr>
                <w:color w:val="000000"/>
                <w:sz w:val="21"/>
              </w:rPr>
            </w:pPr>
            <w:r>
              <w:rPr>
                <w:color w:val="000000"/>
                <w:sz w:val="21"/>
              </w:rPr>
              <w:t>1</w:t>
            </w:r>
          </w:p>
        </w:tc>
        <w:tc>
          <w:tcPr>
            <w:tcW w:w="2084" w:type="pct"/>
            <w:tcBorders>
              <w:top w:val="single" w:color="auto" w:sz="4" w:space="0"/>
              <w:left w:val="single" w:color="auto" w:sz="4" w:space="0"/>
              <w:bottom w:val="single" w:color="auto" w:sz="4" w:space="0"/>
              <w:right w:val="single" w:color="auto" w:sz="4" w:space="0"/>
            </w:tcBorders>
            <w:vAlign w:val="center"/>
          </w:tcPr>
          <w:p w14:paraId="1D50736A">
            <w:pPr>
              <w:spacing w:line="240" w:lineRule="auto"/>
              <w:jc w:val="center"/>
              <w:rPr>
                <w:color w:val="000000"/>
                <w:sz w:val="21"/>
              </w:rPr>
            </w:pPr>
            <w:r>
              <w:rPr>
                <w:color w:val="000000"/>
                <w:sz w:val="21"/>
              </w:rPr>
              <w:t>S-101原料过滤器</w:t>
            </w:r>
          </w:p>
        </w:tc>
        <w:tc>
          <w:tcPr>
            <w:tcW w:w="1211" w:type="pct"/>
            <w:tcBorders>
              <w:top w:val="single" w:color="auto" w:sz="4" w:space="0"/>
              <w:left w:val="single" w:color="auto" w:sz="4" w:space="0"/>
              <w:bottom w:val="single" w:color="auto" w:sz="4" w:space="0"/>
              <w:right w:val="single" w:color="auto" w:sz="4" w:space="0"/>
            </w:tcBorders>
            <w:vAlign w:val="center"/>
          </w:tcPr>
          <w:p w14:paraId="324C24E4">
            <w:pPr>
              <w:spacing w:line="240" w:lineRule="auto"/>
              <w:jc w:val="center"/>
              <w:rPr>
                <w:color w:val="000000"/>
                <w:sz w:val="21"/>
              </w:rPr>
            </w:pPr>
            <w:r>
              <w:rPr>
                <w:color w:val="000000"/>
                <w:sz w:val="21"/>
              </w:rPr>
              <w:t>精密过滤器</w:t>
            </w:r>
          </w:p>
        </w:tc>
        <w:tc>
          <w:tcPr>
            <w:tcW w:w="532" w:type="pct"/>
            <w:tcBorders>
              <w:top w:val="single" w:color="auto" w:sz="4" w:space="0"/>
              <w:left w:val="single" w:color="auto" w:sz="4" w:space="0"/>
              <w:bottom w:val="single" w:color="auto" w:sz="4" w:space="0"/>
              <w:right w:val="single" w:color="auto" w:sz="4" w:space="0"/>
            </w:tcBorders>
            <w:vAlign w:val="center"/>
          </w:tcPr>
          <w:p w14:paraId="6E7FF166">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29607A9E">
            <w:pPr>
              <w:spacing w:line="240" w:lineRule="auto"/>
              <w:jc w:val="center"/>
              <w:rPr>
                <w:color w:val="000000"/>
                <w:sz w:val="21"/>
              </w:rPr>
            </w:pPr>
            <w:r>
              <w:rPr>
                <w:color w:val="000000"/>
                <w:sz w:val="21"/>
              </w:rPr>
              <w:t>1</w:t>
            </w:r>
          </w:p>
        </w:tc>
      </w:tr>
      <w:tr w14:paraId="45E96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0905A85B">
            <w:pPr>
              <w:spacing w:line="240" w:lineRule="auto"/>
              <w:jc w:val="center"/>
              <w:rPr>
                <w:color w:val="000000"/>
                <w:sz w:val="21"/>
              </w:rPr>
            </w:pPr>
            <w:r>
              <w:rPr>
                <w:color w:val="000000"/>
                <w:sz w:val="21"/>
              </w:rPr>
              <w:t>2</w:t>
            </w:r>
          </w:p>
        </w:tc>
        <w:tc>
          <w:tcPr>
            <w:tcW w:w="2084" w:type="pct"/>
            <w:tcBorders>
              <w:top w:val="single" w:color="auto" w:sz="4" w:space="0"/>
              <w:left w:val="single" w:color="auto" w:sz="4" w:space="0"/>
              <w:bottom w:val="single" w:color="auto" w:sz="4" w:space="0"/>
              <w:right w:val="single" w:color="auto" w:sz="4" w:space="0"/>
            </w:tcBorders>
            <w:vAlign w:val="center"/>
          </w:tcPr>
          <w:p w14:paraId="225DFCA0">
            <w:pPr>
              <w:spacing w:line="240" w:lineRule="auto"/>
              <w:jc w:val="center"/>
              <w:rPr>
                <w:color w:val="000000"/>
                <w:sz w:val="21"/>
              </w:rPr>
            </w:pPr>
            <w:r>
              <w:rPr>
                <w:color w:val="000000"/>
                <w:sz w:val="21"/>
              </w:rPr>
              <w:t>S-102贫溶剂前过滤器</w:t>
            </w:r>
          </w:p>
        </w:tc>
        <w:tc>
          <w:tcPr>
            <w:tcW w:w="1211" w:type="pct"/>
            <w:tcBorders>
              <w:top w:val="single" w:color="auto" w:sz="4" w:space="0"/>
              <w:left w:val="single" w:color="auto" w:sz="4" w:space="0"/>
              <w:bottom w:val="single" w:color="auto" w:sz="4" w:space="0"/>
              <w:right w:val="single" w:color="auto" w:sz="4" w:space="0"/>
            </w:tcBorders>
            <w:vAlign w:val="center"/>
          </w:tcPr>
          <w:p w14:paraId="0CEB4C18">
            <w:pPr>
              <w:spacing w:line="240" w:lineRule="auto"/>
              <w:jc w:val="center"/>
              <w:rPr>
                <w:color w:val="000000"/>
                <w:sz w:val="21"/>
              </w:rPr>
            </w:pPr>
            <w:r>
              <w:rPr>
                <w:color w:val="000000"/>
                <w:sz w:val="21"/>
              </w:rPr>
              <w:t>精密过滤器</w:t>
            </w:r>
          </w:p>
        </w:tc>
        <w:tc>
          <w:tcPr>
            <w:tcW w:w="532" w:type="pct"/>
            <w:tcBorders>
              <w:top w:val="single" w:color="auto" w:sz="4" w:space="0"/>
              <w:left w:val="single" w:color="auto" w:sz="4" w:space="0"/>
              <w:bottom w:val="single" w:color="auto" w:sz="4" w:space="0"/>
              <w:right w:val="single" w:color="auto" w:sz="4" w:space="0"/>
            </w:tcBorders>
            <w:vAlign w:val="center"/>
          </w:tcPr>
          <w:p w14:paraId="45A4DB8F">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2646C885">
            <w:pPr>
              <w:spacing w:line="240" w:lineRule="auto"/>
              <w:jc w:val="center"/>
              <w:rPr>
                <w:color w:val="000000"/>
                <w:sz w:val="21"/>
              </w:rPr>
            </w:pPr>
            <w:r>
              <w:rPr>
                <w:color w:val="000000"/>
                <w:sz w:val="21"/>
              </w:rPr>
              <w:t>1</w:t>
            </w:r>
          </w:p>
        </w:tc>
      </w:tr>
      <w:tr w14:paraId="49D0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6DB8E0BD">
            <w:pPr>
              <w:spacing w:line="240" w:lineRule="auto"/>
              <w:jc w:val="center"/>
              <w:rPr>
                <w:color w:val="000000"/>
                <w:sz w:val="21"/>
              </w:rPr>
            </w:pPr>
            <w:r>
              <w:rPr>
                <w:color w:val="000000"/>
                <w:sz w:val="21"/>
              </w:rPr>
              <w:t>3</w:t>
            </w:r>
          </w:p>
        </w:tc>
        <w:tc>
          <w:tcPr>
            <w:tcW w:w="2084" w:type="pct"/>
            <w:tcBorders>
              <w:top w:val="single" w:color="auto" w:sz="4" w:space="0"/>
              <w:left w:val="single" w:color="auto" w:sz="4" w:space="0"/>
              <w:bottom w:val="single" w:color="auto" w:sz="4" w:space="0"/>
              <w:right w:val="single" w:color="auto" w:sz="4" w:space="0"/>
            </w:tcBorders>
            <w:vAlign w:val="center"/>
          </w:tcPr>
          <w:p w14:paraId="53250518">
            <w:pPr>
              <w:spacing w:line="240" w:lineRule="auto"/>
              <w:jc w:val="center"/>
              <w:rPr>
                <w:color w:val="000000"/>
                <w:sz w:val="21"/>
              </w:rPr>
            </w:pPr>
            <w:r>
              <w:rPr>
                <w:color w:val="000000"/>
                <w:sz w:val="21"/>
              </w:rPr>
              <w:t>S-103贫溶剂活性炭吸附器</w:t>
            </w:r>
          </w:p>
        </w:tc>
        <w:tc>
          <w:tcPr>
            <w:tcW w:w="1211" w:type="pct"/>
            <w:tcBorders>
              <w:top w:val="single" w:color="auto" w:sz="4" w:space="0"/>
              <w:left w:val="single" w:color="auto" w:sz="4" w:space="0"/>
              <w:bottom w:val="single" w:color="auto" w:sz="4" w:space="0"/>
              <w:right w:val="single" w:color="auto" w:sz="4" w:space="0"/>
            </w:tcBorders>
            <w:vAlign w:val="center"/>
          </w:tcPr>
          <w:p w14:paraId="5BE8B585">
            <w:pPr>
              <w:spacing w:line="240" w:lineRule="auto"/>
              <w:jc w:val="center"/>
              <w:rPr>
                <w:color w:val="000000"/>
                <w:sz w:val="21"/>
              </w:rPr>
            </w:pPr>
            <w:r>
              <w:rPr>
                <w:color w:val="000000"/>
                <w:sz w:val="21"/>
              </w:rPr>
              <w:t>精密过滤器</w:t>
            </w:r>
          </w:p>
        </w:tc>
        <w:tc>
          <w:tcPr>
            <w:tcW w:w="532" w:type="pct"/>
            <w:tcBorders>
              <w:top w:val="single" w:color="auto" w:sz="4" w:space="0"/>
              <w:left w:val="single" w:color="auto" w:sz="4" w:space="0"/>
              <w:bottom w:val="single" w:color="auto" w:sz="4" w:space="0"/>
              <w:right w:val="single" w:color="auto" w:sz="4" w:space="0"/>
            </w:tcBorders>
            <w:vAlign w:val="center"/>
          </w:tcPr>
          <w:p w14:paraId="27756B4E">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02754E5B">
            <w:pPr>
              <w:spacing w:line="240" w:lineRule="auto"/>
              <w:jc w:val="center"/>
              <w:rPr>
                <w:color w:val="000000"/>
                <w:sz w:val="21"/>
              </w:rPr>
            </w:pPr>
            <w:r>
              <w:rPr>
                <w:color w:val="000000"/>
                <w:sz w:val="21"/>
              </w:rPr>
              <w:t>1</w:t>
            </w:r>
          </w:p>
        </w:tc>
      </w:tr>
      <w:tr w14:paraId="74B4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65C56FCD">
            <w:pPr>
              <w:spacing w:line="240" w:lineRule="auto"/>
              <w:jc w:val="center"/>
              <w:rPr>
                <w:color w:val="000000"/>
                <w:sz w:val="21"/>
              </w:rPr>
            </w:pPr>
            <w:r>
              <w:rPr>
                <w:color w:val="000000"/>
                <w:sz w:val="21"/>
              </w:rPr>
              <w:t>4</w:t>
            </w:r>
          </w:p>
        </w:tc>
        <w:tc>
          <w:tcPr>
            <w:tcW w:w="2084" w:type="pct"/>
            <w:tcBorders>
              <w:top w:val="single" w:color="auto" w:sz="4" w:space="0"/>
              <w:left w:val="single" w:color="auto" w:sz="4" w:space="0"/>
              <w:bottom w:val="single" w:color="auto" w:sz="4" w:space="0"/>
              <w:right w:val="single" w:color="auto" w:sz="4" w:space="0"/>
            </w:tcBorders>
            <w:vAlign w:val="center"/>
          </w:tcPr>
          <w:p w14:paraId="2C05465D">
            <w:pPr>
              <w:spacing w:line="240" w:lineRule="auto"/>
              <w:jc w:val="center"/>
              <w:rPr>
                <w:color w:val="000000"/>
                <w:sz w:val="21"/>
              </w:rPr>
            </w:pPr>
            <w:r>
              <w:rPr>
                <w:color w:val="000000"/>
                <w:sz w:val="21"/>
              </w:rPr>
              <w:t>S-104贫溶剂后过滤器</w:t>
            </w:r>
          </w:p>
        </w:tc>
        <w:tc>
          <w:tcPr>
            <w:tcW w:w="1211" w:type="pct"/>
            <w:tcBorders>
              <w:top w:val="single" w:color="auto" w:sz="4" w:space="0"/>
              <w:left w:val="single" w:color="auto" w:sz="4" w:space="0"/>
              <w:bottom w:val="single" w:color="auto" w:sz="4" w:space="0"/>
              <w:right w:val="single" w:color="auto" w:sz="4" w:space="0"/>
            </w:tcBorders>
            <w:vAlign w:val="center"/>
          </w:tcPr>
          <w:p w14:paraId="458D828F">
            <w:pPr>
              <w:spacing w:line="240" w:lineRule="auto"/>
              <w:jc w:val="center"/>
              <w:rPr>
                <w:color w:val="000000"/>
                <w:sz w:val="21"/>
              </w:rPr>
            </w:pPr>
            <w:r>
              <w:rPr>
                <w:color w:val="000000"/>
                <w:sz w:val="21"/>
              </w:rPr>
              <w:t>精密过滤器</w:t>
            </w:r>
          </w:p>
        </w:tc>
        <w:tc>
          <w:tcPr>
            <w:tcW w:w="532" w:type="pct"/>
            <w:tcBorders>
              <w:top w:val="single" w:color="auto" w:sz="4" w:space="0"/>
              <w:left w:val="single" w:color="auto" w:sz="4" w:space="0"/>
              <w:bottom w:val="single" w:color="auto" w:sz="4" w:space="0"/>
              <w:right w:val="single" w:color="auto" w:sz="4" w:space="0"/>
            </w:tcBorders>
            <w:vAlign w:val="center"/>
          </w:tcPr>
          <w:p w14:paraId="507D4DE8">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66E35AB9">
            <w:pPr>
              <w:spacing w:line="240" w:lineRule="auto"/>
              <w:jc w:val="center"/>
              <w:rPr>
                <w:color w:val="000000"/>
                <w:sz w:val="21"/>
              </w:rPr>
            </w:pPr>
            <w:r>
              <w:rPr>
                <w:color w:val="000000"/>
                <w:sz w:val="21"/>
              </w:rPr>
              <w:t>1</w:t>
            </w:r>
          </w:p>
        </w:tc>
      </w:tr>
      <w:tr w14:paraId="298C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7460217B">
            <w:pPr>
              <w:spacing w:line="240" w:lineRule="auto"/>
              <w:jc w:val="center"/>
              <w:rPr>
                <w:color w:val="000000"/>
                <w:sz w:val="21"/>
              </w:rPr>
            </w:pPr>
            <w:r>
              <w:rPr>
                <w:color w:val="000000"/>
                <w:sz w:val="21"/>
              </w:rPr>
              <w:t>5</w:t>
            </w:r>
          </w:p>
        </w:tc>
        <w:tc>
          <w:tcPr>
            <w:tcW w:w="2084" w:type="pct"/>
            <w:tcBorders>
              <w:top w:val="single" w:color="auto" w:sz="4" w:space="0"/>
              <w:left w:val="single" w:color="auto" w:sz="4" w:space="0"/>
              <w:bottom w:val="single" w:color="auto" w:sz="4" w:space="0"/>
              <w:right w:val="single" w:color="auto" w:sz="4" w:space="0"/>
            </w:tcBorders>
            <w:vAlign w:val="center"/>
          </w:tcPr>
          <w:p w14:paraId="593A1894">
            <w:pPr>
              <w:spacing w:line="240" w:lineRule="auto"/>
              <w:jc w:val="center"/>
              <w:rPr>
                <w:color w:val="000000"/>
                <w:sz w:val="21"/>
              </w:rPr>
            </w:pPr>
            <w:r>
              <w:rPr>
                <w:color w:val="000000"/>
                <w:sz w:val="21"/>
              </w:rPr>
              <w:t>S-106A/S脱汞后过滤器</w:t>
            </w:r>
          </w:p>
        </w:tc>
        <w:tc>
          <w:tcPr>
            <w:tcW w:w="1211" w:type="pct"/>
            <w:tcBorders>
              <w:top w:val="single" w:color="auto" w:sz="4" w:space="0"/>
              <w:left w:val="single" w:color="auto" w:sz="4" w:space="0"/>
              <w:bottom w:val="single" w:color="auto" w:sz="4" w:space="0"/>
              <w:right w:val="single" w:color="auto" w:sz="4" w:space="0"/>
            </w:tcBorders>
            <w:vAlign w:val="center"/>
          </w:tcPr>
          <w:p w14:paraId="1ED02F1C">
            <w:pPr>
              <w:spacing w:line="240" w:lineRule="auto"/>
              <w:jc w:val="center"/>
              <w:rPr>
                <w:color w:val="000000"/>
                <w:sz w:val="21"/>
              </w:rPr>
            </w:pPr>
            <w:r>
              <w:rPr>
                <w:color w:val="000000"/>
                <w:sz w:val="21"/>
              </w:rPr>
              <w:t>精密过滤器</w:t>
            </w:r>
          </w:p>
        </w:tc>
        <w:tc>
          <w:tcPr>
            <w:tcW w:w="532" w:type="pct"/>
            <w:tcBorders>
              <w:top w:val="single" w:color="auto" w:sz="4" w:space="0"/>
              <w:left w:val="single" w:color="auto" w:sz="4" w:space="0"/>
              <w:bottom w:val="single" w:color="auto" w:sz="4" w:space="0"/>
              <w:right w:val="single" w:color="auto" w:sz="4" w:space="0"/>
            </w:tcBorders>
            <w:vAlign w:val="center"/>
          </w:tcPr>
          <w:p w14:paraId="0D38409E">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7C72FB2D">
            <w:pPr>
              <w:spacing w:line="240" w:lineRule="auto"/>
              <w:jc w:val="center"/>
              <w:rPr>
                <w:color w:val="000000"/>
                <w:sz w:val="21"/>
              </w:rPr>
            </w:pPr>
            <w:r>
              <w:rPr>
                <w:color w:val="000000"/>
                <w:sz w:val="21"/>
              </w:rPr>
              <w:t>2</w:t>
            </w:r>
          </w:p>
        </w:tc>
      </w:tr>
      <w:tr w14:paraId="48BC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632D6550">
            <w:pPr>
              <w:spacing w:line="240" w:lineRule="auto"/>
              <w:jc w:val="center"/>
              <w:rPr>
                <w:color w:val="000000"/>
                <w:sz w:val="21"/>
              </w:rPr>
            </w:pPr>
            <w:r>
              <w:rPr>
                <w:color w:val="000000"/>
                <w:sz w:val="21"/>
              </w:rPr>
              <w:t>6</w:t>
            </w:r>
          </w:p>
        </w:tc>
        <w:tc>
          <w:tcPr>
            <w:tcW w:w="2084" w:type="pct"/>
            <w:tcBorders>
              <w:top w:val="single" w:color="auto" w:sz="4" w:space="0"/>
              <w:left w:val="single" w:color="auto" w:sz="4" w:space="0"/>
              <w:bottom w:val="single" w:color="auto" w:sz="4" w:space="0"/>
              <w:right w:val="single" w:color="auto" w:sz="4" w:space="0"/>
            </w:tcBorders>
            <w:vAlign w:val="center"/>
          </w:tcPr>
          <w:p w14:paraId="4E100267">
            <w:pPr>
              <w:spacing w:line="240" w:lineRule="auto"/>
              <w:jc w:val="center"/>
              <w:rPr>
                <w:color w:val="000000"/>
                <w:sz w:val="21"/>
              </w:rPr>
            </w:pPr>
            <w:r>
              <w:rPr>
                <w:color w:val="000000"/>
                <w:sz w:val="21"/>
              </w:rPr>
              <w:t>S-107A/S富溶剂过滤器</w:t>
            </w:r>
          </w:p>
        </w:tc>
        <w:tc>
          <w:tcPr>
            <w:tcW w:w="1211" w:type="pct"/>
            <w:tcBorders>
              <w:top w:val="single" w:color="auto" w:sz="4" w:space="0"/>
              <w:left w:val="single" w:color="auto" w:sz="4" w:space="0"/>
              <w:bottom w:val="single" w:color="auto" w:sz="4" w:space="0"/>
              <w:right w:val="single" w:color="auto" w:sz="4" w:space="0"/>
            </w:tcBorders>
            <w:vAlign w:val="center"/>
          </w:tcPr>
          <w:p w14:paraId="7348C93A">
            <w:pPr>
              <w:spacing w:line="240" w:lineRule="auto"/>
              <w:jc w:val="center"/>
              <w:rPr>
                <w:color w:val="000000"/>
                <w:sz w:val="21"/>
              </w:rPr>
            </w:pPr>
            <w:r>
              <w:rPr>
                <w:color w:val="000000"/>
                <w:sz w:val="21"/>
              </w:rPr>
              <w:t>精密过滤器</w:t>
            </w:r>
          </w:p>
        </w:tc>
        <w:tc>
          <w:tcPr>
            <w:tcW w:w="532" w:type="pct"/>
            <w:tcBorders>
              <w:top w:val="single" w:color="auto" w:sz="4" w:space="0"/>
              <w:left w:val="single" w:color="auto" w:sz="4" w:space="0"/>
              <w:bottom w:val="single" w:color="auto" w:sz="4" w:space="0"/>
              <w:right w:val="single" w:color="auto" w:sz="4" w:space="0"/>
            </w:tcBorders>
            <w:vAlign w:val="center"/>
          </w:tcPr>
          <w:p w14:paraId="49E57AB6">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0B9F79E0">
            <w:pPr>
              <w:spacing w:line="240" w:lineRule="auto"/>
              <w:jc w:val="center"/>
              <w:rPr>
                <w:color w:val="000000"/>
                <w:sz w:val="21"/>
              </w:rPr>
            </w:pPr>
            <w:r>
              <w:rPr>
                <w:color w:val="000000"/>
                <w:sz w:val="21"/>
              </w:rPr>
              <w:t>2</w:t>
            </w:r>
          </w:p>
        </w:tc>
      </w:tr>
      <w:tr w14:paraId="7536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1CFE7FB4">
            <w:pPr>
              <w:spacing w:line="240" w:lineRule="auto"/>
              <w:jc w:val="center"/>
              <w:rPr>
                <w:color w:val="000000"/>
                <w:sz w:val="21"/>
              </w:rPr>
            </w:pPr>
            <w:r>
              <w:rPr>
                <w:color w:val="000000"/>
                <w:sz w:val="21"/>
              </w:rPr>
              <w:t>7</w:t>
            </w:r>
          </w:p>
        </w:tc>
        <w:tc>
          <w:tcPr>
            <w:tcW w:w="2084" w:type="pct"/>
            <w:tcBorders>
              <w:top w:val="single" w:color="auto" w:sz="4" w:space="0"/>
              <w:left w:val="single" w:color="auto" w:sz="4" w:space="0"/>
              <w:bottom w:val="single" w:color="auto" w:sz="4" w:space="0"/>
              <w:right w:val="single" w:color="auto" w:sz="4" w:space="0"/>
            </w:tcBorders>
            <w:vAlign w:val="center"/>
          </w:tcPr>
          <w:p w14:paraId="0D366155">
            <w:pPr>
              <w:spacing w:line="240" w:lineRule="auto"/>
              <w:jc w:val="center"/>
              <w:rPr>
                <w:color w:val="000000"/>
                <w:sz w:val="21"/>
              </w:rPr>
            </w:pPr>
            <w:r>
              <w:rPr>
                <w:color w:val="000000"/>
                <w:sz w:val="21"/>
              </w:rPr>
              <w:t>S-403丙烷过滤器</w:t>
            </w:r>
          </w:p>
        </w:tc>
        <w:tc>
          <w:tcPr>
            <w:tcW w:w="1211" w:type="pct"/>
            <w:tcBorders>
              <w:top w:val="single" w:color="auto" w:sz="4" w:space="0"/>
              <w:left w:val="single" w:color="auto" w:sz="4" w:space="0"/>
              <w:bottom w:val="single" w:color="auto" w:sz="4" w:space="0"/>
              <w:right w:val="single" w:color="auto" w:sz="4" w:space="0"/>
            </w:tcBorders>
            <w:vAlign w:val="center"/>
          </w:tcPr>
          <w:p w14:paraId="006152AB">
            <w:pPr>
              <w:spacing w:line="240" w:lineRule="auto"/>
              <w:jc w:val="center"/>
              <w:rPr>
                <w:color w:val="000000"/>
                <w:sz w:val="21"/>
              </w:rPr>
            </w:pPr>
            <w:r>
              <w:rPr>
                <w:color w:val="000000"/>
                <w:sz w:val="21"/>
              </w:rPr>
              <w:t>精密过滤器</w:t>
            </w:r>
          </w:p>
        </w:tc>
        <w:tc>
          <w:tcPr>
            <w:tcW w:w="532" w:type="pct"/>
            <w:tcBorders>
              <w:top w:val="single" w:color="auto" w:sz="4" w:space="0"/>
              <w:left w:val="single" w:color="auto" w:sz="4" w:space="0"/>
              <w:bottom w:val="single" w:color="auto" w:sz="4" w:space="0"/>
              <w:right w:val="single" w:color="auto" w:sz="4" w:space="0"/>
            </w:tcBorders>
            <w:vAlign w:val="center"/>
          </w:tcPr>
          <w:p w14:paraId="5877C9B2">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004805D8">
            <w:pPr>
              <w:spacing w:line="240" w:lineRule="auto"/>
              <w:jc w:val="center"/>
              <w:rPr>
                <w:color w:val="000000"/>
                <w:sz w:val="21"/>
              </w:rPr>
            </w:pPr>
            <w:r>
              <w:rPr>
                <w:color w:val="000000"/>
                <w:sz w:val="21"/>
              </w:rPr>
              <w:t>1</w:t>
            </w:r>
          </w:p>
        </w:tc>
      </w:tr>
      <w:tr w14:paraId="133D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6D31379A">
            <w:pPr>
              <w:spacing w:line="240" w:lineRule="auto"/>
              <w:jc w:val="center"/>
              <w:rPr>
                <w:color w:val="000000"/>
                <w:sz w:val="21"/>
              </w:rPr>
            </w:pPr>
            <w:r>
              <w:rPr>
                <w:color w:val="000000"/>
                <w:sz w:val="21"/>
              </w:rPr>
              <w:t>8</w:t>
            </w:r>
          </w:p>
        </w:tc>
        <w:tc>
          <w:tcPr>
            <w:tcW w:w="2084" w:type="pct"/>
            <w:tcBorders>
              <w:top w:val="single" w:color="auto" w:sz="4" w:space="0"/>
              <w:left w:val="single" w:color="auto" w:sz="4" w:space="0"/>
              <w:bottom w:val="single" w:color="auto" w:sz="4" w:space="0"/>
              <w:right w:val="single" w:color="auto" w:sz="4" w:space="0"/>
            </w:tcBorders>
            <w:vAlign w:val="center"/>
          </w:tcPr>
          <w:p w14:paraId="2541696F">
            <w:pPr>
              <w:spacing w:line="240" w:lineRule="auto"/>
              <w:jc w:val="center"/>
              <w:rPr>
                <w:color w:val="000000"/>
                <w:sz w:val="21"/>
              </w:rPr>
            </w:pPr>
            <w:r>
              <w:rPr>
                <w:color w:val="000000"/>
                <w:sz w:val="21"/>
              </w:rPr>
              <w:t>S-405异戊烷过滤器</w:t>
            </w:r>
          </w:p>
        </w:tc>
        <w:tc>
          <w:tcPr>
            <w:tcW w:w="1211" w:type="pct"/>
            <w:tcBorders>
              <w:top w:val="single" w:color="auto" w:sz="4" w:space="0"/>
              <w:left w:val="single" w:color="auto" w:sz="4" w:space="0"/>
              <w:bottom w:val="single" w:color="auto" w:sz="4" w:space="0"/>
              <w:right w:val="single" w:color="auto" w:sz="4" w:space="0"/>
            </w:tcBorders>
            <w:vAlign w:val="center"/>
          </w:tcPr>
          <w:p w14:paraId="7A12944C">
            <w:pPr>
              <w:spacing w:line="240" w:lineRule="auto"/>
              <w:jc w:val="center"/>
              <w:rPr>
                <w:color w:val="000000"/>
                <w:sz w:val="21"/>
              </w:rPr>
            </w:pPr>
            <w:r>
              <w:rPr>
                <w:color w:val="000000"/>
                <w:sz w:val="21"/>
              </w:rPr>
              <w:t>精密过滤器</w:t>
            </w:r>
          </w:p>
        </w:tc>
        <w:tc>
          <w:tcPr>
            <w:tcW w:w="532" w:type="pct"/>
            <w:tcBorders>
              <w:top w:val="single" w:color="auto" w:sz="4" w:space="0"/>
              <w:left w:val="single" w:color="auto" w:sz="4" w:space="0"/>
              <w:bottom w:val="single" w:color="auto" w:sz="4" w:space="0"/>
              <w:right w:val="single" w:color="auto" w:sz="4" w:space="0"/>
            </w:tcBorders>
            <w:vAlign w:val="center"/>
          </w:tcPr>
          <w:p w14:paraId="15155788">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764FEB2E">
            <w:pPr>
              <w:spacing w:line="240" w:lineRule="auto"/>
              <w:jc w:val="center"/>
              <w:rPr>
                <w:color w:val="000000"/>
                <w:sz w:val="21"/>
              </w:rPr>
            </w:pPr>
            <w:r>
              <w:rPr>
                <w:color w:val="000000"/>
                <w:sz w:val="21"/>
              </w:rPr>
              <w:t>1</w:t>
            </w:r>
          </w:p>
        </w:tc>
      </w:tr>
      <w:tr w14:paraId="765C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567B3B7E">
            <w:pPr>
              <w:spacing w:line="240" w:lineRule="auto"/>
              <w:jc w:val="center"/>
              <w:rPr>
                <w:color w:val="000000"/>
                <w:sz w:val="21"/>
              </w:rPr>
            </w:pPr>
            <w:r>
              <w:rPr>
                <w:color w:val="000000"/>
                <w:sz w:val="21"/>
              </w:rPr>
              <w:t>9</w:t>
            </w:r>
          </w:p>
        </w:tc>
        <w:tc>
          <w:tcPr>
            <w:tcW w:w="2084" w:type="pct"/>
            <w:tcBorders>
              <w:top w:val="single" w:color="auto" w:sz="4" w:space="0"/>
              <w:left w:val="single" w:color="auto" w:sz="4" w:space="0"/>
              <w:bottom w:val="single" w:color="auto" w:sz="4" w:space="0"/>
              <w:right w:val="single" w:color="auto" w:sz="4" w:space="0"/>
            </w:tcBorders>
            <w:vAlign w:val="center"/>
          </w:tcPr>
          <w:p w14:paraId="65AA0724">
            <w:pPr>
              <w:spacing w:line="240" w:lineRule="auto"/>
              <w:jc w:val="center"/>
              <w:rPr>
                <w:color w:val="000000"/>
                <w:sz w:val="21"/>
              </w:rPr>
            </w:pPr>
            <w:r>
              <w:rPr>
                <w:color w:val="000000"/>
                <w:sz w:val="21"/>
              </w:rPr>
              <w:t>E-101原料气压缩机后水冷器</w:t>
            </w:r>
          </w:p>
        </w:tc>
        <w:tc>
          <w:tcPr>
            <w:tcW w:w="1211" w:type="pct"/>
            <w:tcBorders>
              <w:top w:val="single" w:color="auto" w:sz="4" w:space="0"/>
              <w:left w:val="single" w:color="auto" w:sz="4" w:space="0"/>
              <w:bottom w:val="single" w:color="auto" w:sz="4" w:space="0"/>
              <w:right w:val="single" w:color="auto" w:sz="4" w:space="0"/>
            </w:tcBorders>
            <w:vAlign w:val="center"/>
          </w:tcPr>
          <w:p w14:paraId="5BBDE6D0">
            <w:pPr>
              <w:spacing w:line="240" w:lineRule="auto"/>
              <w:jc w:val="center"/>
              <w:rPr>
                <w:color w:val="000000"/>
                <w:sz w:val="21"/>
              </w:rPr>
            </w:pPr>
            <w:r>
              <w:rPr>
                <w:color w:val="000000"/>
                <w:sz w:val="21"/>
              </w:rPr>
              <w:t>AEM</w:t>
            </w:r>
          </w:p>
        </w:tc>
        <w:tc>
          <w:tcPr>
            <w:tcW w:w="532" w:type="pct"/>
            <w:tcBorders>
              <w:top w:val="single" w:color="auto" w:sz="4" w:space="0"/>
              <w:left w:val="single" w:color="auto" w:sz="4" w:space="0"/>
              <w:bottom w:val="single" w:color="auto" w:sz="4" w:space="0"/>
              <w:right w:val="single" w:color="auto" w:sz="4" w:space="0"/>
            </w:tcBorders>
            <w:vAlign w:val="center"/>
          </w:tcPr>
          <w:p w14:paraId="4F2C90E0">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04488485">
            <w:pPr>
              <w:spacing w:line="240" w:lineRule="auto"/>
              <w:jc w:val="center"/>
              <w:rPr>
                <w:color w:val="000000"/>
                <w:sz w:val="21"/>
              </w:rPr>
            </w:pPr>
            <w:r>
              <w:rPr>
                <w:color w:val="000000"/>
                <w:sz w:val="21"/>
              </w:rPr>
              <w:t>1</w:t>
            </w:r>
          </w:p>
        </w:tc>
      </w:tr>
      <w:tr w14:paraId="3D71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32337E72">
            <w:pPr>
              <w:spacing w:line="240" w:lineRule="auto"/>
              <w:jc w:val="center"/>
              <w:rPr>
                <w:color w:val="000000"/>
                <w:sz w:val="21"/>
              </w:rPr>
            </w:pPr>
            <w:r>
              <w:rPr>
                <w:color w:val="000000"/>
                <w:sz w:val="21"/>
              </w:rPr>
              <w:t>10</w:t>
            </w:r>
          </w:p>
        </w:tc>
        <w:tc>
          <w:tcPr>
            <w:tcW w:w="2084" w:type="pct"/>
            <w:tcBorders>
              <w:top w:val="single" w:color="auto" w:sz="4" w:space="0"/>
              <w:left w:val="single" w:color="auto" w:sz="4" w:space="0"/>
              <w:bottom w:val="single" w:color="auto" w:sz="4" w:space="0"/>
              <w:right w:val="single" w:color="auto" w:sz="4" w:space="0"/>
            </w:tcBorders>
            <w:vAlign w:val="center"/>
          </w:tcPr>
          <w:p w14:paraId="64EF5D81">
            <w:pPr>
              <w:spacing w:line="240" w:lineRule="auto"/>
              <w:jc w:val="center"/>
              <w:rPr>
                <w:color w:val="000000"/>
                <w:sz w:val="21"/>
              </w:rPr>
            </w:pPr>
            <w:r>
              <w:rPr>
                <w:color w:val="000000"/>
                <w:sz w:val="21"/>
              </w:rPr>
              <w:t>E-103胺洗塔顶冷凝器</w:t>
            </w:r>
          </w:p>
        </w:tc>
        <w:tc>
          <w:tcPr>
            <w:tcW w:w="1211" w:type="pct"/>
            <w:tcBorders>
              <w:top w:val="single" w:color="auto" w:sz="4" w:space="0"/>
              <w:left w:val="single" w:color="auto" w:sz="4" w:space="0"/>
              <w:bottom w:val="single" w:color="auto" w:sz="4" w:space="0"/>
              <w:right w:val="single" w:color="auto" w:sz="4" w:space="0"/>
            </w:tcBorders>
            <w:vAlign w:val="center"/>
          </w:tcPr>
          <w:p w14:paraId="4604C269">
            <w:pPr>
              <w:spacing w:line="240" w:lineRule="auto"/>
              <w:jc w:val="center"/>
              <w:rPr>
                <w:color w:val="000000"/>
                <w:sz w:val="21"/>
              </w:rPr>
            </w:pPr>
            <w:r>
              <w:rPr>
                <w:color w:val="000000"/>
                <w:sz w:val="21"/>
              </w:rPr>
              <w:t>AEM</w:t>
            </w:r>
          </w:p>
        </w:tc>
        <w:tc>
          <w:tcPr>
            <w:tcW w:w="532" w:type="pct"/>
            <w:tcBorders>
              <w:top w:val="single" w:color="auto" w:sz="4" w:space="0"/>
              <w:left w:val="single" w:color="auto" w:sz="4" w:space="0"/>
              <w:bottom w:val="single" w:color="auto" w:sz="4" w:space="0"/>
              <w:right w:val="single" w:color="auto" w:sz="4" w:space="0"/>
            </w:tcBorders>
            <w:vAlign w:val="center"/>
          </w:tcPr>
          <w:p w14:paraId="6BAB26F0">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59C33A3A">
            <w:pPr>
              <w:spacing w:line="240" w:lineRule="auto"/>
              <w:jc w:val="center"/>
              <w:rPr>
                <w:color w:val="000000"/>
                <w:sz w:val="21"/>
              </w:rPr>
            </w:pPr>
            <w:r>
              <w:rPr>
                <w:color w:val="000000"/>
                <w:sz w:val="21"/>
              </w:rPr>
              <w:t>1</w:t>
            </w:r>
          </w:p>
        </w:tc>
      </w:tr>
      <w:tr w14:paraId="5A41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4326E2DB">
            <w:pPr>
              <w:spacing w:line="240" w:lineRule="auto"/>
              <w:jc w:val="center"/>
              <w:rPr>
                <w:color w:val="000000"/>
                <w:sz w:val="21"/>
              </w:rPr>
            </w:pPr>
            <w:r>
              <w:rPr>
                <w:color w:val="000000"/>
                <w:sz w:val="21"/>
              </w:rPr>
              <w:t>11</w:t>
            </w:r>
          </w:p>
        </w:tc>
        <w:tc>
          <w:tcPr>
            <w:tcW w:w="2084" w:type="pct"/>
            <w:tcBorders>
              <w:top w:val="single" w:color="auto" w:sz="4" w:space="0"/>
              <w:left w:val="single" w:color="auto" w:sz="4" w:space="0"/>
              <w:bottom w:val="single" w:color="auto" w:sz="4" w:space="0"/>
              <w:right w:val="single" w:color="auto" w:sz="4" w:space="0"/>
            </w:tcBorders>
            <w:vAlign w:val="center"/>
          </w:tcPr>
          <w:p w14:paraId="0F50D70D">
            <w:pPr>
              <w:spacing w:line="240" w:lineRule="auto"/>
              <w:jc w:val="center"/>
              <w:rPr>
                <w:color w:val="000000"/>
                <w:sz w:val="21"/>
              </w:rPr>
            </w:pPr>
            <w:r>
              <w:rPr>
                <w:color w:val="000000"/>
                <w:sz w:val="21"/>
              </w:rPr>
              <w:t>E-104进出料换热器</w:t>
            </w:r>
          </w:p>
        </w:tc>
        <w:tc>
          <w:tcPr>
            <w:tcW w:w="1211" w:type="pct"/>
            <w:tcBorders>
              <w:top w:val="single" w:color="auto" w:sz="4" w:space="0"/>
              <w:left w:val="single" w:color="auto" w:sz="4" w:space="0"/>
              <w:bottom w:val="single" w:color="auto" w:sz="4" w:space="0"/>
              <w:right w:val="single" w:color="auto" w:sz="4" w:space="0"/>
            </w:tcBorders>
            <w:vAlign w:val="center"/>
          </w:tcPr>
          <w:p w14:paraId="0DA31CE0">
            <w:pPr>
              <w:spacing w:line="240" w:lineRule="auto"/>
              <w:jc w:val="center"/>
              <w:rPr>
                <w:color w:val="000000"/>
                <w:sz w:val="21"/>
              </w:rPr>
            </w:pPr>
            <w:r>
              <w:rPr>
                <w:color w:val="000000"/>
                <w:sz w:val="21"/>
              </w:rPr>
              <w:t>板式换热器</w:t>
            </w:r>
          </w:p>
        </w:tc>
        <w:tc>
          <w:tcPr>
            <w:tcW w:w="532" w:type="pct"/>
            <w:tcBorders>
              <w:top w:val="single" w:color="auto" w:sz="4" w:space="0"/>
              <w:left w:val="single" w:color="auto" w:sz="4" w:space="0"/>
              <w:bottom w:val="single" w:color="auto" w:sz="4" w:space="0"/>
              <w:right w:val="single" w:color="auto" w:sz="4" w:space="0"/>
            </w:tcBorders>
            <w:vAlign w:val="center"/>
          </w:tcPr>
          <w:p w14:paraId="1F5CB994">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109AD93B">
            <w:pPr>
              <w:spacing w:line="240" w:lineRule="auto"/>
              <w:jc w:val="center"/>
              <w:rPr>
                <w:color w:val="000000"/>
                <w:sz w:val="21"/>
              </w:rPr>
            </w:pPr>
            <w:r>
              <w:rPr>
                <w:color w:val="000000"/>
                <w:sz w:val="21"/>
              </w:rPr>
              <w:t>1</w:t>
            </w:r>
          </w:p>
        </w:tc>
      </w:tr>
      <w:tr w14:paraId="123D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2C69078C">
            <w:pPr>
              <w:spacing w:line="240" w:lineRule="auto"/>
              <w:jc w:val="center"/>
              <w:rPr>
                <w:color w:val="000000"/>
                <w:sz w:val="21"/>
              </w:rPr>
            </w:pPr>
            <w:r>
              <w:rPr>
                <w:color w:val="000000"/>
                <w:sz w:val="21"/>
              </w:rPr>
              <w:t>12</w:t>
            </w:r>
          </w:p>
        </w:tc>
        <w:tc>
          <w:tcPr>
            <w:tcW w:w="2084" w:type="pct"/>
            <w:tcBorders>
              <w:top w:val="single" w:color="auto" w:sz="4" w:space="0"/>
              <w:left w:val="single" w:color="auto" w:sz="4" w:space="0"/>
              <w:bottom w:val="single" w:color="auto" w:sz="4" w:space="0"/>
              <w:right w:val="single" w:color="auto" w:sz="4" w:space="0"/>
            </w:tcBorders>
            <w:vAlign w:val="center"/>
          </w:tcPr>
          <w:p w14:paraId="791DE769">
            <w:pPr>
              <w:spacing w:line="240" w:lineRule="auto"/>
              <w:jc w:val="center"/>
              <w:rPr>
                <w:color w:val="000000"/>
                <w:sz w:val="21"/>
              </w:rPr>
            </w:pPr>
            <w:r>
              <w:rPr>
                <w:color w:val="000000"/>
                <w:sz w:val="21"/>
              </w:rPr>
              <w:t>E-105溶剂再生塔冷凝器</w:t>
            </w:r>
          </w:p>
        </w:tc>
        <w:tc>
          <w:tcPr>
            <w:tcW w:w="1211" w:type="pct"/>
            <w:tcBorders>
              <w:top w:val="single" w:color="auto" w:sz="4" w:space="0"/>
              <w:left w:val="single" w:color="auto" w:sz="4" w:space="0"/>
              <w:bottom w:val="single" w:color="auto" w:sz="4" w:space="0"/>
              <w:right w:val="single" w:color="auto" w:sz="4" w:space="0"/>
            </w:tcBorders>
            <w:vAlign w:val="center"/>
          </w:tcPr>
          <w:p w14:paraId="37C1D869">
            <w:pPr>
              <w:spacing w:line="240" w:lineRule="auto"/>
              <w:jc w:val="center"/>
              <w:rPr>
                <w:color w:val="000000"/>
                <w:sz w:val="21"/>
              </w:rPr>
            </w:pPr>
            <w:r>
              <w:rPr>
                <w:color w:val="000000"/>
                <w:sz w:val="21"/>
              </w:rPr>
              <w:t>AEM</w:t>
            </w:r>
          </w:p>
        </w:tc>
        <w:tc>
          <w:tcPr>
            <w:tcW w:w="532" w:type="pct"/>
            <w:tcBorders>
              <w:top w:val="single" w:color="auto" w:sz="4" w:space="0"/>
              <w:left w:val="single" w:color="auto" w:sz="4" w:space="0"/>
              <w:bottom w:val="single" w:color="auto" w:sz="4" w:space="0"/>
              <w:right w:val="single" w:color="auto" w:sz="4" w:space="0"/>
            </w:tcBorders>
            <w:vAlign w:val="center"/>
          </w:tcPr>
          <w:p w14:paraId="5DD64B7B">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47B233B9">
            <w:pPr>
              <w:spacing w:line="240" w:lineRule="auto"/>
              <w:jc w:val="center"/>
              <w:rPr>
                <w:color w:val="000000"/>
                <w:sz w:val="21"/>
              </w:rPr>
            </w:pPr>
            <w:r>
              <w:rPr>
                <w:color w:val="000000"/>
                <w:sz w:val="21"/>
              </w:rPr>
              <w:t>1</w:t>
            </w:r>
          </w:p>
        </w:tc>
      </w:tr>
      <w:tr w14:paraId="30C9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04AFA81A">
            <w:pPr>
              <w:spacing w:line="240" w:lineRule="auto"/>
              <w:jc w:val="center"/>
              <w:rPr>
                <w:color w:val="000000"/>
                <w:sz w:val="21"/>
              </w:rPr>
            </w:pPr>
            <w:r>
              <w:rPr>
                <w:color w:val="000000"/>
                <w:sz w:val="21"/>
              </w:rPr>
              <w:t>13</w:t>
            </w:r>
          </w:p>
        </w:tc>
        <w:tc>
          <w:tcPr>
            <w:tcW w:w="2084" w:type="pct"/>
            <w:tcBorders>
              <w:top w:val="single" w:color="auto" w:sz="4" w:space="0"/>
              <w:left w:val="single" w:color="auto" w:sz="4" w:space="0"/>
              <w:bottom w:val="single" w:color="auto" w:sz="4" w:space="0"/>
              <w:right w:val="single" w:color="auto" w:sz="4" w:space="0"/>
            </w:tcBorders>
            <w:vAlign w:val="center"/>
          </w:tcPr>
          <w:p w14:paraId="09916471">
            <w:pPr>
              <w:spacing w:line="240" w:lineRule="auto"/>
              <w:jc w:val="center"/>
              <w:rPr>
                <w:color w:val="000000"/>
                <w:sz w:val="21"/>
              </w:rPr>
            </w:pPr>
            <w:r>
              <w:rPr>
                <w:color w:val="000000"/>
                <w:sz w:val="21"/>
              </w:rPr>
              <w:t>E-106溶剂再生塔再沸器</w:t>
            </w:r>
          </w:p>
        </w:tc>
        <w:tc>
          <w:tcPr>
            <w:tcW w:w="1211" w:type="pct"/>
            <w:tcBorders>
              <w:top w:val="single" w:color="auto" w:sz="4" w:space="0"/>
              <w:left w:val="single" w:color="auto" w:sz="4" w:space="0"/>
              <w:bottom w:val="single" w:color="auto" w:sz="4" w:space="0"/>
              <w:right w:val="single" w:color="auto" w:sz="4" w:space="0"/>
            </w:tcBorders>
            <w:vAlign w:val="center"/>
          </w:tcPr>
          <w:p w14:paraId="2F32427C">
            <w:pPr>
              <w:spacing w:line="240" w:lineRule="auto"/>
              <w:jc w:val="center"/>
              <w:rPr>
                <w:color w:val="000000"/>
                <w:sz w:val="21"/>
              </w:rPr>
            </w:pPr>
            <w:r>
              <w:rPr>
                <w:color w:val="000000"/>
                <w:sz w:val="21"/>
              </w:rPr>
              <w:t>BKU</w:t>
            </w:r>
          </w:p>
        </w:tc>
        <w:tc>
          <w:tcPr>
            <w:tcW w:w="532" w:type="pct"/>
            <w:tcBorders>
              <w:top w:val="single" w:color="auto" w:sz="4" w:space="0"/>
              <w:left w:val="single" w:color="auto" w:sz="4" w:space="0"/>
              <w:bottom w:val="single" w:color="auto" w:sz="4" w:space="0"/>
              <w:right w:val="single" w:color="auto" w:sz="4" w:space="0"/>
            </w:tcBorders>
            <w:vAlign w:val="center"/>
          </w:tcPr>
          <w:p w14:paraId="02B29BD7">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0EC034BA">
            <w:pPr>
              <w:spacing w:line="240" w:lineRule="auto"/>
              <w:jc w:val="center"/>
              <w:rPr>
                <w:color w:val="000000"/>
                <w:sz w:val="21"/>
              </w:rPr>
            </w:pPr>
            <w:r>
              <w:rPr>
                <w:color w:val="000000"/>
                <w:sz w:val="21"/>
              </w:rPr>
              <w:t>1</w:t>
            </w:r>
          </w:p>
        </w:tc>
      </w:tr>
      <w:tr w14:paraId="598B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102C561A">
            <w:pPr>
              <w:spacing w:line="240" w:lineRule="auto"/>
              <w:jc w:val="center"/>
              <w:rPr>
                <w:color w:val="000000"/>
                <w:sz w:val="21"/>
              </w:rPr>
            </w:pPr>
            <w:r>
              <w:rPr>
                <w:color w:val="000000"/>
                <w:sz w:val="21"/>
              </w:rPr>
              <w:t>14</w:t>
            </w:r>
          </w:p>
        </w:tc>
        <w:tc>
          <w:tcPr>
            <w:tcW w:w="2084" w:type="pct"/>
            <w:tcBorders>
              <w:top w:val="single" w:color="auto" w:sz="4" w:space="0"/>
              <w:left w:val="single" w:color="auto" w:sz="4" w:space="0"/>
              <w:bottom w:val="single" w:color="auto" w:sz="4" w:space="0"/>
              <w:right w:val="single" w:color="auto" w:sz="4" w:space="0"/>
            </w:tcBorders>
            <w:vAlign w:val="center"/>
          </w:tcPr>
          <w:p w14:paraId="6ADE74A7">
            <w:pPr>
              <w:spacing w:line="240" w:lineRule="auto"/>
              <w:jc w:val="center"/>
              <w:rPr>
                <w:color w:val="000000"/>
                <w:sz w:val="21"/>
              </w:rPr>
            </w:pPr>
            <w:r>
              <w:rPr>
                <w:color w:val="000000"/>
                <w:sz w:val="21"/>
              </w:rPr>
              <w:t>E-107A/B贫溶剂冷却器</w:t>
            </w:r>
          </w:p>
        </w:tc>
        <w:tc>
          <w:tcPr>
            <w:tcW w:w="1211" w:type="pct"/>
            <w:tcBorders>
              <w:top w:val="single" w:color="auto" w:sz="4" w:space="0"/>
              <w:left w:val="single" w:color="auto" w:sz="4" w:space="0"/>
              <w:bottom w:val="single" w:color="auto" w:sz="4" w:space="0"/>
              <w:right w:val="single" w:color="auto" w:sz="4" w:space="0"/>
            </w:tcBorders>
            <w:vAlign w:val="center"/>
          </w:tcPr>
          <w:p w14:paraId="3B50EAC5">
            <w:pPr>
              <w:spacing w:line="240" w:lineRule="auto"/>
              <w:jc w:val="center"/>
              <w:rPr>
                <w:color w:val="000000"/>
                <w:sz w:val="21"/>
              </w:rPr>
            </w:pPr>
            <w:r>
              <w:rPr>
                <w:color w:val="000000"/>
                <w:sz w:val="21"/>
              </w:rPr>
              <w:t>AEM</w:t>
            </w:r>
          </w:p>
        </w:tc>
        <w:tc>
          <w:tcPr>
            <w:tcW w:w="532" w:type="pct"/>
            <w:tcBorders>
              <w:top w:val="single" w:color="auto" w:sz="4" w:space="0"/>
              <w:left w:val="single" w:color="auto" w:sz="4" w:space="0"/>
              <w:bottom w:val="single" w:color="auto" w:sz="4" w:space="0"/>
              <w:right w:val="single" w:color="auto" w:sz="4" w:space="0"/>
            </w:tcBorders>
            <w:vAlign w:val="center"/>
          </w:tcPr>
          <w:p w14:paraId="24AA4933">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4090F07B">
            <w:pPr>
              <w:spacing w:line="240" w:lineRule="auto"/>
              <w:jc w:val="center"/>
              <w:rPr>
                <w:color w:val="000000"/>
                <w:sz w:val="21"/>
              </w:rPr>
            </w:pPr>
            <w:r>
              <w:rPr>
                <w:color w:val="000000"/>
                <w:sz w:val="21"/>
              </w:rPr>
              <w:t>2</w:t>
            </w:r>
          </w:p>
        </w:tc>
      </w:tr>
      <w:tr w14:paraId="3284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457A9AA4">
            <w:pPr>
              <w:spacing w:line="240" w:lineRule="auto"/>
              <w:jc w:val="center"/>
              <w:rPr>
                <w:color w:val="000000"/>
                <w:sz w:val="21"/>
              </w:rPr>
            </w:pPr>
            <w:r>
              <w:rPr>
                <w:color w:val="000000"/>
                <w:sz w:val="21"/>
              </w:rPr>
              <w:t>15</w:t>
            </w:r>
          </w:p>
        </w:tc>
        <w:tc>
          <w:tcPr>
            <w:tcW w:w="2084" w:type="pct"/>
            <w:tcBorders>
              <w:top w:val="single" w:color="auto" w:sz="4" w:space="0"/>
              <w:left w:val="single" w:color="auto" w:sz="4" w:space="0"/>
              <w:bottom w:val="single" w:color="auto" w:sz="4" w:space="0"/>
              <w:right w:val="single" w:color="auto" w:sz="4" w:space="0"/>
            </w:tcBorders>
            <w:vAlign w:val="center"/>
          </w:tcPr>
          <w:p w14:paraId="4EF5AA37">
            <w:pPr>
              <w:spacing w:line="240" w:lineRule="auto"/>
              <w:jc w:val="center"/>
              <w:rPr>
                <w:color w:val="000000"/>
                <w:sz w:val="21"/>
              </w:rPr>
            </w:pPr>
            <w:r>
              <w:rPr>
                <w:color w:val="000000"/>
                <w:sz w:val="21"/>
              </w:rPr>
              <w:t>E-108再生气冷却器</w:t>
            </w:r>
          </w:p>
        </w:tc>
        <w:tc>
          <w:tcPr>
            <w:tcW w:w="1211" w:type="pct"/>
            <w:tcBorders>
              <w:top w:val="single" w:color="auto" w:sz="4" w:space="0"/>
              <w:left w:val="single" w:color="auto" w:sz="4" w:space="0"/>
              <w:bottom w:val="single" w:color="auto" w:sz="4" w:space="0"/>
              <w:right w:val="single" w:color="auto" w:sz="4" w:space="0"/>
            </w:tcBorders>
            <w:vAlign w:val="center"/>
          </w:tcPr>
          <w:p w14:paraId="38037380">
            <w:pPr>
              <w:spacing w:line="240" w:lineRule="auto"/>
              <w:jc w:val="center"/>
              <w:rPr>
                <w:color w:val="000000"/>
                <w:sz w:val="21"/>
              </w:rPr>
            </w:pPr>
            <w:r>
              <w:rPr>
                <w:color w:val="000000"/>
                <w:sz w:val="21"/>
              </w:rPr>
              <w:t>AES</w:t>
            </w:r>
          </w:p>
        </w:tc>
        <w:tc>
          <w:tcPr>
            <w:tcW w:w="532" w:type="pct"/>
            <w:tcBorders>
              <w:top w:val="single" w:color="auto" w:sz="4" w:space="0"/>
              <w:left w:val="single" w:color="auto" w:sz="4" w:space="0"/>
              <w:bottom w:val="single" w:color="auto" w:sz="4" w:space="0"/>
              <w:right w:val="single" w:color="auto" w:sz="4" w:space="0"/>
            </w:tcBorders>
            <w:vAlign w:val="center"/>
          </w:tcPr>
          <w:p w14:paraId="7D649574">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4FBE3BD7">
            <w:pPr>
              <w:spacing w:line="240" w:lineRule="auto"/>
              <w:jc w:val="center"/>
              <w:rPr>
                <w:color w:val="000000"/>
                <w:sz w:val="21"/>
              </w:rPr>
            </w:pPr>
            <w:r>
              <w:rPr>
                <w:color w:val="000000"/>
                <w:sz w:val="21"/>
              </w:rPr>
              <w:t>1</w:t>
            </w:r>
          </w:p>
        </w:tc>
      </w:tr>
      <w:tr w14:paraId="7F1F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7F0B6520">
            <w:pPr>
              <w:spacing w:line="240" w:lineRule="auto"/>
              <w:jc w:val="center"/>
              <w:rPr>
                <w:color w:val="000000"/>
                <w:sz w:val="21"/>
              </w:rPr>
            </w:pPr>
            <w:r>
              <w:rPr>
                <w:color w:val="000000"/>
                <w:sz w:val="21"/>
              </w:rPr>
              <w:t>16</w:t>
            </w:r>
          </w:p>
        </w:tc>
        <w:tc>
          <w:tcPr>
            <w:tcW w:w="2084" w:type="pct"/>
            <w:tcBorders>
              <w:top w:val="single" w:color="auto" w:sz="4" w:space="0"/>
              <w:left w:val="single" w:color="auto" w:sz="4" w:space="0"/>
              <w:bottom w:val="single" w:color="auto" w:sz="4" w:space="0"/>
              <w:right w:val="single" w:color="auto" w:sz="4" w:space="0"/>
            </w:tcBorders>
            <w:vAlign w:val="center"/>
          </w:tcPr>
          <w:p w14:paraId="25FBC576">
            <w:pPr>
              <w:spacing w:line="240" w:lineRule="auto"/>
              <w:jc w:val="center"/>
              <w:rPr>
                <w:color w:val="000000"/>
                <w:sz w:val="21"/>
              </w:rPr>
            </w:pPr>
            <w:r>
              <w:rPr>
                <w:color w:val="000000"/>
                <w:sz w:val="21"/>
              </w:rPr>
              <w:t>E-109再生气加热器</w:t>
            </w:r>
          </w:p>
        </w:tc>
        <w:tc>
          <w:tcPr>
            <w:tcW w:w="1211" w:type="pct"/>
            <w:tcBorders>
              <w:top w:val="single" w:color="auto" w:sz="4" w:space="0"/>
              <w:left w:val="single" w:color="auto" w:sz="4" w:space="0"/>
              <w:bottom w:val="single" w:color="auto" w:sz="4" w:space="0"/>
              <w:right w:val="single" w:color="auto" w:sz="4" w:space="0"/>
            </w:tcBorders>
            <w:vAlign w:val="center"/>
          </w:tcPr>
          <w:p w14:paraId="5207939C">
            <w:pPr>
              <w:spacing w:line="240" w:lineRule="auto"/>
              <w:jc w:val="center"/>
              <w:rPr>
                <w:color w:val="000000"/>
                <w:sz w:val="21"/>
              </w:rPr>
            </w:pPr>
            <w:r>
              <w:rPr>
                <w:color w:val="000000"/>
                <w:sz w:val="21"/>
              </w:rPr>
              <w:t>CEU</w:t>
            </w:r>
          </w:p>
        </w:tc>
        <w:tc>
          <w:tcPr>
            <w:tcW w:w="532" w:type="pct"/>
            <w:tcBorders>
              <w:top w:val="single" w:color="auto" w:sz="4" w:space="0"/>
              <w:left w:val="single" w:color="auto" w:sz="4" w:space="0"/>
              <w:bottom w:val="single" w:color="auto" w:sz="4" w:space="0"/>
              <w:right w:val="single" w:color="auto" w:sz="4" w:space="0"/>
            </w:tcBorders>
            <w:vAlign w:val="center"/>
          </w:tcPr>
          <w:p w14:paraId="459B3B18">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3A8FD1D8">
            <w:pPr>
              <w:spacing w:line="240" w:lineRule="auto"/>
              <w:jc w:val="center"/>
              <w:rPr>
                <w:color w:val="000000"/>
                <w:sz w:val="21"/>
              </w:rPr>
            </w:pPr>
            <w:r>
              <w:rPr>
                <w:color w:val="000000"/>
                <w:sz w:val="21"/>
              </w:rPr>
              <w:t>1</w:t>
            </w:r>
          </w:p>
        </w:tc>
      </w:tr>
      <w:tr w14:paraId="00E6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19874A1D">
            <w:pPr>
              <w:spacing w:line="240" w:lineRule="auto"/>
              <w:jc w:val="center"/>
              <w:rPr>
                <w:color w:val="000000"/>
                <w:sz w:val="21"/>
              </w:rPr>
            </w:pPr>
            <w:r>
              <w:rPr>
                <w:color w:val="000000"/>
                <w:sz w:val="21"/>
              </w:rPr>
              <w:t>17</w:t>
            </w:r>
          </w:p>
        </w:tc>
        <w:tc>
          <w:tcPr>
            <w:tcW w:w="2084" w:type="pct"/>
            <w:tcBorders>
              <w:top w:val="single" w:color="auto" w:sz="4" w:space="0"/>
              <w:left w:val="single" w:color="auto" w:sz="4" w:space="0"/>
              <w:bottom w:val="single" w:color="auto" w:sz="4" w:space="0"/>
              <w:right w:val="single" w:color="auto" w:sz="4" w:space="0"/>
            </w:tcBorders>
            <w:vAlign w:val="center"/>
          </w:tcPr>
          <w:p w14:paraId="49E54D3E">
            <w:pPr>
              <w:spacing w:line="240" w:lineRule="auto"/>
              <w:jc w:val="center"/>
              <w:rPr>
                <w:color w:val="000000"/>
                <w:sz w:val="21"/>
              </w:rPr>
            </w:pPr>
            <w:r>
              <w:rPr>
                <w:color w:val="000000"/>
                <w:sz w:val="21"/>
              </w:rPr>
              <w:t>E-110再生气进出料加热器</w:t>
            </w:r>
          </w:p>
        </w:tc>
        <w:tc>
          <w:tcPr>
            <w:tcW w:w="1211" w:type="pct"/>
            <w:tcBorders>
              <w:top w:val="single" w:color="auto" w:sz="4" w:space="0"/>
              <w:left w:val="single" w:color="auto" w:sz="4" w:space="0"/>
              <w:bottom w:val="single" w:color="auto" w:sz="4" w:space="0"/>
              <w:right w:val="single" w:color="auto" w:sz="4" w:space="0"/>
            </w:tcBorders>
            <w:vAlign w:val="center"/>
          </w:tcPr>
          <w:p w14:paraId="580C0F78">
            <w:pPr>
              <w:spacing w:line="240" w:lineRule="auto"/>
              <w:jc w:val="center"/>
              <w:rPr>
                <w:color w:val="000000"/>
                <w:sz w:val="21"/>
              </w:rPr>
            </w:pPr>
            <w:r>
              <w:rPr>
                <w:color w:val="000000"/>
                <w:sz w:val="21"/>
              </w:rPr>
              <w:t>CEU</w:t>
            </w:r>
          </w:p>
        </w:tc>
        <w:tc>
          <w:tcPr>
            <w:tcW w:w="532" w:type="pct"/>
            <w:tcBorders>
              <w:top w:val="single" w:color="auto" w:sz="4" w:space="0"/>
              <w:left w:val="single" w:color="auto" w:sz="4" w:space="0"/>
              <w:bottom w:val="single" w:color="auto" w:sz="4" w:space="0"/>
              <w:right w:val="single" w:color="auto" w:sz="4" w:space="0"/>
            </w:tcBorders>
            <w:vAlign w:val="center"/>
          </w:tcPr>
          <w:p w14:paraId="63B01700">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4A2F2AD6">
            <w:pPr>
              <w:spacing w:line="240" w:lineRule="auto"/>
              <w:jc w:val="center"/>
              <w:rPr>
                <w:color w:val="000000"/>
                <w:sz w:val="21"/>
              </w:rPr>
            </w:pPr>
            <w:r>
              <w:rPr>
                <w:color w:val="000000"/>
                <w:sz w:val="21"/>
              </w:rPr>
              <w:t>1</w:t>
            </w:r>
          </w:p>
        </w:tc>
      </w:tr>
      <w:tr w14:paraId="7898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15E0C048">
            <w:pPr>
              <w:spacing w:line="240" w:lineRule="auto"/>
              <w:jc w:val="center"/>
              <w:rPr>
                <w:color w:val="000000"/>
                <w:sz w:val="21"/>
              </w:rPr>
            </w:pPr>
            <w:r>
              <w:rPr>
                <w:color w:val="000000"/>
                <w:sz w:val="21"/>
              </w:rPr>
              <w:t>18</w:t>
            </w:r>
          </w:p>
        </w:tc>
        <w:tc>
          <w:tcPr>
            <w:tcW w:w="2084" w:type="pct"/>
            <w:tcBorders>
              <w:top w:val="single" w:color="auto" w:sz="4" w:space="0"/>
              <w:left w:val="single" w:color="auto" w:sz="4" w:space="0"/>
              <w:bottom w:val="single" w:color="auto" w:sz="4" w:space="0"/>
              <w:right w:val="single" w:color="auto" w:sz="4" w:space="0"/>
            </w:tcBorders>
            <w:vAlign w:val="center"/>
          </w:tcPr>
          <w:p w14:paraId="4AFAACD4">
            <w:pPr>
              <w:spacing w:line="240" w:lineRule="auto"/>
              <w:jc w:val="center"/>
              <w:rPr>
                <w:color w:val="000000"/>
                <w:sz w:val="21"/>
              </w:rPr>
            </w:pPr>
            <w:r>
              <w:rPr>
                <w:color w:val="000000"/>
                <w:sz w:val="21"/>
              </w:rPr>
              <w:t>E-212MRC一段出口冷却器</w:t>
            </w:r>
          </w:p>
        </w:tc>
        <w:tc>
          <w:tcPr>
            <w:tcW w:w="1211" w:type="pct"/>
            <w:tcBorders>
              <w:top w:val="single" w:color="auto" w:sz="4" w:space="0"/>
              <w:left w:val="single" w:color="auto" w:sz="4" w:space="0"/>
              <w:bottom w:val="single" w:color="auto" w:sz="4" w:space="0"/>
              <w:right w:val="single" w:color="auto" w:sz="4" w:space="0"/>
            </w:tcBorders>
            <w:vAlign w:val="center"/>
          </w:tcPr>
          <w:p w14:paraId="71C8B689">
            <w:pPr>
              <w:spacing w:line="240" w:lineRule="auto"/>
              <w:jc w:val="center"/>
              <w:rPr>
                <w:color w:val="000000"/>
                <w:sz w:val="21"/>
              </w:rPr>
            </w:pPr>
            <w:r>
              <w:rPr>
                <w:color w:val="000000"/>
                <w:sz w:val="21"/>
              </w:rPr>
              <w:t>AHM</w:t>
            </w:r>
          </w:p>
        </w:tc>
        <w:tc>
          <w:tcPr>
            <w:tcW w:w="532" w:type="pct"/>
            <w:tcBorders>
              <w:top w:val="single" w:color="auto" w:sz="4" w:space="0"/>
              <w:left w:val="single" w:color="auto" w:sz="4" w:space="0"/>
              <w:bottom w:val="single" w:color="auto" w:sz="4" w:space="0"/>
              <w:right w:val="single" w:color="auto" w:sz="4" w:space="0"/>
            </w:tcBorders>
            <w:vAlign w:val="center"/>
          </w:tcPr>
          <w:p w14:paraId="617EC868">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0832020B">
            <w:pPr>
              <w:spacing w:line="240" w:lineRule="auto"/>
              <w:jc w:val="center"/>
              <w:rPr>
                <w:color w:val="000000"/>
                <w:sz w:val="21"/>
              </w:rPr>
            </w:pPr>
            <w:r>
              <w:rPr>
                <w:color w:val="000000"/>
                <w:sz w:val="21"/>
              </w:rPr>
              <w:t>1</w:t>
            </w:r>
          </w:p>
        </w:tc>
      </w:tr>
      <w:tr w14:paraId="3F51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0892711B">
            <w:pPr>
              <w:spacing w:line="240" w:lineRule="auto"/>
              <w:jc w:val="center"/>
              <w:rPr>
                <w:color w:val="000000"/>
                <w:sz w:val="21"/>
              </w:rPr>
            </w:pPr>
            <w:r>
              <w:rPr>
                <w:color w:val="000000"/>
                <w:sz w:val="21"/>
              </w:rPr>
              <w:t>19</w:t>
            </w:r>
          </w:p>
        </w:tc>
        <w:tc>
          <w:tcPr>
            <w:tcW w:w="2084" w:type="pct"/>
            <w:tcBorders>
              <w:top w:val="single" w:color="auto" w:sz="4" w:space="0"/>
              <w:left w:val="single" w:color="auto" w:sz="4" w:space="0"/>
              <w:bottom w:val="single" w:color="auto" w:sz="4" w:space="0"/>
              <w:right w:val="single" w:color="auto" w:sz="4" w:space="0"/>
            </w:tcBorders>
            <w:vAlign w:val="center"/>
          </w:tcPr>
          <w:p w14:paraId="4F38782B">
            <w:pPr>
              <w:spacing w:line="240" w:lineRule="auto"/>
              <w:jc w:val="center"/>
              <w:rPr>
                <w:color w:val="000000"/>
                <w:sz w:val="21"/>
              </w:rPr>
            </w:pPr>
            <w:r>
              <w:rPr>
                <w:color w:val="000000"/>
                <w:sz w:val="21"/>
              </w:rPr>
              <w:t>E-213MRC二段出口冷却器</w:t>
            </w:r>
          </w:p>
        </w:tc>
        <w:tc>
          <w:tcPr>
            <w:tcW w:w="1211" w:type="pct"/>
            <w:tcBorders>
              <w:top w:val="single" w:color="auto" w:sz="4" w:space="0"/>
              <w:left w:val="single" w:color="auto" w:sz="4" w:space="0"/>
              <w:bottom w:val="single" w:color="auto" w:sz="4" w:space="0"/>
              <w:right w:val="single" w:color="auto" w:sz="4" w:space="0"/>
            </w:tcBorders>
            <w:vAlign w:val="center"/>
          </w:tcPr>
          <w:p w14:paraId="0620F7B3">
            <w:pPr>
              <w:spacing w:line="240" w:lineRule="auto"/>
              <w:jc w:val="center"/>
              <w:rPr>
                <w:color w:val="000000"/>
                <w:sz w:val="21"/>
              </w:rPr>
            </w:pPr>
            <w:r>
              <w:rPr>
                <w:color w:val="000000"/>
                <w:sz w:val="21"/>
              </w:rPr>
              <w:t>AHM</w:t>
            </w:r>
          </w:p>
        </w:tc>
        <w:tc>
          <w:tcPr>
            <w:tcW w:w="532" w:type="pct"/>
            <w:tcBorders>
              <w:top w:val="single" w:color="auto" w:sz="4" w:space="0"/>
              <w:left w:val="single" w:color="auto" w:sz="4" w:space="0"/>
              <w:bottom w:val="single" w:color="auto" w:sz="4" w:space="0"/>
              <w:right w:val="single" w:color="auto" w:sz="4" w:space="0"/>
            </w:tcBorders>
            <w:vAlign w:val="center"/>
          </w:tcPr>
          <w:p w14:paraId="2D0E6E74">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5F1133D9">
            <w:pPr>
              <w:spacing w:line="240" w:lineRule="auto"/>
              <w:jc w:val="center"/>
              <w:rPr>
                <w:color w:val="000000"/>
                <w:sz w:val="21"/>
              </w:rPr>
            </w:pPr>
            <w:r>
              <w:rPr>
                <w:color w:val="000000"/>
                <w:sz w:val="21"/>
              </w:rPr>
              <w:t>1</w:t>
            </w:r>
          </w:p>
        </w:tc>
      </w:tr>
      <w:tr w14:paraId="50D2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16A7C99D">
            <w:pPr>
              <w:spacing w:line="240" w:lineRule="auto"/>
              <w:jc w:val="center"/>
              <w:rPr>
                <w:color w:val="000000"/>
                <w:sz w:val="21"/>
              </w:rPr>
            </w:pPr>
            <w:r>
              <w:rPr>
                <w:color w:val="000000"/>
                <w:sz w:val="21"/>
              </w:rPr>
              <w:t>20</w:t>
            </w:r>
          </w:p>
        </w:tc>
        <w:tc>
          <w:tcPr>
            <w:tcW w:w="2084" w:type="pct"/>
            <w:tcBorders>
              <w:top w:val="single" w:color="auto" w:sz="4" w:space="0"/>
              <w:left w:val="single" w:color="auto" w:sz="4" w:space="0"/>
              <w:bottom w:val="single" w:color="auto" w:sz="4" w:space="0"/>
              <w:right w:val="single" w:color="auto" w:sz="4" w:space="0"/>
            </w:tcBorders>
            <w:vAlign w:val="center"/>
          </w:tcPr>
          <w:p w14:paraId="2D29A4CA">
            <w:pPr>
              <w:spacing w:line="240" w:lineRule="auto"/>
              <w:jc w:val="center"/>
              <w:rPr>
                <w:color w:val="000000"/>
                <w:sz w:val="21"/>
              </w:rPr>
            </w:pPr>
            <w:r>
              <w:rPr>
                <w:color w:val="000000"/>
                <w:sz w:val="21"/>
              </w:rPr>
              <w:t>E-214MRC三段出口冷却器</w:t>
            </w:r>
          </w:p>
        </w:tc>
        <w:tc>
          <w:tcPr>
            <w:tcW w:w="1211" w:type="pct"/>
            <w:tcBorders>
              <w:top w:val="single" w:color="auto" w:sz="4" w:space="0"/>
              <w:left w:val="single" w:color="auto" w:sz="4" w:space="0"/>
              <w:bottom w:val="single" w:color="auto" w:sz="4" w:space="0"/>
              <w:right w:val="single" w:color="auto" w:sz="4" w:space="0"/>
            </w:tcBorders>
            <w:vAlign w:val="center"/>
          </w:tcPr>
          <w:p w14:paraId="14EB367D">
            <w:pPr>
              <w:spacing w:line="240" w:lineRule="auto"/>
              <w:jc w:val="center"/>
              <w:rPr>
                <w:color w:val="000000"/>
                <w:sz w:val="21"/>
              </w:rPr>
            </w:pPr>
            <w:r>
              <w:rPr>
                <w:color w:val="000000"/>
                <w:sz w:val="21"/>
              </w:rPr>
              <w:t>AHM</w:t>
            </w:r>
          </w:p>
        </w:tc>
        <w:tc>
          <w:tcPr>
            <w:tcW w:w="532" w:type="pct"/>
            <w:tcBorders>
              <w:top w:val="single" w:color="auto" w:sz="4" w:space="0"/>
              <w:left w:val="single" w:color="auto" w:sz="4" w:space="0"/>
              <w:bottom w:val="single" w:color="auto" w:sz="4" w:space="0"/>
              <w:right w:val="single" w:color="auto" w:sz="4" w:space="0"/>
            </w:tcBorders>
            <w:vAlign w:val="center"/>
          </w:tcPr>
          <w:p w14:paraId="502BD9BD">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13FAC89E">
            <w:pPr>
              <w:spacing w:line="240" w:lineRule="auto"/>
              <w:jc w:val="center"/>
              <w:rPr>
                <w:color w:val="000000"/>
                <w:sz w:val="21"/>
              </w:rPr>
            </w:pPr>
            <w:r>
              <w:rPr>
                <w:color w:val="000000"/>
                <w:sz w:val="21"/>
              </w:rPr>
              <w:t>1</w:t>
            </w:r>
          </w:p>
        </w:tc>
      </w:tr>
      <w:tr w14:paraId="723B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5D891841">
            <w:pPr>
              <w:spacing w:line="240" w:lineRule="auto"/>
              <w:jc w:val="center"/>
              <w:rPr>
                <w:color w:val="000000"/>
                <w:sz w:val="21"/>
              </w:rPr>
            </w:pPr>
            <w:r>
              <w:rPr>
                <w:color w:val="000000"/>
                <w:sz w:val="21"/>
              </w:rPr>
              <w:t>21</w:t>
            </w:r>
          </w:p>
        </w:tc>
        <w:tc>
          <w:tcPr>
            <w:tcW w:w="2084" w:type="pct"/>
            <w:tcBorders>
              <w:top w:val="single" w:color="auto" w:sz="4" w:space="0"/>
              <w:left w:val="single" w:color="auto" w:sz="4" w:space="0"/>
              <w:bottom w:val="single" w:color="auto" w:sz="4" w:space="0"/>
              <w:right w:val="single" w:color="auto" w:sz="4" w:space="0"/>
            </w:tcBorders>
            <w:vAlign w:val="center"/>
          </w:tcPr>
          <w:p w14:paraId="6460D3E9">
            <w:pPr>
              <w:spacing w:line="240" w:lineRule="auto"/>
              <w:jc w:val="center"/>
              <w:rPr>
                <w:color w:val="000000"/>
                <w:sz w:val="21"/>
              </w:rPr>
            </w:pPr>
            <w:r>
              <w:rPr>
                <w:color w:val="000000"/>
                <w:sz w:val="21"/>
              </w:rPr>
              <w:t>PA-201冷箱</w:t>
            </w:r>
          </w:p>
        </w:tc>
        <w:tc>
          <w:tcPr>
            <w:tcW w:w="1211" w:type="pct"/>
            <w:tcBorders>
              <w:top w:val="single" w:color="auto" w:sz="4" w:space="0"/>
              <w:left w:val="single" w:color="auto" w:sz="4" w:space="0"/>
              <w:bottom w:val="single" w:color="auto" w:sz="4" w:space="0"/>
              <w:right w:val="single" w:color="auto" w:sz="4" w:space="0"/>
            </w:tcBorders>
            <w:vAlign w:val="center"/>
          </w:tcPr>
          <w:p w14:paraId="453D6D0E">
            <w:pPr>
              <w:spacing w:line="240" w:lineRule="auto"/>
              <w:jc w:val="center"/>
              <w:rPr>
                <w:color w:val="000000"/>
                <w:sz w:val="21"/>
              </w:rPr>
            </w:pPr>
            <w:r>
              <w:rPr>
                <w:color w:val="000000"/>
                <w:sz w:val="21"/>
              </w:rPr>
              <w:t>板翅式换热器</w:t>
            </w:r>
          </w:p>
        </w:tc>
        <w:tc>
          <w:tcPr>
            <w:tcW w:w="532" w:type="pct"/>
            <w:tcBorders>
              <w:top w:val="single" w:color="auto" w:sz="4" w:space="0"/>
              <w:left w:val="single" w:color="auto" w:sz="4" w:space="0"/>
              <w:bottom w:val="single" w:color="auto" w:sz="4" w:space="0"/>
              <w:right w:val="single" w:color="auto" w:sz="4" w:space="0"/>
            </w:tcBorders>
            <w:vAlign w:val="center"/>
          </w:tcPr>
          <w:p w14:paraId="30B4D961">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0AA33330">
            <w:pPr>
              <w:spacing w:line="240" w:lineRule="auto"/>
              <w:jc w:val="center"/>
              <w:rPr>
                <w:color w:val="000000"/>
                <w:sz w:val="21"/>
              </w:rPr>
            </w:pPr>
            <w:r>
              <w:rPr>
                <w:color w:val="000000"/>
                <w:sz w:val="21"/>
              </w:rPr>
              <w:t>1</w:t>
            </w:r>
          </w:p>
        </w:tc>
      </w:tr>
      <w:tr w14:paraId="09AD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41EBBA7A">
            <w:pPr>
              <w:spacing w:line="240" w:lineRule="auto"/>
              <w:jc w:val="center"/>
              <w:rPr>
                <w:color w:val="000000"/>
                <w:sz w:val="21"/>
              </w:rPr>
            </w:pPr>
            <w:r>
              <w:rPr>
                <w:color w:val="000000"/>
                <w:sz w:val="21"/>
              </w:rPr>
              <w:t>22</w:t>
            </w:r>
          </w:p>
        </w:tc>
        <w:tc>
          <w:tcPr>
            <w:tcW w:w="2084" w:type="pct"/>
            <w:tcBorders>
              <w:top w:val="single" w:color="auto" w:sz="4" w:space="0"/>
              <w:left w:val="single" w:color="auto" w:sz="4" w:space="0"/>
              <w:bottom w:val="single" w:color="auto" w:sz="4" w:space="0"/>
              <w:right w:val="single" w:color="auto" w:sz="4" w:space="0"/>
            </w:tcBorders>
            <w:vAlign w:val="center"/>
          </w:tcPr>
          <w:p w14:paraId="5EA8BC92">
            <w:pPr>
              <w:spacing w:line="240" w:lineRule="auto"/>
              <w:jc w:val="center"/>
              <w:rPr>
                <w:color w:val="000000"/>
                <w:sz w:val="21"/>
              </w:rPr>
            </w:pPr>
            <w:r>
              <w:rPr>
                <w:color w:val="000000"/>
                <w:sz w:val="21"/>
              </w:rPr>
              <w:t>E-300泡点气加热器</w:t>
            </w:r>
          </w:p>
        </w:tc>
        <w:tc>
          <w:tcPr>
            <w:tcW w:w="1211" w:type="pct"/>
            <w:tcBorders>
              <w:top w:val="single" w:color="auto" w:sz="4" w:space="0"/>
              <w:left w:val="single" w:color="auto" w:sz="4" w:space="0"/>
              <w:bottom w:val="single" w:color="auto" w:sz="4" w:space="0"/>
              <w:right w:val="single" w:color="auto" w:sz="4" w:space="0"/>
            </w:tcBorders>
            <w:vAlign w:val="center"/>
          </w:tcPr>
          <w:p w14:paraId="49B8ECBC">
            <w:pPr>
              <w:spacing w:line="240" w:lineRule="auto"/>
              <w:jc w:val="center"/>
              <w:rPr>
                <w:color w:val="000000"/>
                <w:sz w:val="21"/>
              </w:rPr>
            </w:pPr>
            <w:r>
              <w:rPr>
                <w:color w:val="000000"/>
                <w:sz w:val="21"/>
              </w:rPr>
              <w:t>管壳式BEM</w:t>
            </w:r>
          </w:p>
        </w:tc>
        <w:tc>
          <w:tcPr>
            <w:tcW w:w="532" w:type="pct"/>
            <w:tcBorders>
              <w:top w:val="single" w:color="auto" w:sz="4" w:space="0"/>
              <w:left w:val="single" w:color="auto" w:sz="4" w:space="0"/>
              <w:bottom w:val="single" w:color="auto" w:sz="4" w:space="0"/>
              <w:right w:val="single" w:color="auto" w:sz="4" w:space="0"/>
            </w:tcBorders>
            <w:vAlign w:val="center"/>
          </w:tcPr>
          <w:p w14:paraId="08BE3957">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53BE3E37">
            <w:pPr>
              <w:spacing w:line="240" w:lineRule="auto"/>
              <w:jc w:val="center"/>
              <w:rPr>
                <w:color w:val="000000"/>
                <w:sz w:val="21"/>
              </w:rPr>
            </w:pPr>
            <w:r>
              <w:rPr>
                <w:color w:val="000000"/>
                <w:sz w:val="21"/>
              </w:rPr>
              <w:t>1</w:t>
            </w:r>
          </w:p>
        </w:tc>
      </w:tr>
      <w:tr w14:paraId="21B9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79B35554">
            <w:pPr>
              <w:spacing w:line="240" w:lineRule="auto"/>
              <w:jc w:val="center"/>
              <w:rPr>
                <w:color w:val="000000"/>
                <w:sz w:val="21"/>
              </w:rPr>
            </w:pPr>
            <w:r>
              <w:rPr>
                <w:color w:val="000000"/>
                <w:sz w:val="21"/>
              </w:rPr>
              <w:t>23</w:t>
            </w:r>
          </w:p>
        </w:tc>
        <w:tc>
          <w:tcPr>
            <w:tcW w:w="2084" w:type="pct"/>
            <w:tcBorders>
              <w:top w:val="single" w:color="auto" w:sz="4" w:space="0"/>
              <w:left w:val="single" w:color="auto" w:sz="4" w:space="0"/>
              <w:bottom w:val="single" w:color="auto" w:sz="4" w:space="0"/>
              <w:right w:val="single" w:color="auto" w:sz="4" w:space="0"/>
            </w:tcBorders>
            <w:vAlign w:val="center"/>
          </w:tcPr>
          <w:p w14:paraId="6C16F706">
            <w:pPr>
              <w:spacing w:line="240" w:lineRule="auto"/>
              <w:jc w:val="center"/>
              <w:rPr>
                <w:color w:val="000000"/>
                <w:sz w:val="21"/>
              </w:rPr>
            </w:pPr>
            <w:r>
              <w:rPr>
                <w:color w:val="000000"/>
                <w:sz w:val="21"/>
              </w:rPr>
              <w:t>E-301泡点气压缩机一段冷却器</w:t>
            </w:r>
          </w:p>
        </w:tc>
        <w:tc>
          <w:tcPr>
            <w:tcW w:w="1211" w:type="pct"/>
            <w:tcBorders>
              <w:top w:val="single" w:color="auto" w:sz="4" w:space="0"/>
              <w:left w:val="single" w:color="auto" w:sz="4" w:space="0"/>
              <w:bottom w:val="single" w:color="auto" w:sz="4" w:space="0"/>
              <w:right w:val="single" w:color="auto" w:sz="4" w:space="0"/>
            </w:tcBorders>
            <w:vAlign w:val="center"/>
          </w:tcPr>
          <w:p w14:paraId="06B0FFA7">
            <w:pPr>
              <w:spacing w:line="240" w:lineRule="auto"/>
              <w:jc w:val="center"/>
              <w:rPr>
                <w:color w:val="000000"/>
                <w:sz w:val="21"/>
              </w:rPr>
            </w:pPr>
            <w:r>
              <w:rPr>
                <w:color w:val="000000"/>
                <w:sz w:val="21"/>
              </w:rPr>
              <w:t>管壳式</w:t>
            </w:r>
          </w:p>
        </w:tc>
        <w:tc>
          <w:tcPr>
            <w:tcW w:w="532" w:type="pct"/>
            <w:tcBorders>
              <w:top w:val="single" w:color="auto" w:sz="4" w:space="0"/>
              <w:left w:val="single" w:color="auto" w:sz="4" w:space="0"/>
              <w:bottom w:val="single" w:color="auto" w:sz="4" w:space="0"/>
              <w:right w:val="single" w:color="auto" w:sz="4" w:space="0"/>
            </w:tcBorders>
            <w:vAlign w:val="center"/>
          </w:tcPr>
          <w:p w14:paraId="78278F8E">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135DA05F">
            <w:pPr>
              <w:spacing w:line="240" w:lineRule="auto"/>
              <w:jc w:val="center"/>
              <w:rPr>
                <w:color w:val="000000"/>
                <w:sz w:val="21"/>
              </w:rPr>
            </w:pPr>
            <w:r>
              <w:rPr>
                <w:color w:val="000000"/>
                <w:sz w:val="21"/>
              </w:rPr>
              <w:t>1</w:t>
            </w:r>
          </w:p>
        </w:tc>
      </w:tr>
      <w:tr w14:paraId="02F5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00CB4304">
            <w:pPr>
              <w:spacing w:line="240" w:lineRule="auto"/>
              <w:jc w:val="center"/>
              <w:rPr>
                <w:color w:val="000000"/>
                <w:sz w:val="21"/>
              </w:rPr>
            </w:pPr>
            <w:r>
              <w:rPr>
                <w:color w:val="000000"/>
                <w:sz w:val="21"/>
              </w:rPr>
              <w:t>24</w:t>
            </w:r>
          </w:p>
        </w:tc>
        <w:tc>
          <w:tcPr>
            <w:tcW w:w="2084" w:type="pct"/>
            <w:tcBorders>
              <w:top w:val="single" w:color="auto" w:sz="4" w:space="0"/>
              <w:left w:val="single" w:color="auto" w:sz="4" w:space="0"/>
              <w:bottom w:val="single" w:color="auto" w:sz="4" w:space="0"/>
              <w:right w:val="single" w:color="auto" w:sz="4" w:space="0"/>
            </w:tcBorders>
            <w:vAlign w:val="center"/>
          </w:tcPr>
          <w:p w14:paraId="374AFAEB">
            <w:pPr>
              <w:spacing w:line="240" w:lineRule="auto"/>
              <w:jc w:val="center"/>
              <w:rPr>
                <w:color w:val="000000"/>
                <w:sz w:val="21"/>
              </w:rPr>
            </w:pPr>
            <w:r>
              <w:rPr>
                <w:color w:val="000000"/>
                <w:sz w:val="21"/>
              </w:rPr>
              <w:t>E-302泡点气压缩机二段冷却器</w:t>
            </w:r>
          </w:p>
        </w:tc>
        <w:tc>
          <w:tcPr>
            <w:tcW w:w="1211" w:type="pct"/>
            <w:tcBorders>
              <w:top w:val="single" w:color="auto" w:sz="4" w:space="0"/>
              <w:left w:val="single" w:color="auto" w:sz="4" w:space="0"/>
              <w:bottom w:val="single" w:color="auto" w:sz="4" w:space="0"/>
              <w:right w:val="single" w:color="auto" w:sz="4" w:space="0"/>
            </w:tcBorders>
            <w:vAlign w:val="center"/>
          </w:tcPr>
          <w:p w14:paraId="378A58B6">
            <w:pPr>
              <w:spacing w:line="240" w:lineRule="auto"/>
              <w:jc w:val="center"/>
              <w:rPr>
                <w:color w:val="000000"/>
                <w:sz w:val="21"/>
              </w:rPr>
            </w:pPr>
            <w:r>
              <w:rPr>
                <w:color w:val="000000"/>
                <w:sz w:val="21"/>
              </w:rPr>
              <w:t>管壳式</w:t>
            </w:r>
          </w:p>
        </w:tc>
        <w:tc>
          <w:tcPr>
            <w:tcW w:w="532" w:type="pct"/>
            <w:tcBorders>
              <w:top w:val="single" w:color="auto" w:sz="4" w:space="0"/>
              <w:left w:val="single" w:color="auto" w:sz="4" w:space="0"/>
              <w:bottom w:val="single" w:color="auto" w:sz="4" w:space="0"/>
              <w:right w:val="single" w:color="auto" w:sz="4" w:space="0"/>
            </w:tcBorders>
            <w:vAlign w:val="center"/>
          </w:tcPr>
          <w:p w14:paraId="00306866">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67589A02">
            <w:pPr>
              <w:spacing w:line="240" w:lineRule="auto"/>
              <w:jc w:val="center"/>
              <w:rPr>
                <w:color w:val="000000"/>
                <w:sz w:val="21"/>
              </w:rPr>
            </w:pPr>
            <w:r>
              <w:rPr>
                <w:color w:val="000000"/>
                <w:sz w:val="21"/>
              </w:rPr>
              <w:t>1</w:t>
            </w:r>
          </w:p>
        </w:tc>
      </w:tr>
      <w:tr w14:paraId="7107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129DF003">
            <w:pPr>
              <w:spacing w:line="240" w:lineRule="auto"/>
              <w:jc w:val="center"/>
              <w:rPr>
                <w:color w:val="000000"/>
                <w:sz w:val="21"/>
              </w:rPr>
            </w:pPr>
            <w:r>
              <w:rPr>
                <w:color w:val="000000"/>
                <w:sz w:val="21"/>
              </w:rPr>
              <w:t>25</w:t>
            </w:r>
          </w:p>
        </w:tc>
        <w:tc>
          <w:tcPr>
            <w:tcW w:w="2084" w:type="pct"/>
            <w:tcBorders>
              <w:top w:val="single" w:color="auto" w:sz="4" w:space="0"/>
              <w:left w:val="single" w:color="auto" w:sz="4" w:space="0"/>
              <w:bottom w:val="single" w:color="auto" w:sz="4" w:space="0"/>
              <w:right w:val="single" w:color="auto" w:sz="4" w:space="0"/>
            </w:tcBorders>
            <w:vAlign w:val="center"/>
          </w:tcPr>
          <w:p w14:paraId="3800A015">
            <w:pPr>
              <w:spacing w:line="240" w:lineRule="auto"/>
              <w:jc w:val="center"/>
              <w:rPr>
                <w:color w:val="000000"/>
                <w:sz w:val="21"/>
              </w:rPr>
            </w:pPr>
            <w:r>
              <w:rPr>
                <w:color w:val="000000"/>
                <w:sz w:val="21"/>
              </w:rPr>
              <w:t>E-303泡点气压缩机三段冷却器</w:t>
            </w:r>
          </w:p>
        </w:tc>
        <w:tc>
          <w:tcPr>
            <w:tcW w:w="1211" w:type="pct"/>
            <w:tcBorders>
              <w:top w:val="single" w:color="auto" w:sz="4" w:space="0"/>
              <w:left w:val="single" w:color="auto" w:sz="4" w:space="0"/>
              <w:bottom w:val="single" w:color="auto" w:sz="4" w:space="0"/>
              <w:right w:val="single" w:color="auto" w:sz="4" w:space="0"/>
            </w:tcBorders>
            <w:vAlign w:val="center"/>
          </w:tcPr>
          <w:p w14:paraId="2FA03247">
            <w:pPr>
              <w:spacing w:line="240" w:lineRule="auto"/>
              <w:jc w:val="center"/>
              <w:rPr>
                <w:color w:val="000000"/>
                <w:sz w:val="21"/>
              </w:rPr>
            </w:pPr>
            <w:r>
              <w:rPr>
                <w:color w:val="000000"/>
                <w:sz w:val="21"/>
              </w:rPr>
              <w:t>管壳式</w:t>
            </w:r>
          </w:p>
        </w:tc>
        <w:tc>
          <w:tcPr>
            <w:tcW w:w="532" w:type="pct"/>
            <w:tcBorders>
              <w:top w:val="single" w:color="auto" w:sz="4" w:space="0"/>
              <w:left w:val="single" w:color="auto" w:sz="4" w:space="0"/>
              <w:bottom w:val="single" w:color="auto" w:sz="4" w:space="0"/>
              <w:right w:val="single" w:color="auto" w:sz="4" w:space="0"/>
            </w:tcBorders>
            <w:vAlign w:val="center"/>
          </w:tcPr>
          <w:p w14:paraId="0277B6D1">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1106EBA4">
            <w:pPr>
              <w:spacing w:line="240" w:lineRule="auto"/>
              <w:jc w:val="center"/>
              <w:rPr>
                <w:color w:val="000000"/>
                <w:sz w:val="21"/>
              </w:rPr>
            </w:pPr>
            <w:r>
              <w:rPr>
                <w:color w:val="000000"/>
                <w:sz w:val="21"/>
              </w:rPr>
              <w:t>1</w:t>
            </w:r>
          </w:p>
        </w:tc>
      </w:tr>
      <w:tr w14:paraId="7953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087A932D">
            <w:pPr>
              <w:spacing w:line="240" w:lineRule="auto"/>
              <w:jc w:val="center"/>
              <w:rPr>
                <w:color w:val="000000"/>
                <w:sz w:val="21"/>
              </w:rPr>
            </w:pPr>
            <w:r>
              <w:rPr>
                <w:color w:val="000000"/>
                <w:sz w:val="21"/>
              </w:rPr>
              <w:t>26</w:t>
            </w:r>
          </w:p>
        </w:tc>
        <w:tc>
          <w:tcPr>
            <w:tcW w:w="2084" w:type="pct"/>
            <w:tcBorders>
              <w:top w:val="single" w:color="auto" w:sz="4" w:space="0"/>
              <w:left w:val="single" w:color="auto" w:sz="4" w:space="0"/>
              <w:bottom w:val="single" w:color="auto" w:sz="4" w:space="0"/>
              <w:right w:val="single" w:color="auto" w:sz="4" w:space="0"/>
            </w:tcBorders>
            <w:vAlign w:val="center"/>
          </w:tcPr>
          <w:p w14:paraId="76370E67">
            <w:pPr>
              <w:spacing w:line="240" w:lineRule="auto"/>
              <w:jc w:val="center"/>
              <w:rPr>
                <w:color w:val="000000"/>
                <w:sz w:val="21"/>
              </w:rPr>
            </w:pPr>
            <w:r>
              <w:rPr>
                <w:color w:val="000000"/>
                <w:sz w:val="21"/>
              </w:rPr>
              <w:t>E-402乙烯汽化器</w:t>
            </w:r>
          </w:p>
        </w:tc>
        <w:tc>
          <w:tcPr>
            <w:tcW w:w="1211" w:type="pct"/>
            <w:tcBorders>
              <w:top w:val="single" w:color="auto" w:sz="4" w:space="0"/>
              <w:left w:val="single" w:color="auto" w:sz="4" w:space="0"/>
              <w:bottom w:val="single" w:color="auto" w:sz="4" w:space="0"/>
              <w:right w:val="single" w:color="auto" w:sz="4" w:space="0"/>
            </w:tcBorders>
            <w:vAlign w:val="center"/>
          </w:tcPr>
          <w:p w14:paraId="7B614B66">
            <w:pPr>
              <w:spacing w:line="240" w:lineRule="auto"/>
              <w:jc w:val="center"/>
              <w:rPr>
                <w:color w:val="000000"/>
                <w:sz w:val="21"/>
              </w:rPr>
            </w:pPr>
            <w:r>
              <w:rPr>
                <w:color w:val="000000"/>
                <w:sz w:val="21"/>
              </w:rPr>
              <w:t>高翅片管换热器</w:t>
            </w:r>
          </w:p>
        </w:tc>
        <w:tc>
          <w:tcPr>
            <w:tcW w:w="532" w:type="pct"/>
            <w:tcBorders>
              <w:top w:val="single" w:color="auto" w:sz="4" w:space="0"/>
              <w:left w:val="single" w:color="auto" w:sz="4" w:space="0"/>
              <w:bottom w:val="single" w:color="auto" w:sz="4" w:space="0"/>
              <w:right w:val="single" w:color="auto" w:sz="4" w:space="0"/>
            </w:tcBorders>
            <w:vAlign w:val="center"/>
          </w:tcPr>
          <w:p w14:paraId="27392441">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1245327C">
            <w:pPr>
              <w:spacing w:line="240" w:lineRule="auto"/>
              <w:jc w:val="center"/>
              <w:rPr>
                <w:color w:val="000000"/>
                <w:sz w:val="21"/>
              </w:rPr>
            </w:pPr>
            <w:r>
              <w:rPr>
                <w:color w:val="000000"/>
                <w:sz w:val="21"/>
              </w:rPr>
              <w:t>1</w:t>
            </w:r>
          </w:p>
        </w:tc>
      </w:tr>
      <w:tr w14:paraId="51A6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0B09E135">
            <w:pPr>
              <w:spacing w:line="240" w:lineRule="auto"/>
              <w:jc w:val="center"/>
              <w:rPr>
                <w:color w:val="000000"/>
                <w:sz w:val="21"/>
              </w:rPr>
            </w:pPr>
            <w:r>
              <w:rPr>
                <w:color w:val="000000"/>
                <w:sz w:val="21"/>
              </w:rPr>
              <w:t>27</w:t>
            </w:r>
          </w:p>
        </w:tc>
        <w:tc>
          <w:tcPr>
            <w:tcW w:w="2084" w:type="pct"/>
            <w:tcBorders>
              <w:top w:val="single" w:color="auto" w:sz="4" w:space="0"/>
              <w:left w:val="single" w:color="auto" w:sz="4" w:space="0"/>
              <w:bottom w:val="single" w:color="auto" w:sz="4" w:space="0"/>
              <w:right w:val="single" w:color="auto" w:sz="4" w:space="0"/>
            </w:tcBorders>
            <w:vAlign w:val="center"/>
          </w:tcPr>
          <w:p w14:paraId="1842BEF1">
            <w:pPr>
              <w:spacing w:line="240" w:lineRule="auto"/>
              <w:jc w:val="center"/>
              <w:rPr>
                <w:color w:val="000000"/>
                <w:sz w:val="21"/>
              </w:rPr>
            </w:pPr>
            <w:r>
              <w:rPr>
                <w:color w:val="000000"/>
                <w:sz w:val="21"/>
              </w:rPr>
              <w:t>E-602冷火炬气化器</w:t>
            </w:r>
          </w:p>
        </w:tc>
        <w:tc>
          <w:tcPr>
            <w:tcW w:w="1211" w:type="pct"/>
            <w:tcBorders>
              <w:top w:val="single" w:color="auto" w:sz="4" w:space="0"/>
              <w:left w:val="single" w:color="auto" w:sz="4" w:space="0"/>
              <w:bottom w:val="single" w:color="auto" w:sz="4" w:space="0"/>
              <w:right w:val="single" w:color="auto" w:sz="4" w:space="0"/>
            </w:tcBorders>
            <w:vAlign w:val="center"/>
          </w:tcPr>
          <w:p w14:paraId="7CC30EDD">
            <w:pPr>
              <w:spacing w:line="240" w:lineRule="auto"/>
              <w:jc w:val="center"/>
              <w:rPr>
                <w:color w:val="000000"/>
                <w:sz w:val="21"/>
              </w:rPr>
            </w:pPr>
            <w:r>
              <w:rPr>
                <w:color w:val="000000"/>
                <w:sz w:val="21"/>
              </w:rPr>
              <w:t>/</w:t>
            </w:r>
          </w:p>
        </w:tc>
        <w:tc>
          <w:tcPr>
            <w:tcW w:w="532" w:type="pct"/>
            <w:tcBorders>
              <w:top w:val="single" w:color="auto" w:sz="4" w:space="0"/>
              <w:left w:val="single" w:color="auto" w:sz="4" w:space="0"/>
              <w:bottom w:val="single" w:color="auto" w:sz="4" w:space="0"/>
              <w:right w:val="single" w:color="auto" w:sz="4" w:space="0"/>
            </w:tcBorders>
            <w:vAlign w:val="center"/>
          </w:tcPr>
          <w:p w14:paraId="3DFB65FD">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0A86F63C">
            <w:pPr>
              <w:spacing w:line="240" w:lineRule="auto"/>
              <w:jc w:val="center"/>
              <w:rPr>
                <w:color w:val="000000"/>
                <w:sz w:val="21"/>
              </w:rPr>
            </w:pPr>
            <w:r>
              <w:rPr>
                <w:color w:val="000000"/>
                <w:sz w:val="21"/>
              </w:rPr>
              <w:t>1</w:t>
            </w:r>
          </w:p>
        </w:tc>
      </w:tr>
      <w:tr w14:paraId="4109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55AE6D5D">
            <w:pPr>
              <w:spacing w:line="240" w:lineRule="auto"/>
              <w:jc w:val="center"/>
              <w:rPr>
                <w:color w:val="000000"/>
                <w:sz w:val="21"/>
              </w:rPr>
            </w:pPr>
            <w:r>
              <w:rPr>
                <w:color w:val="000000"/>
                <w:sz w:val="21"/>
              </w:rPr>
              <w:t>28</w:t>
            </w:r>
          </w:p>
        </w:tc>
        <w:tc>
          <w:tcPr>
            <w:tcW w:w="2084" w:type="pct"/>
            <w:tcBorders>
              <w:top w:val="single" w:color="auto" w:sz="4" w:space="0"/>
              <w:left w:val="single" w:color="auto" w:sz="4" w:space="0"/>
              <w:bottom w:val="single" w:color="auto" w:sz="4" w:space="0"/>
              <w:right w:val="single" w:color="auto" w:sz="4" w:space="0"/>
            </w:tcBorders>
            <w:vAlign w:val="center"/>
          </w:tcPr>
          <w:p w14:paraId="4833ECB0">
            <w:pPr>
              <w:spacing w:line="240" w:lineRule="auto"/>
              <w:jc w:val="center"/>
              <w:rPr>
                <w:color w:val="000000"/>
                <w:sz w:val="21"/>
              </w:rPr>
            </w:pPr>
            <w:r>
              <w:rPr>
                <w:color w:val="000000"/>
                <w:sz w:val="21"/>
              </w:rPr>
              <w:t>D-101原料气压缩机吸入罐</w:t>
            </w:r>
          </w:p>
        </w:tc>
        <w:tc>
          <w:tcPr>
            <w:tcW w:w="1211" w:type="pct"/>
            <w:tcBorders>
              <w:top w:val="single" w:color="auto" w:sz="4" w:space="0"/>
              <w:left w:val="single" w:color="auto" w:sz="4" w:space="0"/>
              <w:bottom w:val="single" w:color="auto" w:sz="4" w:space="0"/>
              <w:right w:val="single" w:color="auto" w:sz="4" w:space="0"/>
            </w:tcBorders>
            <w:vAlign w:val="center"/>
          </w:tcPr>
          <w:p w14:paraId="7CE612D0">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20F9749C">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5744DB56">
            <w:pPr>
              <w:spacing w:line="240" w:lineRule="auto"/>
              <w:jc w:val="center"/>
              <w:rPr>
                <w:color w:val="000000"/>
                <w:sz w:val="21"/>
              </w:rPr>
            </w:pPr>
            <w:r>
              <w:rPr>
                <w:color w:val="000000"/>
                <w:sz w:val="21"/>
              </w:rPr>
              <w:t>1</w:t>
            </w:r>
          </w:p>
        </w:tc>
      </w:tr>
      <w:tr w14:paraId="2A83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78DACB80">
            <w:pPr>
              <w:spacing w:line="240" w:lineRule="auto"/>
              <w:jc w:val="center"/>
              <w:rPr>
                <w:color w:val="000000"/>
                <w:sz w:val="21"/>
              </w:rPr>
            </w:pPr>
            <w:r>
              <w:rPr>
                <w:color w:val="000000"/>
                <w:sz w:val="21"/>
              </w:rPr>
              <w:t>29</w:t>
            </w:r>
          </w:p>
        </w:tc>
        <w:tc>
          <w:tcPr>
            <w:tcW w:w="2084" w:type="pct"/>
            <w:tcBorders>
              <w:top w:val="single" w:color="auto" w:sz="4" w:space="0"/>
              <w:left w:val="single" w:color="auto" w:sz="4" w:space="0"/>
              <w:bottom w:val="single" w:color="auto" w:sz="4" w:space="0"/>
              <w:right w:val="single" w:color="auto" w:sz="4" w:space="0"/>
            </w:tcBorders>
            <w:vAlign w:val="center"/>
          </w:tcPr>
          <w:p w14:paraId="5C5676AB">
            <w:pPr>
              <w:spacing w:line="240" w:lineRule="auto"/>
              <w:jc w:val="center"/>
              <w:rPr>
                <w:color w:val="000000"/>
                <w:sz w:val="21"/>
              </w:rPr>
            </w:pPr>
            <w:r>
              <w:rPr>
                <w:color w:val="000000"/>
                <w:sz w:val="21"/>
              </w:rPr>
              <w:t>D-102原料气压缩机凝液分离罐</w:t>
            </w:r>
          </w:p>
        </w:tc>
        <w:tc>
          <w:tcPr>
            <w:tcW w:w="1211" w:type="pct"/>
            <w:tcBorders>
              <w:top w:val="single" w:color="auto" w:sz="4" w:space="0"/>
              <w:left w:val="single" w:color="auto" w:sz="4" w:space="0"/>
              <w:bottom w:val="single" w:color="auto" w:sz="4" w:space="0"/>
              <w:right w:val="single" w:color="auto" w:sz="4" w:space="0"/>
            </w:tcBorders>
            <w:vAlign w:val="center"/>
          </w:tcPr>
          <w:p w14:paraId="1C73F536">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49A8BB52">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385E3A28">
            <w:pPr>
              <w:spacing w:line="240" w:lineRule="auto"/>
              <w:jc w:val="center"/>
              <w:rPr>
                <w:color w:val="000000"/>
                <w:sz w:val="21"/>
              </w:rPr>
            </w:pPr>
            <w:r>
              <w:rPr>
                <w:color w:val="000000"/>
                <w:sz w:val="21"/>
              </w:rPr>
              <w:t>1</w:t>
            </w:r>
          </w:p>
        </w:tc>
      </w:tr>
      <w:tr w14:paraId="2641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0541FD29">
            <w:pPr>
              <w:spacing w:line="240" w:lineRule="auto"/>
              <w:jc w:val="center"/>
              <w:rPr>
                <w:color w:val="000000"/>
                <w:sz w:val="21"/>
              </w:rPr>
            </w:pPr>
            <w:r>
              <w:rPr>
                <w:color w:val="000000"/>
                <w:sz w:val="21"/>
              </w:rPr>
              <w:t>30</w:t>
            </w:r>
          </w:p>
        </w:tc>
        <w:tc>
          <w:tcPr>
            <w:tcW w:w="2084" w:type="pct"/>
            <w:tcBorders>
              <w:top w:val="single" w:color="auto" w:sz="4" w:space="0"/>
              <w:left w:val="single" w:color="auto" w:sz="4" w:space="0"/>
              <w:bottom w:val="single" w:color="auto" w:sz="4" w:space="0"/>
              <w:right w:val="single" w:color="auto" w:sz="4" w:space="0"/>
            </w:tcBorders>
            <w:vAlign w:val="center"/>
          </w:tcPr>
          <w:p w14:paraId="48F82A44">
            <w:pPr>
              <w:spacing w:line="240" w:lineRule="auto"/>
              <w:jc w:val="center"/>
              <w:rPr>
                <w:color w:val="000000"/>
                <w:sz w:val="21"/>
              </w:rPr>
            </w:pPr>
            <w:r>
              <w:rPr>
                <w:color w:val="000000"/>
                <w:sz w:val="21"/>
              </w:rPr>
              <w:t>D-103胺洗塔顶分液罐</w:t>
            </w:r>
          </w:p>
        </w:tc>
        <w:tc>
          <w:tcPr>
            <w:tcW w:w="1211" w:type="pct"/>
            <w:tcBorders>
              <w:top w:val="single" w:color="auto" w:sz="4" w:space="0"/>
              <w:left w:val="single" w:color="auto" w:sz="4" w:space="0"/>
              <w:bottom w:val="single" w:color="auto" w:sz="4" w:space="0"/>
              <w:right w:val="single" w:color="auto" w:sz="4" w:space="0"/>
            </w:tcBorders>
            <w:vAlign w:val="center"/>
          </w:tcPr>
          <w:p w14:paraId="288A65E5">
            <w:pPr>
              <w:spacing w:line="240" w:lineRule="auto"/>
              <w:jc w:val="center"/>
              <w:rPr>
                <w:color w:val="000000"/>
                <w:sz w:val="21"/>
              </w:rPr>
            </w:pPr>
            <w:r>
              <w:rPr>
                <w:color w:val="000000"/>
                <w:sz w:val="21"/>
              </w:rPr>
              <w:t>卧式</w:t>
            </w:r>
          </w:p>
        </w:tc>
        <w:tc>
          <w:tcPr>
            <w:tcW w:w="532" w:type="pct"/>
            <w:tcBorders>
              <w:top w:val="single" w:color="auto" w:sz="4" w:space="0"/>
              <w:left w:val="single" w:color="auto" w:sz="4" w:space="0"/>
              <w:bottom w:val="single" w:color="auto" w:sz="4" w:space="0"/>
              <w:right w:val="single" w:color="auto" w:sz="4" w:space="0"/>
            </w:tcBorders>
            <w:vAlign w:val="center"/>
          </w:tcPr>
          <w:p w14:paraId="4BA97F38">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4D67B874">
            <w:pPr>
              <w:spacing w:line="240" w:lineRule="auto"/>
              <w:jc w:val="center"/>
              <w:rPr>
                <w:color w:val="000000"/>
                <w:sz w:val="21"/>
              </w:rPr>
            </w:pPr>
            <w:r>
              <w:rPr>
                <w:color w:val="000000"/>
                <w:sz w:val="21"/>
              </w:rPr>
              <w:t>1</w:t>
            </w:r>
          </w:p>
        </w:tc>
      </w:tr>
      <w:tr w14:paraId="36B9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5A99E53A">
            <w:pPr>
              <w:spacing w:line="240" w:lineRule="auto"/>
              <w:jc w:val="center"/>
              <w:rPr>
                <w:color w:val="000000"/>
                <w:sz w:val="21"/>
              </w:rPr>
            </w:pPr>
            <w:r>
              <w:rPr>
                <w:color w:val="000000"/>
                <w:sz w:val="21"/>
              </w:rPr>
              <w:t>31</w:t>
            </w:r>
          </w:p>
        </w:tc>
        <w:tc>
          <w:tcPr>
            <w:tcW w:w="2084" w:type="pct"/>
            <w:tcBorders>
              <w:top w:val="single" w:color="auto" w:sz="4" w:space="0"/>
              <w:left w:val="single" w:color="auto" w:sz="4" w:space="0"/>
              <w:bottom w:val="single" w:color="auto" w:sz="4" w:space="0"/>
              <w:right w:val="single" w:color="auto" w:sz="4" w:space="0"/>
            </w:tcBorders>
            <w:vAlign w:val="center"/>
          </w:tcPr>
          <w:p w14:paraId="09F499D1">
            <w:pPr>
              <w:spacing w:line="240" w:lineRule="auto"/>
              <w:jc w:val="center"/>
              <w:rPr>
                <w:color w:val="000000"/>
                <w:sz w:val="21"/>
              </w:rPr>
            </w:pPr>
            <w:r>
              <w:rPr>
                <w:color w:val="000000"/>
                <w:sz w:val="21"/>
              </w:rPr>
              <w:t>D-104溶剂再生塔回流罐</w:t>
            </w:r>
          </w:p>
        </w:tc>
        <w:tc>
          <w:tcPr>
            <w:tcW w:w="1211" w:type="pct"/>
            <w:tcBorders>
              <w:top w:val="single" w:color="auto" w:sz="4" w:space="0"/>
              <w:left w:val="single" w:color="auto" w:sz="4" w:space="0"/>
              <w:bottom w:val="single" w:color="auto" w:sz="4" w:space="0"/>
              <w:right w:val="single" w:color="auto" w:sz="4" w:space="0"/>
            </w:tcBorders>
            <w:vAlign w:val="center"/>
          </w:tcPr>
          <w:p w14:paraId="47420A1E">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6E2E798B">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0804421F">
            <w:pPr>
              <w:spacing w:line="240" w:lineRule="auto"/>
              <w:jc w:val="center"/>
              <w:rPr>
                <w:color w:val="000000"/>
                <w:sz w:val="21"/>
              </w:rPr>
            </w:pPr>
            <w:r>
              <w:rPr>
                <w:color w:val="000000"/>
                <w:sz w:val="21"/>
              </w:rPr>
              <w:t>1</w:t>
            </w:r>
          </w:p>
        </w:tc>
      </w:tr>
      <w:tr w14:paraId="19F8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374AF982">
            <w:pPr>
              <w:spacing w:line="240" w:lineRule="auto"/>
              <w:jc w:val="center"/>
              <w:rPr>
                <w:color w:val="000000"/>
                <w:sz w:val="21"/>
              </w:rPr>
            </w:pPr>
            <w:r>
              <w:rPr>
                <w:color w:val="000000"/>
                <w:sz w:val="21"/>
              </w:rPr>
              <w:t>32</w:t>
            </w:r>
          </w:p>
        </w:tc>
        <w:tc>
          <w:tcPr>
            <w:tcW w:w="2084" w:type="pct"/>
            <w:tcBorders>
              <w:top w:val="single" w:color="auto" w:sz="4" w:space="0"/>
              <w:left w:val="single" w:color="auto" w:sz="4" w:space="0"/>
              <w:bottom w:val="single" w:color="auto" w:sz="4" w:space="0"/>
              <w:right w:val="single" w:color="auto" w:sz="4" w:space="0"/>
            </w:tcBorders>
            <w:vAlign w:val="center"/>
          </w:tcPr>
          <w:p w14:paraId="2D6C7A4D">
            <w:pPr>
              <w:spacing w:line="240" w:lineRule="auto"/>
              <w:jc w:val="center"/>
              <w:rPr>
                <w:color w:val="000000"/>
                <w:sz w:val="21"/>
              </w:rPr>
            </w:pPr>
            <w:r>
              <w:rPr>
                <w:color w:val="000000"/>
                <w:sz w:val="21"/>
              </w:rPr>
              <w:t>D-105再生气缓冲罐</w:t>
            </w:r>
          </w:p>
        </w:tc>
        <w:tc>
          <w:tcPr>
            <w:tcW w:w="1211" w:type="pct"/>
            <w:tcBorders>
              <w:top w:val="single" w:color="auto" w:sz="4" w:space="0"/>
              <w:left w:val="single" w:color="auto" w:sz="4" w:space="0"/>
              <w:bottom w:val="single" w:color="auto" w:sz="4" w:space="0"/>
              <w:right w:val="single" w:color="auto" w:sz="4" w:space="0"/>
            </w:tcBorders>
            <w:vAlign w:val="center"/>
          </w:tcPr>
          <w:p w14:paraId="48FDFFBC">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2F179BF9">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0AA5591E">
            <w:pPr>
              <w:spacing w:line="240" w:lineRule="auto"/>
              <w:jc w:val="center"/>
              <w:rPr>
                <w:color w:val="000000"/>
                <w:sz w:val="21"/>
              </w:rPr>
            </w:pPr>
            <w:r>
              <w:rPr>
                <w:color w:val="000000"/>
                <w:sz w:val="21"/>
              </w:rPr>
              <w:t>1</w:t>
            </w:r>
          </w:p>
        </w:tc>
      </w:tr>
      <w:tr w14:paraId="47C8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60E84E5C">
            <w:pPr>
              <w:spacing w:line="240" w:lineRule="auto"/>
              <w:jc w:val="center"/>
              <w:rPr>
                <w:color w:val="000000"/>
                <w:sz w:val="21"/>
              </w:rPr>
            </w:pPr>
            <w:r>
              <w:rPr>
                <w:color w:val="000000"/>
                <w:sz w:val="21"/>
              </w:rPr>
              <w:t>33</w:t>
            </w:r>
          </w:p>
        </w:tc>
        <w:tc>
          <w:tcPr>
            <w:tcW w:w="2084" w:type="pct"/>
            <w:tcBorders>
              <w:top w:val="single" w:color="auto" w:sz="4" w:space="0"/>
              <w:left w:val="single" w:color="auto" w:sz="4" w:space="0"/>
              <w:bottom w:val="single" w:color="auto" w:sz="4" w:space="0"/>
              <w:right w:val="single" w:color="auto" w:sz="4" w:space="0"/>
            </w:tcBorders>
            <w:vAlign w:val="center"/>
          </w:tcPr>
          <w:p w14:paraId="43EE6FC7">
            <w:pPr>
              <w:spacing w:line="240" w:lineRule="auto"/>
              <w:jc w:val="center"/>
              <w:rPr>
                <w:color w:val="000000"/>
                <w:sz w:val="21"/>
              </w:rPr>
            </w:pPr>
            <w:r>
              <w:rPr>
                <w:color w:val="000000"/>
                <w:sz w:val="21"/>
              </w:rPr>
              <w:t>D-106聚结分离器</w:t>
            </w:r>
          </w:p>
        </w:tc>
        <w:tc>
          <w:tcPr>
            <w:tcW w:w="1211" w:type="pct"/>
            <w:tcBorders>
              <w:top w:val="single" w:color="auto" w:sz="4" w:space="0"/>
              <w:left w:val="single" w:color="auto" w:sz="4" w:space="0"/>
              <w:bottom w:val="single" w:color="auto" w:sz="4" w:space="0"/>
              <w:right w:val="single" w:color="auto" w:sz="4" w:space="0"/>
            </w:tcBorders>
            <w:vAlign w:val="center"/>
          </w:tcPr>
          <w:p w14:paraId="391965FD">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405C73F5">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12EB5C40">
            <w:pPr>
              <w:spacing w:line="240" w:lineRule="auto"/>
              <w:jc w:val="center"/>
              <w:rPr>
                <w:color w:val="000000"/>
                <w:sz w:val="21"/>
              </w:rPr>
            </w:pPr>
            <w:r>
              <w:rPr>
                <w:color w:val="000000"/>
                <w:sz w:val="21"/>
              </w:rPr>
              <w:t>1</w:t>
            </w:r>
          </w:p>
        </w:tc>
      </w:tr>
      <w:tr w14:paraId="6B82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1233B142">
            <w:pPr>
              <w:spacing w:line="240" w:lineRule="auto"/>
              <w:jc w:val="center"/>
              <w:rPr>
                <w:color w:val="000000"/>
                <w:sz w:val="21"/>
              </w:rPr>
            </w:pPr>
            <w:r>
              <w:rPr>
                <w:color w:val="000000"/>
                <w:sz w:val="21"/>
              </w:rPr>
              <w:t>34</w:t>
            </w:r>
          </w:p>
        </w:tc>
        <w:tc>
          <w:tcPr>
            <w:tcW w:w="2084" w:type="pct"/>
            <w:tcBorders>
              <w:top w:val="single" w:color="auto" w:sz="4" w:space="0"/>
              <w:left w:val="single" w:color="auto" w:sz="4" w:space="0"/>
              <w:bottom w:val="single" w:color="auto" w:sz="4" w:space="0"/>
              <w:right w:val="single" w:color="auto" w:sz="4" w:space="0"/>
            </w:tcBorders>
            <w:vAlign w:val="center"/>
          </w:tcPr>
          <w:p w14:paraId="22D8AAE4">
            <w:pPr>
              <w:spacing w:line="240" w:lineRule="auto"/>
              <w:jc w:val="center"/>
              <w:rPr>
                <w:color w:val="000000"/>
                <w:sz w:val="21"/>
              </w:rPr>
            </w:pPr>
            <w:r>
              <w:rPr>
                <w:color w:val="000000"/>
                <w:sz w:val="21"/>
              </w:rPr>
              <w:t>D-107污水罐</w:t>
            </w:r>
          </w:p>
        </w:tc>
        <w:tc>
          <w:tcPr>
            <w:tcW w:w="1211" w:type="pct"/>
            <w:tcBorders>
              <w:top w:val="single" w:color="auto" w:sz="4" w:space="0"/>
              <w:left w:val="single" w:color="auto" w:sz="4" w:space="0"/>
              <w:bottom w:val="single" w:color="auto" w:sz="4" w:space="0"/>
              <w:right w:val="single" w:color="auto" w:sz="4" w:space="0"/>
            </w:tcBorders>
            <w:vAlign w:val="center"/>
          </w:tcPr>
          <w:p w14:paraId="3F349042">
            <w:pPr>
              <w:spacing w:line="240" w:lineRule="auto"/>
              <w:jc w:val="center"/>
              <w:rPr>
                <w:color w:val="000000"/>
                <w:sz w:val="21"/>
              </w:rPr>
            </w:pPr>
            <w:r>
              <w:rPr>
                <w:color w:val="000000"/>
                <w:sz w:val="21"/>
              </w:rPr>
              <w:t>卧式</w:t>
            </w:r>
          </w:p>
        </w:tc>
        <w:tc>
          <w:tcPr>
            <w:tcW w:w="532" w:type="pct"/>
            <w:tcBorders>
              <w:top w:val="single" w:color="auto" w:sz="4" w:space="0"/>
              <w:left w:val="single" w:color="auto" w:sz="4" w:space="0"/>
              <w:bottom w:val="single" w:color="auto" w:sz="4" w:space="0"/>
              <w:right w:val="single" w:color="auto" w:sz="4" w:space="0"/>
            </w:tcBorders>
            <w:vAlign w:val="center"/>
          </w:tcPr>
          <w:p w14:paraId="433CC499">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3B962A0D">
            <w:pPr>
              <w:spacing w:line="240" w:lineRule="auto"/>
              <w:jc w:val="center"/>
              <w:rPr>
                <w:color w:val="000000"/>
                <w:sz w:val="21"/>
              </w:rPr>
            </w:pPr>
            <w:r>
              <w:rPr>
                <w:color w:val="000000"/>
                <w:sz w:val="21"/>
              </w:rPr>
              <w:t>1</w:t>
            </w:r>
          </w:p>
        </w:tc>
      </w:tr>
      <w:tr w14:paraId="4B05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3B0B5599">
            <w:pPr>
              <w:spacing w:line="240" w:lineRule="auto"/>
              <w:jc w:val="center"/>
              <w:rPr>
                <w:color w:val="000000"/>
                <w:sz w:val="21"/>
              </w:rPr>
            </w:pPr>
            <w:r>
              <w:rPr>
                <w:color w:val="000000"/>
                <w:sz w:val="21"/>
              </w:rPr>
              <w:t>35</w:t>
            </w:r>
          </w:p>
        </w:tc>
        <w:tc>
          <w:tcPr>
            <w:tcW w:w="2084" w:type="pct"/>
            <w:tcBorders>
              <w:top w:val="single" w:color="auto" w:sz="4" w:space="0"/>
              <w:left w:val="single" w:color="auto" w:sz="4" w:space="0"/>
              <w:bottom w:val="single" w:color="auto" w:sz="4" w:space="0"/>
              <w:right w:val="single" w:color="auto" w:sz="4" w:space="0"/>
            </w:tcBorders>
            <w:vAlign w:val="center"/>
          </w:tcPr>
          <w:p w14:paraId="02C7497D">
            <w:pPr>
              <w:spacing w:line="240" w:lineRule="auto"/>
              <w:jc w:val="center"/>
              <w:rPr>
                <w:color w:val="000000"/>
                <w:sz w:val="21"/>
              </w:rPr>
            </w:pPr>
            <w:r>
              <w:rPr>
                <w:color w:val="000000"/>
                <w:sz w:val="21"/>
              </w:rPr>
              <w:t>D-108胺液闪蒸罐</w:t>
            </w:r>
          </w:p>
        </w:tc>
        <w:tc>
          <w:tcPr>
            <w:tcW w:w="1211" w:type="pct"/>
            <w:tcBorders>
              <w:top w:val="single" w:color="auto" w:sz="4" w:space="0"/>
              <w:left w:val="single" w:color="auto" w:sz="4" w:space="0"/>
              <w:bottom w:val="single" w:color="auto" w:sz="4" w:space="0"/>
              <w:right w:val="single" w:color="auto" w:sz="4" w:space="0"/>
            </w:tcBorders>
            <w:vAlign w:val="center"/>
          </w:tcPr>
          <w:p w14:paraId="513756CD">
            <w:pPr>
              <w:spacing w:line="240" w:lineRule="auto"/>
              <w:jc w:val="center"/>
              <w:rPr>
                <w:color w:val="000000"/>
                <w:sz w:val="21"/>
              </w:rPr>
            </w:pPr>
            <w:r>
              <w:rPr>
                <w:color w:val="000000"/>
                <w:sz w:val="21"/>
              </w:rPr>
              <w:t>卧式</w:t>
            </w:r>
          </w:p>
        </w:tc>
        <w:tc>
          <w:tcPr>
            <w:tcW w:w="532" w:type="pct"/>
            <w:tcBorders>
              <w:top w:val="single" w:color="auto" w:sz="4" w:space="0"/>
              <w:left w:val="single" w:color="auto" w:sz="4" w:space="0"/>
              <w:bottom w:val="single" w:color="auto" w:sz="4" w:space="0"/>
              <w:right w:val="single" w:color="auto" w:sz="4" w:space="0"/>
            </w:tcBorders>
            <w:vAlign w:val="center"/>
          </w:tcPr>
          <w:p w14:paraId="1C2B0FAF">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067CA20F">
            <w:pPr>
              <w:spacing w:line="240" w:lineRule="auto"/>
              <w:jc w:val="center"/>
              <w:rPr>
                <w:color w:val="000000"/>
                <w:sz w:val="21"/>
              </w:rPr>
            </w:pPr>
            <w:r>
              <w:rPr>
                <w:color w:val="000000"/>
                <w:sz w:val="21"/>
              </w:rPr>
              <w:t>1</w:t>
            </w:r>
          </w:p>
        </w:tc>
      </w:tr>
      <w:tr w14:paraId="0EB9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61464EFD">
            <w:pPr>
              <w:spacing w:line="240" w:lineRule="auto"/>
              <w:jc w:val="center"/>
              <w:rPr>
                <w:color w:val="000000"/>
                <w:sz w:val="21"/>
              </w:rPr>
            </w:pPr>
            <w:r>
              <w:rPr>
                <w:color w:val="000000"/>
                <w:sz w:val="21"/>
              </w:rPr>
              <w:t>36</w:t>
            </w:r>
          </w:p>
        </w:tc>
        <w:tc>
          <w:tcPr>
            <w:tcW w:w="2084" w:type="pct"/>
            <w:tcBorders>
              <w:top w:val="single" w:color="auto" w:sz="4" w:space="0"/>
              <w:left w:val="single" w:color="auto" w:sz="4" w:space="0"/>
              <w:bottom w:val="single" w:color="auto" w:sz="4" w:space="0"/>
              <w:right w:val="single" w:color="auto" w:sz="4" w:space="0"/>
            </w:tcBorders>
            <w:vAlign w:val="center"/>
          </w:tcPr>
          <w:p w14:paraId="5BF81153">
            <w:pPr>
              <w:spacing w:line="240" w:lineRule="auto"/>
              <w:jc w:val="center"/>
              <w:rPr>
                <w:color w:val="000000"/>
                <w:sz w:val="21"/>
              </w:rPr>
            </w:pPr>
            <w:r>
              <w:rPr>
                <w:color w:val="000000"/>
                <w:sz w:val="21"/>
              </w:rPr>
              <w:t>D-109消泡剂罐</w:t>
            </w:r>
          </w:p>
        </w:tc>
        <w:tc>
          <w:tcPr>
            <w:tcW w:w="1211" w:type="pct"/>
            <w:tcBorders>
              <w:top w:val="single" w:color="auto" w:sz="4" w:space="0"/>
              <w:left w:val="single" w:color="auto" w:sz="4" w:space="0"/>
              <w:bottom w:val="single" w:color="auto" w:sz="4" w:space="0"/>
              <w:right w:val="single" w:color="auto" w:sz="4" w:space="0"/>
            </w:tcBorders>
            <w:vAlign w:val="center"/>
          </w:tcPr>
          <w:p w14:paraId="7AA11696">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0E3336D8">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45F2E7A7">
            <w:pPr>
              <w:spacing w:line="240" w:lineRule="auto"/>
              <w:jc w:val="center"/>
              <w:rPr>
                <w:color w:val="000000"/>
                <w:sz w:val="21"/>
              </w:rPr>
            </w:pPr>
            <w:r>
              <w:rPr>
                <w:color w:val="000000"/>
                <w:sz w:val="21"/>
              </w:rPr>
              <w:t>1</w:t>
            </w:r>
          </w:p>
        </w:tc>
      </w:tr>
      <w:tr w14:paraId="0440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76D64912">
            <w:pPr>
              <w:spacing w:line="240" w:lineRule="auto"/>
              <w:jc w:val="center"/>
              <w:rPr>
                <w:color w:val="000000"/>
                <w:sz w:val="21"/>
              </w:rPr>
            </w:pPr>
            <w:r>
              <w:rPr>
                <w:color w:val="000000"/>
                <w:sz w:val="21"/>
              </w:rPr>
              <w:t>37</w:t>
            </w:r>
          </w:p>
        </w:tc>
        <w:tc>
          <w:tcPr>
            <w:tcW w:w="2084" w:type="pct"/>
            <w:tcBorders>
              <w:top w:val="single" w:color="auto" w:sz="4" w:space="0"/>
              <w:left w:val="single" w:color="auto" w:sz="4" w:space="0"/>
              <w:bottom w:val="single" w:color="auto" w:sz="4" w:space="0"/>
              <w:right w:val="single" w:color="auto" w:sz="4" w:space="0"/>
            </w:tcBorders>
            <w:vAlign w:val="center"/>
          </w:tcPr>
          <w:p w14:paraId="6C2FED47">
            <w:pPr>
              <w:spacing w:line="240" w:lineRule="auto"/>
              <w:jc w:val="center"/>
              <w:rPr>
                <w:color w:val="000000"/>
                <w:sz w:val="21"/>
              </w:rPr>
            </w:pPr>
            <w:r>
              <w:rPr>
                <w:color w:val="000000"/>
                <w:sz w:val="21"/>
              </w:rPr>
              <w:t>D-201重烃分离罐</w:t>
            </w:r>
          </w:p>
        </w:tc>
        <w:tc>
          <w:tcPr>
            <w:tcW w:w="1211" w:type="pct"/>
            <w:tcBorders>
              <w:top w:val="single" w:color="auto" w:sz="4" w:space="0"/>
              <w:left w:val="single" w:color="auto" w:sz="4" w:space="0"/>
              <w:bottom w:val="single" w:color="auto" w:sz="4" w:space="0"/>
              <w:right w:val="single" w:color="auto" w:sz="4" w:space="0"/>
            </w:tcBorders>
            <w:vAlign w:val="center"/>
          </w:tcPr>
          <w:p w14:paraId="135DA096">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79A240B2">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5188D52B">
            <w:pPr>
              <w:spacing w:line="240" w:lineRule="auto"/>
              <w:jc w:val="center"/>
              <w:rPr>
                <w:color w:val="000000"/>
                <w:sz w:val="21"/>
              </w:rPr>
            </w:pPr>
            <w:r>
              <w:rPr>
                <w:color w:val="000000"/>
                <w:sz w:val="21"/>
              </w:rPr>
              <w:t>1</w:t>
            </w:r>
          </w:p>
        </w:tc>
      </w:tr>
      <w:tr w14:paraId="5A7A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7146F574">
            <w:pPr>
              <w:spacing w:line="240" w:lineRule="auto"/>
              <w:jc w:val="center"/>
              <w:rPr>
                <w:color w:val="000000"/>
                <w:sz w:val="21"/>
              </w:rPr>
            </w:pPr>
            <w:r>
              <w:rPr>
                <w:color w:val="000000"/>
                <w:sz w:val="21"/>
              </w:rPr>
              <w:t>38</w:t>
            </w:r>
          </w:p>
        </w:tc>
        <w:tc>
          <w:tcPr>
            <w:tcW w:w="2084" w:type="pct"/>
            <w:tcBorders>
              <w:top w:val="single" w:color="auto" w:sz="4" w:space="0"/>
              <w:left w:val="single" w:color="auto" w:sz="4" w:space="0"/>
              <w:bottom w:val="single" w:color="auto" w:sz="4" w:space="0"/>
              <w:right w:val="single" w:color="auto" w:sz="4" w:space="0"/>
            </w:tcBorders>
            <w:vAlign w:val="center"/>
          </w:tcPr>
          <w:p w14:paraId="622631E9">
            <w:pPr>
              <w:spacing w:line="240" w:lineRule="auto"/>
              <w:jc w:val="center"/>
              <w:rPr>
                <w:color w:val="000000"/>
                <w:sz w:val="21"/>
              </w:rPr>
            </w:pPr>
            <w:r>
              <w:rPr>
                <w:color w:val="000000"/>
                <w:sz w:val="21"/>
              </w:rPr>
              <w:t>D-202氮气闪蒸罐</w:t>
            </w:r>
          </w:p>
        </w:tc>
        <w:tc>
          <w:tcPr>
            <w:tcW w:w="1211" w:type="pct"/>
            <w:tcBorders>
              <w:top w:val="single" w:color="auto" w:sz="4" w:space="0"/>
              <w:left w:val="single" w:color="auto" w:sz="4" w:space="0"/>
              <w:bottom w:val="single" w:color="auto" w:sz="4" w:space="0"/>
              <w:right w:val="single" w:color="auto" w:sz="4" w:space="0"/>
            </w:tcBorders>
            <w:vAlign w:val="center"/>
          </w:tcPr>
          <w:p w14:paraId="0F638CFB">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7A6596A1">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2E656D63">
            <w:pPr>
              <w:spacing w:line="240" w:lineRule="auto"/>
              <w:jc w:val="center"/>
              <w:rPr>
                <w:color w:val="000000"/>
                <w:sz w:val="21"/>
              </w:rPr>
            </w:pPr>
            <w:r>
              <w:rPr>
                <w:color w:val="000000"/>
                <w:sz w:val="21"/>
              </w:rPr>
              <w:t>1</w:t>
            </w:r>
          </w:p>
        </w:tc>
      </w:tr>
      <w:tr w14:paraId="2A938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325CE946">
            <w:pPr>
              <w:spacing w:line="240" w:lineRule="auto"/>
              <w:jc w:val="center"/>
              <w:rPr>
                <w:color w:val="000000"/>
                <w:sz w:val="21"/>
              </w:rPr>
            </w:pPr>
            <w:r>
              <w:rPr>
                <w:color w:val="000000"/>
                <w:sz w:val="21"/>
              </w:rPr>
              <w:t>39</w:t>
            </w:r>
          </w:p>
        </w:tc>
        <w:tc>
          <w:tcPr>
            <w:tcW w:w="2084" w:type="pct"/>
            <w:tcBorders>
              <w:top w:val="single" w:color="auto" w:sz="4" w:space="0"/>
              <w:left w:val="single" w:color="auto" w:sz="4" w:space="0"/>
              <w:bottom w:val="single" w:color="auto" w:sz="4" w:space="0"/>
              <w:right w:val="single" w:color="auto" w:sz="4" w:space="0"/>
            </w:tcBorders>
            <w:vAlign w:val="center"/>
          </w:tcPr>
          <w:p w14:paraId="0CA97483">
            <w:pPr>
              <w:spacing w:line="240" w:lineRule="auto"/>
              <w:jc w:val="center"/>
              <w:rPr>
                <w:color w:val="000000"/>
                <w:sz w:val="21"/>
              </w:rPr>
            </w:pPr>
            <w:r>
              <w:rPr>
                <w:color w:val="000000"/>
                <w:sz w:val="21"/>
              </w:rPr>
              <w:t>D-211MRC一段吸入罐</w:t>
            </w:r>
          </w:p>
        </w:tc>
        <w:tc>
          <w:tcPr>
            <w:tcW w:w="1211" w:type="pct"/>
            <w:tcBorders>
              <w:top w:val="single" w:color="auto" w:sz="4" w:space="0"/>
              <w:left w:val="single" w:color="auto" w:sz="4" w:space="0"/>
              <w:bottom w:val="single" w:color="auto" w:sz="4" w:space="0"/>
              <w:right w:val="single" w:color="auto" w:sz="4" w:space="0"/>
            </w:tcBorders>
            <w:vAlign w:val="center"/>
          </w:tcPr>
          <w:p w14:paraId="7E457529">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6ABA1AED">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606C13C3">
            <w:pPr>
              <w:spacing w:line="240" w:lineRule="auto"/>
              <w:jc w:val="center"/>
              <w:rPr>
                <w:color w:val="000000"/>
                <w:sz w:val="21"/>
              </w:rPr>
            </w:pPr>
            <w:r>
              <w:rPr>
                <w:color w:val="000000"/>
                <w:sz w:val="21"/>
              </w:rPr>
              <w:t>1</w:t>
            </w:r>
          </w:p>
        </w:tc>
      </w:tr>
      <w:tr w14:paraId="5FE7B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307EBFBE">
            <w:pPr>
              <w:spacing w:line="240" w:lineRule="auto"/>
              <w:jc w:val="center"/>
              <w:rPr>
                <w:color w:val="000000"/>
                <w:sz w:val="21"/>
              </w:rPr>
            </w:pPr>
            <w:r>
              <w:rPr>
                <w:color w:val="000000"/>
                <w:sz w:val="21"/>
              </w:rPr>
              <w:t>40</w:t>
            </w:r>
          </w:p>
        </w:tc>
        <w:tc>
          <w:tcPr>
            <w:tcW w:w="2084" w:type="pct"/>
            <w:tcBorders>
              <w:top w:val="single" w:color="auto" w:sz="4" w:space="0"/>
              <w:left w:val="single" w:color="auto" w:sz="4" w:space="0"/>
              <w:bottom w:val="single" w:color="auto" w:sz="4" w:space="0"/>
              <w:right w:val="single" w:color="auto" w:sz="4" w:space="0"/>
            </w:tcBorders>
            <w:vAlign w:val="center"/>
          </w:tcPr>
          <w:p w14:paraId="078BDF1C">
            <w:pPr>
              <w:spacing w:line="240" w:lineRule="auto"/>
              <w:jc w:val="center"/>
              <w:rPr>
                <w:color w:val="000000"/>
                <w:sz w:val="21"/>
              </w:rPr>
            </w:pPr>
            <w:r>
              <w:rPr>
                <w:color w:val="000000"/>
                <w:sz w:val="21"/>
              </w:rPr>
              <w:t>D-212MRC二段吸入罐</w:t>
            </w:r>
          </w:p>
        </w:tc>
        <w:tc>
          <w:tcPr>
            <w:tcW w:w="1211" w:type="pct"/>
            <w:tcBorders>
              <w:top w:val="single" w:color="auto" w:sz="4" w:space="0"/>
              <w:left w:val="single" w:color="auto" w:sz="4" w:space="0"/>
              <w:bottom w:val="single" w:color="auto" w:sz="4" w:space="0"/>
              <w:right w:val="single" w:color="auto" w:sz="4" w:space="0"/>
            </w:tcBorders>
            <w:vAlign w:val="center"/>
          </w:tcPr>
          <w:p w14:paraId="1235C70F">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085A6FA7">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59AEB16B">
            <w:pPr>
              <w:spacing w:line="240" w:lineRule="auto"/>
              <w:jc w:val="center"/>
              <w:rPr>
                <w:color w:val="000000"/>
                <w:sz w:val="21"/>
              </w:rPr>
            </w:pPr>
            <w:r>
              <w:rPr>
                <w:color w:val="000000"/>
                <w:sz w:val="21"/>
              </w:rPr>
              <w:t>1</w:t>
            </w:r>
          </w:p>
        </w:tc>
      </w:tr>
      <w:tr w14:paraId="5077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77A7DAB0">
            <w:pPr>
              <w:spacing w:line="240" w:lineRule="auto"/>
              <w:jc w:val="center"/>
              <w:rPr>
                <w:color w:val="000000"/>
                <w:sz w:val="21"/>
              </w:rPr>
            </w:pPr>
            <w:r>
              <w:rPr>
                <w:color w:val="000000"/>
                <w:sz w:val="21"/>
              </w:rPr>
              <w:t>41</w:t>
            </w:r>
          </w:p>
        </w:tc>
        <w:tc>
          <w:tcPr>
            <w:tcW w:w="2084" w:type="pct"/>
            <w:tcBorders>
              <w:top w:val="single" w:color="auto" w:sz="4" w:space="0"/>
              <w:left w:val="single" w:color="auto" w:sz="4" w:space="0"/>
              <w:bottom w:val="single" w:color="auto" w:sz="4" w:space="0"/>
              <w:right w:val="single" w:color="auto" w:sz="4" w:space="0"/>
            </w:tcBorders>
            <w:vAlign w:val="center"/>
          </w:tcPr>
          <w:p w14:paraId="2D702C15">
            <w:pPr>
              <w:spacing w:line="240" w:lineRule="auto"/>
              <w:jc w:val="center"/>
              <w:rPr>
                <w:color w:val="000000"/>
                <w:sz w:val="21"/>
              </w:rPr>
            </w:pPr>
            <w:r>
              <w:rPr>
                <w:color w:val="000000"/>
                <w:sz w:val="21"/>
              </w:rPr>
              <w:t>D-213MRC三段吸入罐</w:t>
            </w:r>
          </w:p>
        </w:tc>
        <w:tc>
          <w:tcPr>
            <w:tcW w:w="1211" w:type="pct"/>
            <w:tcBorders>
              <w:top w:val="single" w:color="auto" w:sz="4" w:space="0"/>
              <w:left w:val="single" w:color="auto" w:sz="4" w:space="0"/>
              <w:bottom w:val="single" w:color="auto" w:sz="4" w:space="0"/>
              <w:right w:val="single" w:color="auto" w:sz="4" w:space="0"/>
            </w:tcBorders>
            <w:vAlign w:val="center"/>
          </w:tcPr>
          <w:p w14:paraId="65941BD2">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00512027">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41A74105">
            <w:pPr>
              <w:spacing w:line="240" w:lineRule="auto"/>
              <w:jc w:val="center"/>
              <w:rPr>
                <w:color w:val="000000"/>
                <w:sz w:val="21"/>
              </w:rPr>
            </w:pPr>
            <w:r>
              <w:rPr>
                <w:color w:val="000000"/>
                <w:sz w:val="21"/>
              </w:rPr>
              <w:t>1</w:t>
            </w:r>
          </w:p>
        </w:tc>
      </w:tr>
      <w:tr w14:paraId="7499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08B66A7E">
            <w:pPr>
              <w:spacing w:line="240" w:lineRule="auto"/>
              <w:jc w:val="center"/>
              <w:rPr>
                <w:color w:val="000000"/>
                <w:sz w:val="21"/>
              </w:rPr>
            </w:pPr>
            <w:r>
              <w:rPr>
                <w:color w:val="000000"/>
                <w:sz w:val="21"/>
              </w:rPr>
              <w:t>42</w:t>
            </w:r>
          </w:p>
        </w:tc>
        <w:tc>
          <w:tcPr>
            <w:tcW w:w="2084" w:type="pct"/>
            <w:tcBorders>
              <w:top w:val="single" w:color="auto" w:sz="4" w:space="0"/>
              <w:left w:val="single" w:color="auto" w:sz="4" w:space="0"/>
              <w:bottom w:val="single" w:color="auto" w:sz="4" w:space="0"/>
              <w:right w:val="single" w:color="auto" w:sz="4" w:space="0"/>
            </w:tcBorders>
            <w:vAlign w:val="center"/>
          </w:tcPr>
          <w:p w14:paraId="5FCCC915">
            <w:pPr>
              <w:spacing w:line="240" w:lineRule="auto"/>
              <w:jc w:val="center"/>
              <w:rPr>
                <w:color w:val="000000"/>
                <w:sz w:val="21"/>
              </w:rPr>
            </w:pPr>
            <w:r>
              <w:rPr>
                <w:color w:val="000000"/>
                <w:sz w:val="21"/>
              </w:rPr>
              <w:t>D-214MRC三段排出罐</w:t>
            </w:r>
          </w:p>
        </w:tc>
        <w:tc>
          <w:tcPr>
            <w:tcW w:w="1211" w:type="pct"/>
            <w:tcBorders>
              <w:top w:val="single" w:color="auto" w:sz="4" w:space="0"/>
              <w:left w:val="single" w:color="auto" w:sz="4" w:space="0"/>
              <w:bottom w:val="single" w:color="auto" w:sz="4" w:space="0"/>
              <w:right w:val="single" w:color="auto" w:sz="4" w:space="0"/>
            </w:tcBorders>
            <w:vAlign w:val="center"/>
          </w:tcPr>
          <w:p w14:paraId="3B0639EA">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7653D53A">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7E9B0D63">
            <w:pPr>
              <w:spacing w:line="240" w:lineRule="auto"/>
              <w:jc w:val="center"/>
              <w:rPr>
                <w:color w:val="000000"/>
                <w:sz w:val="21"/>
              </w:rPr>
            </w:pPr>
            <w:r>
              <w:rPr>
                <w:color w:val="000000"/>
                <w:sz w:val="21"/>
              </w:rPr>
              <w:t>1</w:t>
            </w:r>
          </w:p>
        </w:tc>
      </w:tr>
      <w:tr w14:paraId="311C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0BF3200D">
            <w:pPr>
              <w:spacing w:line="240" w:lineRule="auto"/>
              <w:jc w:val="center"/>
              <w:rPr>
                <w:color w:val="000000"/>
                <w:sz w:val="21"/>
              </w:rPr>
            </w:pPr>
            <w:r>
              <w:rPr>
                <w:color w:val="000000"/>
                <w:sz w:val="21"/>
              </w:rPr>
              <w:t>43</w:t>
            </w:r>
          </w:p>
        </w:tc>
        <w:tc>
          <w:tcPr>
            <w:tcW w:w="2084" w:type="pct"/>
            <w:tcBorders>
              <w:top w:val="single" w:color="auto" w:sz="4" w:space="0"/>
              <w:left w:val="single" w:color="auto" w:sz="4" w:space="0"/>
              <w:bottom w:val="single" w:color="auto" w:sz="4" w:space="0"/>
              <w:right w:val="single" w:color="auto" w:sz="4" w:space="0"/>
            </w:tcBorders>
            <w:vAlign w:val="center"/>
          </w:tcPr>
          <w:p w14:paraId="0D7AEDBB">
            <w:pPr>
              <w:spacing w:line="240" w:lineRule="auto"/>
              <w:jc w:val="center"/>
              <w:rPr>
                <w:color w:val="000000"/>
                <w:sz w:val="21"/>
              </w:rPr>
            </w:pPr>
            <w:r>
              <w:rPr>
                <w:color w:val="000000"/>
                <w:sz w:val="21"/>
              </w:rPr>
              <w:t>D-400混合冷剂罐</w:t>
            </w:r>
          </w:p>
        </w:tc>
        <w:tc>
          <w:tcPr>
            <w:tcW w:w="1211" w:type="pct"/>
            <w:tcBorders>
              <w:top w:val="single" w:color="auto" w:sz="4" w:space="0"/>
              <w:left w:val="single" w:color="auto" w:sz="4" w:space="0"/>
              <w:bottom w:val="single" w:color="auto" w:sz="4" w:space="0"/>
              <w:right w:val="single" w:color="auto" w:sz="4" w:space="0"/>
            </w:tcBorders>
            <w:vAlign w:val="center"/>
          </w:tcPr>
          <w:p w14:paraId="5412854B">
            <w:pPr>
              <w:spacing w:line="240" w:lineRule="auto"/>
              <w:jc w:val="center"/>
              <w:rPr>
                <w:color w:val="000000"/>
                <w:sz w:val="21"/>
              </w:rPr>
            </w:pPr>
            <w:r>
              <w:rPr>
                <w:color w:val="000000"/>
                <w:sz w:val="21"/>
              </w:rPr>
              <w:t>卧式</w:t>
            </w:r>
          </w:p>
        </w:tc>
        <w:tc>
          <w:tcPr>
            <w:tcW w:w="532" w:type="pct"/>
            <w:tcBorders>
              <w:top w:val="single" w:color="auto" w:sz="4" w:space="0"/>
              <w:left w:val="single" w:color="auto" w:sz="4" w:space="0"/>
              <w:bottom w:val="single" w:color="auto" w:sz="4" w:space="0"/>
              <w:right w:val="single" w:color="auto" w:sz="4" w:space="0"/>
            </w:tcBorders>
            <w:vAlign w:val="center"/>
          </w:tcPr>
          <w:p w14:paraId="10298A41">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6F35A8AA">
            <w:pPr>
              <w:spacing w:line="240" w:lineRule="auto"/>
              <w:jc w:val="center"/>
              <w:rPr>
                <w:color w:val="000000"/>
                <w:sz w:val="21"/>
              </w:rPr>
            </w:pPr>
            <w:r>
              <w:rPr>
                <w:color w:val="000000"/>
                <w:sz w:val="21"/>
              </w:rPr>
              <w:t>1</w:t>
            </w:r>
          </w:p>
        </w:tc>
      </w:tr>
      <w:tr w14:paraId="3204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3E86D421">
            <w:pPr>
              <w:spacing w:line="240" w:lineRule="auto"/>
              <w:jc w:val="center"/>
              <w:rPr>
                <w:color w:val="000000"/>
                <w:sz w:val="21"/>
              </w:rPr>
            </w:pPr>
            <w:r>
              <w:rPr>
                <w:color w:val="000000"/>
                <w:sz w:val="21"/>
              </w:rPr>
              <w:t>44</w:t>
            </w:r>
          </w:p>
        </w:tc>
        <w:tc>
          <w:tcPr>
            <w:tcW w:w="2084" w:type="pct"/>
            <w:tcBorders>
              <w:top w:val="single" w:color="auto" w:sz="4" w:space="0"/>
              <w:left w:val="single" w:color="auto" w:sz="4" w:space="0"/>
              <w:bottom w:val="single" w:color="auto" w:sz="4" w:space="0"/>
              <w:right w:val="single" w:color="auto" w:sz="4" w:space="0"/>
            </w:tcBorders>
            <w:vAlign w:val="center"/>
          </w:tcPr>
          <w:p w14:paraId="6EC09941">
            <w:pPr>
              <w:spacing w:line="240" w:lineRule="auto"/>
              <w:jc w:val="center"/>
              <w:rPr>
                <w:color w:val="000000"/>
                <w:sz w:val="21"/>
              </w:rPr>
            </w:pPr>
            <w:r>
              <w:rPr>
                <w:color w:val="000000"/>
                <w:sz w:val="21"/>
              </w:rPr>
              <w:t>D-402乙烯补充罐</w:t>
            </w:r>
          </w:p>
        </w:tc>
        <w:tc>
          <w:tcPr>
            <w:tcW w:w="1211" w:type="pct"/>
            <w:tcBorders>
              <w:top w:val="single" w:color="auto" w:sz="4" w:space="0"/>
              <w:left w:val="single" w:color="auto" w:sz="4" w:space="0"/>
              <w:bottom w:val="single" w:color="auto" w:sz="4" w:space="0"/>
              <w:right w:val="single" w:color="auto" w:sz="4" w:space="0"/>
            </w:tcBorders>
            <w:vAlign w:val="center"/>
          </w:tcPr>
          <w:p w14:paraId="1B475804">
            <w:pPr>
              <w:spacing w:line="240" w:lineRule="auto"/>
              <w:jc w:val="center"/>
              <w:rPr>
                <w:color w:val="000000"/>
                <w:sz w:val="21"/>
              </w:rPr>
            </w:pPr>
            <w:r>
              <w:rPr>
                <w:color w:val="000000"/>
                <w:sz w:val="21"/>
              </w:rPr>
              <w:t>卧式</w:t>
            </w:r>
          </w:p>
        </w:tc>
        <w:tc>
          <w:tcPr>
            <w:tcW w:w="532" w:type="pct"/>
            <w:tcBorders>
              <w:top w:val="single" w:color="auto" w:sz="4" w:space="0"/>
              <w:left w:val="single" w:color="auto" w:sz="4" w:space="0"/>
              <w:bottom w:val="single" w:color="auto" w:sz="4" w:space="0"/>
              <w:right w:val="single" w:color="auto" w:sz="4" w:space="0"/>
            </w:tcBorders>
            <w:vAlign w:val="center"/>
          </w:tcPr>
          <w:p w14:paraId="11835418">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32B11F8E">
            <w:pPr>
              <w:spacing w:line="240" w:lineRule="auto"/>
              <w:jc w:val="center"/>
              <w:rPr>
                <w:color w:val="000000"/>
                <w:sz w:val="21"/>
              </w:rPr>
            </w:pPr>
            <w:r>
              <w:rPr>
                <w:color w:val="000000"/>
                <w:sz w:val="21"/>
              </w:rPr>
              <w:t>1</w:t>
            </w:r>
          </w:p>
        </w:tc>
      </w:tr>
      <w:tr w14:paraId="613A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05BEDF06">
            <w:pPr>
              <w:spacing w:line="240" w:lineRule="auto"/>
              <w:jc w:val="center"/>
              <w:rPr>
                <w:color w:val="000000"/>
                <w:sz w:val="21"/>
              </w:rPr>
            </w:pPr>
            <w:r>
              <w:rPr>
                <w:color w:val="000000"/>
                <w:sz w:val="21"/>
              </w:rPr>
              <w:t>45</w:t>
            </w:r>
          </w:p>
        </w:tc>
        <w:tc>
          <w:tcPr>
            <w:tcW w:w="2084" w:type="pct"/>
            <w:tcBorders>
              <w:top w:val="single" w:color="auto" w:sz="4" w:space="0"/>
              <w:left w:val="single" w:color="auto" w:sz="4" w:space="0"/>
              <w:bottom w:val="single" w:color="auto" w:sz="4" w:space="0"/>
              <w:right w:val="single" w:color="auto" w:sz="4" w:space="0"/>
            </w:tcBorders>
            <w:vAlign w:val="center"/>
          </w:tcPr>
          <w:p w14:paraId="5360945E">
            <w:pPr>
              <w:spacing w:line="240" w:lineRule="auto"/>
              <w:jc w:val="center"/>
              <w:rPr>
                <w:color w:val="000000"/>
                <w:sz w:val="21"/>
              </w:rPr>
            </w:pPr>
            <w:r>
              <w:rPr>
                <w:color w:val="000000"/>
                <w:sz w:val="21"/>
              </w:rPr>
              <w:t>D-403丙烷补充罐</w:t>
            </w:r>
          </w:p>
        </w:tc>
        <w:tc>
          <w:tcPr>
            <w:tcW w:w="1211" w:type="pct"/>
            <w:tcBorders>
              <w:top w:val="single" w:color="auto" w:sz="4" w:space="0"/>
              <w:left w:val="single" w:color="auto" w:sz="4" w:space="0"/>
              <w:bottom w:val="single" w:color="auto" w:sz="4" w:space="0"/>
              <w:right w:val="single" w:color="auto" w:sz="4" w:space="0"/>
            </w:tcBorders>
            <w:vAlign w:val="center"/>
          </w:tcPr>
          <w:p w14:paraId="21E4C451">
            <w:pPr>
              <w:spacing w:line="240" w:lineRule="auto"/>
              <w:jc w:val="center"/>
              <w:rPr>
                <w:color w:val="000000"/>
                <w:sz w:val="21"/>
              </w:rPr>
            </w:pPr>
            <w:r>
              <w:rPr>
                <w:color w:val="000000"/>
                <w:sz w:val="21"/>
              </w:rPr>
              <w:t>卧式</w:t>
            </w:r>
          </w:p>
        </w:tc>
        <w:tc>
          <w:tcPr>
            <w:tcW w:w="532" w:type="pct"/>
            <w:tcBorders>
              <w:top w:val="single" w:color="auto" w:sz="4" w:space="0"/>
              <w:left w:val="single" w:color="auto" w:sz="4" w:space="0"/>
              <w:bottom w:val="single" w:color="auto" w:sz="4" w:space="0"/>
              <w:right w:val="single" w:color="auto" w:sz="4" w:space="0"/>
            </w:tcBorders>
            <w:vAlign w:val="center"/>
          </w:tcPr>
          <w:p w14:paraId="72E90928">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344AD57A">
            <w:pPr>
              <w:spacing w:line="240" w:lineRule="auto"/>
              <w:jc w:val="center"/>
              <w:rPr>
                <w:color w:val="000000"/>
                <w:sz w:val="21"/>
              </w:rPr>
            </w:pPr>
            <w:r>
              <w:rPr>
                <w:color w:val="000000"/>
                <w:sz w:val="21"/>
              </w:rPr>
              <w:t>1</w:t>
            </w:r>
          </w:p>
        </w:tc>
      </w:tr>
      <w:tr w14:paraId="24CE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3E17E4AB">
            <w:pPr>
              <w:spacing w:line="240" w:lineRule="auto"/>
              <w:jc w:val="center"/>
              <w:rPr>
                <w:color w:val="000000"/>
                <w:sz w:val="21"/>
              </w:rPr>
            </w:pPr>
            <w:r>
              <w:rPr>
                <w:color w:val="000000"/>
                <w:sz w:val="21"/>
              </w:rPr>
              <w:t>46</w:t>
            </w:r>
          </w:p>
        </w:tc>
        <w:tc>
          <w:tcPr>
            <w:tcW w:w="2084" w:type="pct"/>
            <w:tcBorders>
              <w:top w:val="single" w:color="auto" w:sz="4" w:space="0"/>
              <w:left w:val="single" w:color="auto" w:sz="4" w:space="0"/>
              <w:bottom w:val="single" w:color="auto" w:sz="4" w:space="0"/>
              <w:right w:val="single" w:color="auto" w:sz="4" w:space="0"/>
            </w:tcBorders>
            <w:vAlign w:val="center"/>
          </w:tcPr>
          <w:p w14:paraId="33FC5E58">
            <w:pPr>
              <w:spacing w:line="240" w:lineRule="auto"/>
              <w:jc w:val="center"/>
              <w:rPr>
                <w:color w:val="000000"/>
                <w:sz w:val="21"/>
              </w:rPr>
            </w:pPr>
            <w:r>
              <w:rPr>
                <w:color w:val="000000"/>
                <w:sz w:val="21"/>
              </w:rPr>
              <w:t>D-405异戊烷补充罐</w:t>
            </w:r>
          </w:p>
        </w:tc>
        <w:tc>
          <w:tcPr>
            <w:tcW w:w="1211" w:type="pct"/>
            <w:tcBorders>
              <w:top w:val="single" w:color="auto" w:sz="4" w:space="0"/>
              <w:left w:val="single" w:color="auto" w:sz="4" w:space="0"/>
              <w:bottom w:val="single" w:color="auto" w:sz="4" w:space="0"/>
              <w:right w:val="single" w:color="auto" w:sz="4" w:space="0"/>
            </w:tcBorders>
            <w:vAlign w:val="center"/>
          </w:tcPr>
          <w:p w14:paraId="116AF8EB">
            <w:pPr>
              <w:spacing w:line="240" w:lineRule="auto"/>
              <w:jc w:val="center"/>
              <w:rPr>
                <w:color w:val="000000"/>
                <w:sz w:val="21"/>
              </w:rPr>
            </w:pPr>
            <w:r>
              <w:rPr>
                <w:color w:val="000000"/>
                <w:sz w:val="21"/>
              </w:rPr>
              <w:t>卧式</w:t>
            </w:r>
          </w:p>
        </w:tc>
        <w:tc>
          <w:tcPr>
            <w:tcW w:w="532" w:type="pct"/>
            <w:tcBorders>
              <w:top w:val="single" w:color="auto" w:sz="4" w:space="0"/>
              <w:left w:val="single" w:color="auto" w:sz="4" w:space="0"/>
              <w:bottom w:val="single" w:color="auto" w:sz="4" w:space="0"/>
              <w:right w:val="single" w:color="auto" w:sz="4" w:space="0"/>
            </w:tcBorders>
            <w:vAlign w:val="center"/>
          </w:tcPr>
          <w:p w14:paraId="2AEB13AE">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21D3BA45">
            <w:pPr>
              <w:spacing w:line="240" w:lineRule="auto"/>
              <w:jc w:val="center"/>
              <w:rPr>
                <w:color w:val="000000"/>
                <w:sz w:val="21"/>
              </w:rPr>
            </w:pPr>
            <w:r>
              <w:rPr>
                <w:color w:val="000000"/>
                <w:sz w:val="21"/>
              </w:rPr>
              <w:t>1</w:t>
            </w:r>
          </w:p>
        </w:tc>
      </w:tr>
      <w:tr w14:paraId="7E78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44769D45">
            <w:pPr>
              <w:spacing w:line="240" w:lineRule="auto"/>
              <w:jc w:val="center"/>
              <w:rPr>
                <w:color w:val="000000"/>
                <w:sz w:val="21"/>
              </w:rPr>
            </w:pPr>
            <w:r>
              <w:rPr>
                <w:color w:val="000000"/>
                <w:sz w:val="21"/>
              </w:rPr>
              <w:t>47</w:t>
            </w:r>
          </w:p>
        </w:tc>
        <w:tc>
          <w:tcPr>
            <w:tcW w:w="2084" w:type="pct"/>
            <w:tcBorders>
              <w:top w:val="single" w:color="auto" w:sz="4" w:space="0"/>
              <w:left w:val="single" w:color="auto" w:sz="4" w:space="0"/>
              <w:bottom w:val="single" w:color="auto" w:sz="4" w:space="0"/>
              <w:right w:val="single" w:color="auto" w:sz="4" w:space="0"/>
            </w:tcBorders>
            <w:vAlign w:val="center"/>
          </w:tcPr>
          <w:p w14:paraId="1FC44373">
            <w:pPr>
              <w:spacing w:line="240" w:lineRule="auto"/>
              <w:jc w:val="center"/>
              <w:rPr>
                <w:color w:val="000000"/>
                <w:sz w:val="21"/>
              </w:rPr>
            </w:pPr>
            <w:r>
              <w:rPr>
                <w:color w:val="000000"/>
                <w:sz w:val="21"/>
              </w:rPr>
              <w:t>D-501燃料气缓冲罐</w:t>
            </w:r>
          </w:p>
        </w:tc>
        <w:tc>
          <w:tcPr>
            <w:tcW w:w="1211" w:type="pct"/>
            <w:tcBorders>
              <w:top w:val="single" w:color="auto" w:sz="4" w:space="0"/>
              <w:left w:val="single" w:color="auto" w:sz="4" w:space="0"/>
              <w:bottom w:val="single" w:color="auto" w:sz="4" w:space="0"/>
              <w:right w:val="single" w:color="auto" w:sz="4" w:space="0"/>
            </w:tcBorders>
            <w:vAlign w:val="center"/>
          </w:tcPr>
          <w:p w14:paraId="278B9E48">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246A65B1">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4435B53B">
            <w:pPr>
              <w:spacing w:line="240" w:lineRule="auto"/>
              <w:jc w:val="center"/>
              <w:rPr>
                <w:color w:val="000000"/>
                <w:sz w:val="21"/>
              </w:rPr>
            </w:pPr>
            <w:r>
              <w:rPr>
                <w:color w:val="000000"/>
                <w:sz w:val="21"/>
              </w:rPr>
              <w:t>1</w:t>
            </w:r>
          </w:p>
        </w:tc>
      </w:tr>
      <w:tr w14:paraId="2F39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07EAE4A2">
            <w:pPr>
              <w:spacing w:line="240" w:lineRule="auto"/>
              <w:jc w:val="center"/>
              <w:rPr>
                <w:color w:val="000000"/>
                <w:sz w:val="21"/>
              </w:rPr>
            </w:pPr>
            <w:r>
              <w:rPr>
                <w:color w:val="000000"/>
                <w:sz w:val="21"/>
              </w:rPr>
              <w:t>48</w:t>
            </w:r>
          </w:p>
        </w:tc>
        <w:tc>
          <w:tcPr>
            <w:tcW w:w="2084" w:type="pct"/>
            <w:tcBorders>
              <w:top w:val="single" w:color="auto" w:sz="4" w:space="0"/>
              <w:left w:val="single" w:color="auto" w:sz="4" w:space="0"/>
              <w:bottom w:val="single" w:color="auto" w:sz="4" w:space="0"/>
              <w:right w:val="single" w:color="auto" w:sz="4" w:space="0"/>
            </w:tcBorders>
            <w:vAlign w:val="center"/>
          </w:tcPr>
          <w:p w14:paraId="15437D1C">
            <w:pPr>
              <w:spacing w:line="240" w:lineRule="auto"/>
              <w:jc w:val="center"/>
              <w:rPr>
                <w:color w:val="000000"/>
                <w:sz w:val="21"/>
              </w:rPr>
            </w:pPr>
            <w:r>
              <w:rPr>
                <w:color w:val="000000"/>
                <w:sz w:val="21"/>
              </w:rPr>
              <w:t>D-601热火炬罐</w:t>
            </w:r>
          </w:p>
        </w:tc>
        <w:tc>
          <w:tcPr>
            <w:tcW w:w="1211" w:type="pct"/>
            <w:tcBorders>
              <w:top w:val="single" w:color="auto" w:sz="4" w:space="0"/>
              <w:left w:val="single" w:color="auto" w:sz="4" w:space="0"/>
              <w:bottom w:val="single" w:color="auto" w:sz="4" w:space="0"/>
              <w:right w:val="single" w:color="auto" w:sz="4" w:space="0"/>
            </w:tcBorders>
            <w:vAlign w:val="center"/>
          </w:tcPr>
          <w:p w14:paraId="55AAFA9C">
            <w:pPr>
              <w:spacing w:line="240" w:lineRule="auto"/>
              <w:jc w:val="center"/>
              <w:rPr>
                <w:color w:val="000000"/>
                <w:sz w:val="21"/>
              </w:rPr>
            </w:pPr>
            <w:r>
              <w:rPr>
                <w:color w:val="000000"/>
                <w:sz w:val="21"/>
              </w:rPr>
              <w:t>卧式</w:t>
            </w:r>
          </w:p>
        </w:tc>
        <w:tc>
          <w:tcPr>
            <w:tcW w:w="532" w:type="pct"/>
            <w:tcBorders>
              <w:top w:val="single" w:color="auto" w:sz="4" w:space="0"/>
              <w:left w:val="single" w:color="auto" w:sz="4" w:space="0"/>
              <w:bottom w:val="single" w:color="auto" w:sz="4" w:space="0"/>
              <w:right w:val="single" w:color="auto" w:sz="4" w:space="0"/>
            </w:tcBorders>
            <w:vAlign w:val="center"/>
          </w:tcPr>
          <w:p w14:paraId="0C9979EA">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57E72ADC">
            <w:pPr>
              <w:spacing w:line="240" w:lineRule="auto"/>
              <w:jc w:val="center"/>
              <w:rPr>
                <w:color w:val="000000"/>
                <w:sz w:val="21"/>
              </w:rPr>
            </w:pPr>
            <w:r>
              <w:rPr>
                <w:color w:val="000000"/>
                <w:sz w:val="21"/>
              </w:rPr>
              <w:t>1</w:t>
            </w:r>
          </w:p>
        </w:tc>
      </w:tr>
      <w:tr w14:paraId="5AC0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2B913E96">
            <w:pPr>
              <w:spacing w:line="240" w:lineRule="auto"/>
              <w:jc w:val="center"/>
              <w:rPr>
                <w:color w:val="000000"/>
                <w:sz w:val="21"/>
              </w:rPr>
            </w:pPr>
            <w:r>
              <w:rPr>
                <w:color w:val="000000"/>
                <w:sz w:val="21"/>
              </w:rPr>
              <w:t>49</w:t>
            </w:r>
          </w:p>
        </w:tc>
        <w:tc>
          <w:tcPr>
            <w:tcW w:w="2084" w:type="pct"/>
            <w:tcBorders>
              <w:top w:val="single" w:color="auto" w:sz="4" w:space="0"/>
              <w:left w:val="single" w:color="auto" w:sz="4" w:space="0"/>
              <w:bottom w:val="single" w:color="auto" w:sz="4" w:space="0"/>
              <w:right w:val="single" w:color="auto" w:sz="4" w:space="0"/>
            </w:tcBorders>
            <w:vAlign w:val="center"/>
          </w:tcPr>
          <w:p w14:paraId="656BF538">
            <w:pPr>
              <w:spacing w:line="240" w:lineRule="auto"/>
              <w:jc w:val="center"/>
              <w:rPr>
                <w:color w:val="000000"/>
                <w:sz w:val="21"/>
              </w:rPr>
            </w:pPr>
            <w:r>
              <w:rPr>
                <w:color w:val="000000"/>
                <w:sz w:val="21"/>
              </w:rPr>
              <w:t>D-602冷火炬罐</w:t>
            </w:r>
          </w:p>
        </w:tc>
        <w:tc>
          <w:tcPr>
            <w:tcW w:w="1211" w:type="pct"/>
            <w:tcBorders>
              <w:top w:val="single" w:color="auto" w:sz="4" w:space="0"/>
              <w:left w:val="single" w:color="auto" w:sz="4" w:space="0"/>
              <w:bottom w:val="single" w:color="auto" w:sz="4" w:space="0"/>
              <w:right w:val="single" w:color="auto" w:sz="4" w:space="0"/>
            </w:tcBorders>
            <w:vAlign w:val="center"/>
          </w:tcPr>
          <w:p w14:paraId="77811348">
            <w:pPr>
              <w:spacing w:line="240" w:lineRule="auto"/>
              <w:jc w:val="center"/>
              <w:rPr>
                <w:color w:val="000000"/>
                <w:sz w:val="21"/>
              </w:rPr>
            </w:pPr>
            <w:r>
              <w:rPr>
                <w:color w:val="000000"/>
                <w:sz w:val="21"/>
              </w:rPr>
              <w:t>卧式</w:t>
            </w:r>
          </w:p>
        </w:tc>
        <w:tc>
          <w:tcPr>
            <w:tcW w:w="532" w:type="pct"/>
            <w:tcBorders>
              <w:top w:val="single" w:color="auto" w:sz="4" w:space="0"/>
              <w:left w:val="single" w:color="auto" w:sz="4" w:space="0"/>
              <w:bottom w:val="single" w:color="auto" w:sz="4" w:space="0"/>
              <w:right w:val="single" w:color="auto" w:sz="4" w:space="0"/>
            </w:tcBorders>
            <w:vAlign w:val="center"/>
          </w:tcPr>
          <w:p w14:paraId="09AE3BCF">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55E093A1">
            <w:pPr>
              <w:spacing w:line="240" w:lineRule="auto"/>
              <w:jc w:val="center"/>
              <w:rPr>
                <w:color w:val="000000"/>
                <w:sz w:val="21"/>
              </w:rPr>
            </w:pPr>
            <w:r>
              <w:rPr>
                <w:color w:val="000000"/>
                <w:sz w:val="21"/>
              </w:rPr>
              <w:t>1</w:t>
            </w:r>
          </w:p>
        </w:tc>
      </w:tr>
      <w:tr w14:paraId="3CCC5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4001F2B2">
            <w:pPr>
              <w:spacing w:line="240" w:lineRule="auto"/>
              <w:jc w:val="center"/>
              <w:rPr>
                <w:color w:val="000000"/>
                <w:sz w:val="21"/>
              </w:rPr>
            </w:pPr>
            <w:r>
              <w:rPr>
                <w:color w:val="000000"/>
                <w:sz w:val="21"/>
              </w:rPr>
              <w:t>50</w:t>
            </w:r>
          </w:p>
        </w:tc>
        <w:tc>
          <w:tcPr>
            <w:tcW w:w="2084" w:type="pct"/>
            <w:tcBorders>
              <w:top w:val="single" w:color="auto" w:sz="4" w:space="0"/>
              <w:left w:val="single" w:color="auto" w:sz="4" w:space="0"/>
              <w:bottom w:val="single" w:color="auto" w:sz="4" w:space="0"/>
              <w:right w:val="single" w:color="auto" w:sz="4" w:space="0"/>
            </w:tcBorders>
            <w:vAlign w:val="center"/>
          </w:tcPr>
          <w:p w14:paraId="11C7065E">
            <w:pPr>
              <w:spacing w:line="240" w:lineRule="auto"/>
              <w:jc w:val="center"/>
              <w:rPr>
                <w:color w:val="000000"/>
                <w:sz w:val="21"/>
              </w:rPr>
            </w:pPr>
            <w:r>
              <w:rPr>
                <w:color w:val="000000"/>
                <w:sz w:val="21"/>
              </w:rPr>
              <w:t>D-603新鲜胺储存罐</w:t>
            </w:r>
          </w:p>
        </w:tc>
        <w:tc>
          <w:tcPr>
            <w:tcW w:w="1211" w:type="pct"/>
            <w:tcBorders>
              <w:top w:val="single" w:color="auto" w:sz="4" w:space="0"/>
              <w:left w:val="single" w:color="auto" w:sz="4" w:space="0"/>
              <w:bottom w:val="single" w:color="auto" w:sz="4" w:space="0"/>
              <w:right w:val="single" w:color="auto" w:sz="4" w:space="0"/>
            </w:tcBorders>
            <w:vAlign w:val="center"/>
          </w:tcPr>
          <w:p w14:paraId="51740544">
            <w:pPr>
              <w:spacing w:line="240" w:lineRule="auto"/>
              <w:jc w:val="center"/>
              <w:rPr>
                <w:color w:val="000000"/>
                <w:sz w:val="21"/>
              </w:rPr>
            </w:pPr>
            <w:r>
              <w:rPr>
                <w:color w:val="000000"/>
                <w:sz w:val="21"/>
              </w:rPr>
              <w:t>卧式</w:t>
            </w:r>
          </w:p>
        </w:tc>
        <w:tc>
          <w:tcPr>
            <w:tcW w:w="532" w:type="pct"/>
            <w:tcBorders>
              <w:top w:val="single" w:color="auto" w:sz="4" w:space="0"/>
              <w:left w:val="single" w:color="auto" w:sz="4" w:space="0"/>
              <w:bottom w:val="single" w:color="auto" w:sz="4" w:space="0"/>
              <w:right w:val="single" w:color="auto" w:sz="4" w:space="0"/>
            </w:tcBorders>
            <w:vAlign w:val="center"/>
          </w:tcPr>
          <w:p w14:paraId="740085F9">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0AFF49EB">
            <w:pPr>
              <w:spacing w:line="240" w:lineRule="auto"/>
              <w:jc w:val="center"/>
              <w:rPr>
                <w:color w:val="000000"/>
                <w:sz w:val="21"/>
              </w:rPr>
            </w:pPr>
            <w:r>
              <w:rPr>
                <w:color w:val="000000"/>
                <w:sz w:val="21"/>
              </w:rPr>
              <w:t>1</w:t>
            </w:r>
          </w:p>
        </w:tc>
      </w:tr>
      <w:tr w14:paraId="0283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50D4BEB7">
            <w:pPr>
              <w:spacing w:line="240" w:lineRule="auto"/>
              <w:jc w:val="center"/>
              <w:rPr>
                <w:color w:val="000000"/>
                <w:sz w:val="21"/>
              </w:rPr>
            </w:pPr>
            <w:r>
              <w:rPr>
                <w:color w:val="000000"/>
                <w:sz w:val="21"/>
              </w:rPr>
              <w:t>51</w:t>
            </w:r>
          </w:p>
        </w:tc>
        <w:tc>
          <w:tcPr>
            <w:tcW w:w="2084" w:type="pct"/>
            <w:tcBorders>
              <w:top w:val="single" w:color="auto" w:sz="4" w:space="0"/>
              <w:left w:val="single" w:color="auto" w:sz="4" w:space="0"/>
              <w:bottom w:val="single" w:color="auto" w:sz="4" w:space="0"/>
              <w:right w:val="single" w:color="auto" w:sz="4" w:space="0"/>
            </w:tcBorders>
            <w:vAlign w:val="center"/>
          </w:tcPr>
          <w:p w14:paraId="48067EE4">
            <w:pPr>
              <w:spacing w:line="240" w:lineRule="auto"/>
              <w:jc w:val="center"/>
              <w:rPr>
                <w:color w:val="000000"/>
                <w:sz w:val="21"/>
              </w:rPr>
            </w:pPr>
            <w:r>
              <w:rPr>
                <w:color w:val="000000"/>
                <w:sz w:val="21"/>
              </w:rPr>
              <w:t>D-604胺排放罐</w:t>
            </w:r>
          </w:p>
        </w:tc>
        <w:tc>
          <w:tcPr>
            <w:tcW w:w="1211" w:type="pct"/>
            <w:tcBorders>
              <w:top w:val="single" w:color="auto" w:sz="4" w:space="0"/>
              <w:left w:val="single" w:color="auto" w:sz="4" w:space="0"/>
              <w:bottom w:val="single" w:color="auto" w:sz="4" w:space="0"/>
              <w:right w:val="single" w:color="auto" w:sz="4" w:space="0"/>
            </w:tcBorders>
            <w:vAlign w:val="center"/>
          </w:tcPr>
          <w:p w14:paraId="26C9D222">
            <w:pPr>
              <w:spacing w:line="240" w:lineRule="auto"/>
              <w:jc w:val="center"/>
              <w:rPr>
                <w:color w:val="000000"/>
                <w:sz w:val="21"/>
              </w:rPr>
            </w:pPr>
            <w:r>
              <w:rPr>
                <w:color w:val="000000"/>
                <w:sz w:val="21"/>
              </w:rPr>
              <w:t>卧式地下</w:t>
            </w:r>
          </w:p>
        </w:tc>
        <w:tc>
          <w:tcPr>
            <w:tcW w:w="532" w:type="pct"/>
            <w:tcBorders>
              <w:top w:val="single" w:color="auto" w:sz="4" w:space="0"/>
              <w:left w:val="single" w:color="auto" w:sz="4" w:space="0"/>
              <w:bottom w:val="single" w:color="auto" w:sz="4" w:space="0"/>
              <w:right w:val="single" w:color="auto" w:sz="4" w:space="0"/>
            </w:tcBorders>
            <w:vAlign w:val="center"/>
          </w:tcPr>
          <w:p w14:paraId="369C14BA">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3C87C52D">
            <w:pPr>
              <w:spacing w:line="240" w:lineRule="auto"/>
              <w:jc w:val="center"/>
              <w:rPr>
                <w:color w:val="000000"/>
                <w:sz w:val="21"/>
              </w:rPr>
            </w:pPr>
            <w:r>
              <w:rPr>
                <w:color w:val="000000"/>
                <w:sz w:val="21"/>
              </w:rPr>
              <w:t>1</w:t>
            </w:r>
          </w:p>
        </w:tc>
      </w:tr>
      <w:tr w14:paraId="5901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47A94E05">
            <w:pPr>
              <w:spacing w:line="240" w:lineRule="auto"/>
              <w:jc w:val="center"/>
              <w:rPr>
                <w:color w:val="000000"/>
                <w:sz w:val="21"/>
              </w:rPr>
            </w:pPr>
            <w:r>
              <w:rPr>
                <w:color w:val="000000"/>
                <w:sz w:val="21"/>
              </w:rPr>
              <w:t>52</w:t>
            </w:r>
          </w:p>
        </w:tc>
        <w:tc>
          <w:tcPr>
            <w:tcW w:w="2084" w:type="pct"/>
            <w:tcBorders>
              <w:top w:val="single" w:color="auto" w:sz="4" w:space="0"/>
              <w:left w:val="single" w:color="auto" w:sz="4" w:space="0"/>
              <w:bottom w:val="single" w:color="auto" w:sz="4" w:space="0"/>
              <w:right w:val="single" w:color="auto" w:sz="4" w:space="0"/>
            </w:tcBorders>
            <w:vAlign w:val="center"/>
          </w:tcPr>
          <w:p w14:paraId="1FD07D05">
            <w:pPr>
              <w:spacing w:line="240" w:lineRule="auto"/>
              <w:jc w:val="center"/>
              <w:rPr>
                <w:color w:val="000000"/>
                <w:sz w:val="21"/>
              </w:rPr>
            </w:pPr>
            <w:r>
              <w:rPr>
                <w:color w:val="000000"/>
                <w:sz w:val="21"/>
              </w:rPr>
              <w:t>DR-101A/S干燥器</w:t>
            </w:r>
          </w:p>
        </w:tc>
        <w:tc>
          <w:tcPr>
            <w:tcW w:w="1211" w:type="pct"/>
            <w:tcBorders>
              <w:top w:val="single" w:color="auto" w:sz="4" w:space="0"/>
              <w:left w:val="single" w:color="auto" w:sz="4" w:space="0"/>
              <w:bottom w:val="single" w:color="auto" w:sz="4" w:space="0"/>
              <w:right w:val="single" w:color="auto" w:sz="4" w:space="0"/>
            </w:tcBorders>
            <w:vAlign w:val="center"/>
          </w:tcPr>
          <w:p w14:paraId="67C16785">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61515E78">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37693EB3">
            <w:pPr>
              <w:spacing w:line="240" w:lineRule="auto"/>
              <w:jc w:val="center"/>
              <w:rPr>
                <w:color w:val="000000"/>
                <w:sz w:val="21"/>
              </w:rPr>
            </w:pPr>
            <w:r>
              <w:rPr>
                <w:color w:val="000000"/>
                <w:sz w:val="21"/>
              </w:rPr>
              <w:t>2</w:t>
            </w:r>
          </w:p>
        </w:tc>
      </w:tr>
      <w:tr w14:paraId="13BF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2E5A24AE">
            <w:pPr>
              <w:spacing w:line="240" w:lineRule="auto"/>
              <w:jc w:val="center"/>
              <w:rPr>
                <w:color w:val="000000"/>
                <w:sz w:val="21"/>
              </w:rPr>
            </w:pPr>
            <w:r>
              <w:rPr>
                <w:color w:val="000000"/>
                <w:sz w:val="21"/>
              </w:rPr>
              <w:t>53</w:t>
            </w:r>
          </w:p>
        </w:tc>
        <w:tc>
          <w:tcPr>
            <w:tcW w:w="2084" w:type="pct"/>
            <w:tcBorders>
              <w:top w:val="single" w:color="auto" w:sz="4" w:space="0"/>
              <w:left w:val="single" w:color="auto" w:sz="4" w:space="0"/>
              <w:bottom w:val="single" w:color="auto" w:sz="4" w:space="0"/>
              <w:right w:val="single" w:color="auto" w:sz="4" w:space="0"/>
            </w:tcBorders>
            <w:vAlign w:val="center"/>
          </w:tcPr>
          <w:p w14:paraId="11030588">
            <w:pPr>
              <w:spacing w:line="240" w:lineRule="auto"/>
              <w:jc w:val="center"/>
              <w:rPr>
                <w:color w:val="000000"/>
                <w:sz w:val="21"/>
              </w:rPr>
            </w:pPr>
            <w:r>
              <w:rPr>
                <w:color w:val="000000"/>
                <w:sz w:val="21"/>
              </w:rPr>
              <w:t>DR-403丙烷干燥器</w:t>
            </w:r>
          </w:p>
        </w:tc>
        <w:tc>
          <w:tcPr>
            <w:tcW w:w="1211" w:type="pct"/>
            <w:tcBorders>
              <w:top w:val="single" w:color="auto" w:sz="4" w:space="0"/>
              <w:left w:val="single" w:color="auto" w:sz="4" w:space="0"/>
              <w:bottom w:val="single" w:color="auto" w:sz="4" w:space="0"/>
              <w:right w:val="single" w:color="auto" w:sz="4" w:space="0"/>
            </w:tcBorders>
            <w:vAlign w:val="center"/>
          </w:tcPr>
          <w:p w14:paraId="2144666E">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476169D0">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74E5ED4F">
            <w:pPr>
              <w:spacing w:line="240" w:lineRule="auto"/>
              <w:jc w:val="center"/>
              <w:rPr>
                <w:color w:val="000000"/>
                <w:sz w:val="21"/>
              </w:rPr>
            </w:pPr>
            <w:r>
              <w:rPr>
                <w:color w:val="000000"/>
                <w:sz w:val="21"/>
              </w:rPr>
              <w:t>1</w:t>
            </w:r>
          </w:p>
        </w:tc>
      </w:tr>
      <w:tr w14:paraId="622D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22BAAC89">
            <w:pPr>
              <w:spacing w:line="240" w:lineRule="auto"/>
              <w:jc w:val="center"/>
              <w:rPr>
                <w:color w:val="000000"/>
                <w:sz w:val="21"/>
              </w:rPr>
            </w:pPr>
            <w:r>
              <w:rPr>
                <w:color w:val="000000"/>
                <w:sz w:val="21"/>
              </w:rPr>
              <w:t>54</w:t>
            </w:r>
          </w:p>
        </w:tc>
        <w:tc>
          <w:tcPr>
            <w:tcW w:w="2084" w:type="pct"/>
            <w:tcBorders>
              <w:top w:val="single" w:color="auto" w:sz="4" w:space="0"/>
              <w:left w:val="single" w:color="auto" w:sz="4" w:space="0"/>
              <w:bottom w:val="single" w:color="auto" w:sz="4" w:space="0"/>
              <w:right w:val="single" w:color="auto" w:sz="4" w:space="0"/>
            </w:tcBorders>
            <w:vAlign w:val="center"/>
          </w:tcPr>
          <w:p w14:paraId="2E889CC8">
            <w:pPr>
              <w:spacing w:line="240" w:lineRule="auto"/>
              <w:jc w:val="center"/>
              <w:rPr>
                <w:color w:val="000000"/>
                <w:sz w:val="21"/>
              </w:rPr>
            </w:pPr>
            <w:r>
              <w:rPr>
                <w:color w:val="000000"/>
                <w:sz w:val="21"/>
              </w:rPr>
              <w:t>DR-405异戊烷干燥器</w:t>
            </w:r>
          </w:p>
        </w:tc>
        <w:tc>
          <w:tcPr>
            <w:tcW w:w="1211" w:type="pct"/>
            <w:tcBorders>
              <w:top w:val="single" w:color="auto" w:sz="4" w:space="0"/>
              <w:left w:val="single" w:color="auto" w:sz="4" w:space="0"/>
              <w:bottom w:val="single" w:color="auto" w:sz="4" w:space="0"/>
              <w:right w:val="single" w:color="auto" w:sz="4" w:space="0"/>
            </w:tcBorders>
            <w:vAlign w:val="center"/>
          </w:tcPr>
          <w:p w14:paraId="5C69A9CB">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57DD3DEF">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63C05B45">
            <w:pPr>
              <w:spacing w:line="240" w:lineRule="auto"/>
              <w:jc w:val="center"/>
              <w:rPr>
                <w:color w:val="000000"/>
                <w:sz w:val="21"/>
              </w:rPr>
            </w:pPr>
            <w:r>
              <w:rPr>
                <w:color w:val="000000"/>
                <w:sz w:val="21"/>
              </w:rPr>
              <w:t>1</w:t>
            </w:r>
          </w:p>
        </w:tc>
      </w:tr>
      <w:tr w14:paraId="537E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0D3852D6">
            <w:pPr>
              <w:spacing w:line="240" w:lineRule="auto"/>
              <w:jc w:val="center"/>
              <w:rPr>
                <w:color w:val="000000"/>
                <w:sz w:val="21"/>
              </w:rPr>
            </w:pPr>
            <w:r>
              <w:rPr>
                <w:color w:val="000000"/>
                <w:sz w:val="21"/>
              </w:rPr>
              <w:t>55</w:t>
            </w:r>
          </w:p>
        </w:tc>
        <w:tc>
          <w:tcPr>
            <w:tcW w:w="2084" w:type="pct"/>
            <w:tcBorders>
              <w:top w:val="single" w:color="auto" w:sz="4" w:space="0"/>
              <w:left w:val="single" w:color="auto" w:sz="4" w:space="0"/>
              <w:bottom w:val="single" w:color="auto" w:sz="4" w:space="0"/>
              <w:right w:val="single" w:color="auto" w:sz="4" w:space="0"/>
            </w:tcBorders>
            <w:vAlign w:val="center"/>
          </w:tcPr>
          <w:p w14:paraId="72F669A1">
            <w:pPr>
              <w:spacing w:line="240" w:lineRule="auto"/>
              <w:jc w:val="center"/>
              <w:rPr>
                <w:color w:val="000000"/>
                <w:sz w:val="21"/>
              </w:rPr>
            </w:pPr>
            <w:r>
              <w:rPr>
                <w:color w:val="000000"/>
                <w:sz w:val="21"/>
              </w:rPr>
              <w:t>R-101脱汞反应器</w:t>
            </w:r>
          </w:p>
        </w:tc>
        <w:tc>
          <w:tcPr>
            <w:tcW w:w="1211" w:type="pct"/>
            <w:tcBorders>
              <w:top w:val="single" w:color="auto" w:sz="4" w:space="0"/>
              <w:left w:val="single" w:color="auto" w:sz="4" w:space="0"/>
              <w:bottom w:val="single" w:color="auto" w:sz="4" w:space="0"/>
              <w:right w:val="single" w:color="auto" w:sz="4" w:space="0"/>
            </w:tcBorders>
            <w:vAlign w:val="center"/>
          </w:tcPr>
          <w:p w14:paraId="525CD642">
            <w:pPr>
              <w:spacing w:line="240" w:lineRule="auto"/>
              <w:jc w:val="center"/>
              <w:rPr>
                <w:color w:val="000000"/>
                <w:sz w:val="21"/>
              </w:rPr>
            </w:pPr>
            <w:r>
              <w:rPr>
                <w:color w:val="000000"/>
                <w:sz w:val="21"/>
              </w:rPr>
              <w:t>立式</w:t>
            </w:r>
          </w:p>
        </w:tc>
        <w:tc>
          <w:tcPr>
            <w:tcW w:w="532" w:type="pct"/>
            <w:tcBorders>
              <w:top w:val="single" w:color="auto" w:sz="4" w:space="0"/>
              <w:left w:val="single" w:color="auto" w:sz="4" w:space="0"/>
              <w:bottom w:val="single" w:color="auto" w:sz="4" w:space="0"/>
              <w:right w:val="single" w:color="auto" w:sz="4" w:space="0"/>
            </w:tcBorders>
            <w:vAlign w:val="center"/>
          </w:tcPr>
          <w:p w14:paraId="4A9555EA">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4610BE6C">
            <w:pPr>
              <w:spacing w:line="240" w:lineRule="auto"/>
              <w:jc w:val="center"/>
              <w:rPr>
                <w:color w:val="000000"/>
                <w:sz w:val="21"/>
              </w:rPr>
            </w:pPr>
            <w:r>
              <w:rPr>
                <w:color w:val="000000"/>
                <w:sz w:val="21"/>
              </w:rPr>
              <w:t>1</w:t>
            </w:r>
          </w:p>
        </w:tc>
      </w:tr>
      <w:tr w14:paraId="681F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7101E766">
            <w:pPr>
              <w:spacing w:line="240" w:lineRule="auto"/>
              <w:jc w:val="center"/>
              <w:rPr>
                <w:color w:val="000000"/>
                <w:sz w:val="21"/>
              </w:rPr>
            </w:pPr>
            <w:r>
              <w:rPr>
                <w:color w:val="000000"/>
                <w:sz w:val="21"/>
              </w:rPr>
              <w:t>56</w:t>
            </w:r>
          </w:p>
        </w:tc>
        <w:tc>
          <w:tcPr>
            <w:tcW w:w="2084" w:type="pct"/>
            <w:tcBorders>
              <w:top w:val="single" w:color="auto" w:sz="4" w:space="0"/>
              <w:left w:val="single" w:color="auto" w:sz="4" w:space="0"/>
              <w:bottom w:val="single" w:color="auto" w:sz="4" w:space="0"/>
              <w:right w:val="single" w:color="auto" w:sz="4" w:space="0"/>
            </w:tcBorders>
            <w:vAlign w:val="center"/>
          </w:tcPr>
          <w:p w14:paraId="64486F48">
            <w:pPr>
              <w:spacing w:line="240" w:lineRule="auto"/>
              <w:jc w:val="center"/>
              <w:rPr>
                <w:color w:val="000000"/>
                <w:sz w:val="21"/>
              </w:rPr>
            </w:pPr>
            <w:r>
              <w:rPr>
                <w:color w:val="000000"/>
                <w:sz w:val="21"/>
              </w:rPr>
              <w:t>C-101胺洗塔</w:t>
            </w:r>
          </w:p>
        </w:tc>
        <w:tc>
          <w:tcPr>
            <w:tcW w:w="1211" w:type="pct"/>
            <w:tcBorders>
              <w:top w:val="single" w:color="auto" w:sz="4" w:space="0"/>
              <w:left w:val="single" w:color="auto" w:sz="4" w:space="0"/>
              <w:bottom w:val="single" w:color="auto" w:sz="4" w:space="0"/>
              <w:right w:val="single" w:color="auto" w:sz="4" w:space="0"/>
            </w:tcBorders>
            <w:vAlign w:val="center"/>
          </w:tcPr>
          <w:p w14:paraId="1D5EA97F">
            <w:pPr>
              <w:spacing w:line="240" w:lineRule="auto"/>
              <w:jc w:val="center"/>
              <w:rPr>
                <w:color w:val="000000"/>
                <w:sz w:val="21"/>
              </w:rPr>
            </w:pPr>
            <w:r>
              <w:rPr>
                <w:color w:val="000000"/>
                <w:sz w:val="21"/>
              </w:rPr>
              <w:t>填料塔</w:t>
            </w:r>
          </w:p>
        </w:tc>
        <w:tc>
          <w:tcPr>
            <w:tcW w:w="532" w:type="pct"/>
            <w:tcBorders>
              <w:top w:val="single" w:color="auto" w:sz="4" w:space="0"/>
              <w:left w:val="single" w:color="auto" w:sz="4" w:space="0"/>
              <w:bottom w:val="single" w:color="auto" w:sz="4" w:space="0"/>
              <w:right w:val="single" w:color="auto" w:sz="4" w:space="0"/>
            </w:tcBorders>
            <w:vAlign w:val="center"/>
          </w:tcPr>
          <w:p w14:paraId="1A5953E9">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6B35954C">
            <w:pPr>
              <w:spacing w:line="240" w:lineRule="auto"/>
              <w:jc w:val="center"/>
              <w:rPr>
                <w:color w:val="000000"/>
                <w:sz w:val="21"/>
              </w:rPr>
            </w:pPr>
            <w:r>
              <w:rPr>
                <w:color w:val="000000"/>
                <w:sz w:val="21"/>
              </w:rPr>
              <w:t>1</w:t>
            </w:r>
          </w:p>
        </w:tc>
      </w:tr>
      <w:tr w14:paraId="07F8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2C774C79">
            <w:pPr>
              <w:spacing w:line="240" w:lineRule="auto"/>
              <w:jc w:val="center"/>
              <w:rPr>
                <w:color w:val="000000"/>
                <w:sz w:val="21"/>
              </w:rPr>
            </w:pPr>
            <w:r>
              <w:rPr>
                <w:color w:val="000000"/>
                <w:sz w:val="21"/>
              </w:rPr>
              <w:t>57</w:t>
            </w:r>
          </w:p>
        </w:tc>
        <w:tc>
          <w:tcPr>
            <w:tcW w:w="2084" w:type="pct"/>
            <w:tcBorders>
              <w:top w:val="single" w:color="auto" w:sz="4" w:space="0"/>
              <w:left w:val="single" w:color="auto" w:sz="4" w:space="0"/>
              <w:bottom w:val="single" w:color="auto" w:sz="4" w:space="0"/>
              <w:right w:val="single" w:color="auto" w:sz="4" w:space="0"/>
            </w:tcBorders>
            <w:vAlign w:val="center"/>
          </w:tcPr>
          <w:p w14:paraId="28C5C45D">
            <w:pPr>
              <w:spacing w:line="240" w:lineRule="auto"/>
              <w:jc w:val="center"/>
              <w:rPr>
                <w:color w:val="000000"/>
                <w:sz w:val="21"/>
              </w:rPr>
            </w:pPr>
            <w:r>
              <w:rPr>
                <w:color w:val="000000"/>
                <w:sz w:val="21"/>
              </w:rPr>
              <w:t>C-102溶剂再生塔</w:t>
            </w:r>
          </w:p>
        </w:tc>
        <w:tc>
          <w:tcPr>
            <w:tcW w:w="1211" w:type="pct"/>
            <w:tcBorders>
              <w:top w:val="single" w:color="auto" w:sz="4" w:space="0"/>
              <w:left w:val="single" w:color="auto" w:sz="4" w:space="0"/>
              <w:bottom w:val="single" w:color="auto" w:sz="4" w:space="0"/>
              <w:right w:val="single" w:color="auto" w:sz="4" w:space="0"/>
            </w:tcBorders>
            <w:vAlign w:val="center"/>
          </w:tcPr>
          <w:p w14:paraId="6A9FC5F4">
            <w:pPr>
              <w:spacing w:line="240" w:lineRule="auto"/>
              <w:jc w:val="center"/>
              <w:rPr>
                <w:color w:val="000000"/>
                <w:sz w:val="21"/>
              </w:rPr>
            </w:pPr>
            <w:r>
              <w:rPr>
                <w:color w:val="000000"/>
                <w:sz w:val="21"/>
              </w:rPr>
              <w:t>填料塔</w:t>
            </w:r>
          </w:p>
        </w:tc>
        <w:tc>
          <w:tcPr>
            <w:tcW w:w="532" w:type="pct"/>
            <w:tcBorders>
              <w:top w:val="single" w:color="auto" w:sz="4" w:space="0"/>
              <w:left w:val="single" w:color="auto" w:sz="4" w:space="0"/>
              <w:bottom w:val="single" w:color="auto" w:sz="4" w:space="0"/>
              <w:right w:val="single" w:color="auto" w:sz="4" w:space="0"/>
            </w:tcBorders>
            <w:vAlign w:val="center"/>
          </w:tcPr>
          <w:p w14:paraId="56D6DE6A">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78E7461B">
            <w:pPr>
              <w:spacing w:line="240" w:lineRule="auto"/>
              <w:jc w:val="center"/>
              <w:rPr>
                <w:color w:val="000000"/>
                <w:sz w:val="21"/>
              </w:rPr>
            </w:pPr>
            <w:r>
              <w:rPr>
                <w:color w:val="000000"/>
                <w:sz w:val="21"/>
              </w:rPr>
              <w:t>1</w:t>
            </w:r>
          </w:p>
        </w:tc>
      </w:tr>
      <w:tr w14:paraId="361C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2DB7B7C8">
            <w:pPr>
              <w:spacing w:line="240" w:lineRule="auto"/>
              <w:jc w:val="center"/>
              <w:rPr>
                <w:color w:val="000000"/>
                <w:sz w:val="21"/>
              </w:rPr>
            </w:pPr>
            <w:r>
              <w:rPr>
                <w:color w:val="000000"/>
                <w:sz w:val="21"/>
              </w:rPr>
              <w:t>58</w:t>
            </w:r>
          </w:p>
        </w:tc>
        <w:tc>
          <w:tcPr>
            <w:tcW w:w="2084" w:type="pct"/>
            <w:tcBorders>
              <w:top w:val="single" w:color="auto" w:sz="4" w:space="0"/>
              <w:left w:val="single" w:color="auto" w:sz="4" w:space="0"/>
              <w:bottom w:val="single" w:color="auto" w:sz="4" w:space="0"/>
              <w:right w:val="single" w:color="auto" w:sz="4" w:space="0"/>
            </w:tcBorders>
            <w:vAlign w:val="center"/>
          </w:tcPr>
          <w:p w14:paraId="15CF6D00">
            <w:pPr>
              <w:spacing w:line="240" w:lineRule="auto"/>
              <w:jc w:val="center"/>
              <w:rPr>
                <w:color w:val="000000"/>
                <w:sz w:val="21"/>
              </w:rPr>
            </w:pPr>
            <w:r>
              <w:rPr>
                <w:color w:val="000000"/>
                <w:sz w:val="21"/>
              </w:rPr>
              <w:t>K-101A/S原料气增压机</w:t>
            </w:r>
          </w:p>
        </w:tc>
        <w:tc>
          <w:tcPr>
            <w:tcW w:w="1211" w:type="pct"/>
            <w:tcBorders>
              <w:top w:val="single" w:color="auto" w:sz="4" w:space="0"/>
              <w:left w:val="single" w:color="auto" w:sz="4" w:space="0"/>
              <w:bottom w:val="single" w:color="auto" w:sz="4" w:space="0"/>
              <w:right w:val="single" w:color="auto" w:sz="4" w:space="0"/>
            </w:tcBorders>
            <w:vAlign w:val="center"/>
          </w:tcPr>
          <w:p w14:paraId="5BAC0567">
            <w:pPr>
              <w:spacing w:line="240" w:lineRule="auto"/>
              <w:jc w:val="center"/>
              <w:rPr>
                <w:color w:val="000000"/>
                <w:sz w:val="21"/>
              </w:rPr>
            </w:pPr>
            <w:r>
              <w:rPr>
                <w:color w:val="000000"/>
                <w:sz w:val="21"/>
              </w:rPr>
              <w:t>离心式32097kg/h</w:t>
            </w:r>
          </w:p>
        </w:tc>
        <w:tc>
          <w:tcPr>
            <w:tcW w:w="532" w:type="pct"/>
            <w:tcBorders>
              <w:top w:val="single" w:color="auto" w:sz="4" w:space="0"/>
              <w:left w:val="single" w:color="auto" w:sz="4" w:space="0"/>
              <w:bottom w:val="single" w:color="auto" w:sz="4" w:space="0"/>
              <w:right w:val="single" w:color="auto" w:sz="4" w:space="0"/>
            </w:tcBorders>
            <w:vAlign w:val="center"/>
          </w:tcPr>
          <w:p w14:paraId="25682845">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68A1A2D4">
            <w:pPr>
              <w:spacing w:line="240" w:lineRule="auto"/>
              <w:jc w:val="center"/>
              <w:rPr>
                <w:color w:val="000000"/>
                <w:sz w:val="21"/>
              </w:rPr>
            </w:pPr>
            <w:r>
              <w:rPr>
                <w:color w:val="000000"/>
                <w:sz w:val="21"/>
              </w:rPr>
              <w:t>2</w:t>
            </w:r>
          </w:p>
        </w:tc>
      </w:tr>
      <w:tr w14:paraId="56482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5B763025">
            <w:pPr>
              <w:spacing w:line="240" w:lineRule="auto"/>
              <w:jc w:val="center"/>
              <w:rPr>
                <w:color w:val="000000"/>
                <w:sz w:val="21"/>
              </w:rPr>
            </w:pPr>
            <w:r>
              <w:rPr>
                <w:color w:val="000000"/>
                <w:sz w:val="21"/>
              </w:rPr>
              <w:t>59</w:t>
            </w:r>
          </w:p>
        </w:tc>
        <w:tc>
          <w:tcPr>
            <w:tcW w:w="2084" w:type="pct"/>
            <w:tcBorders>
              <w:top w:val="single" w:color="auto" w:sz="4" w:space="0"/>
              <w:left w:val="single" w:color="auto" w:sz="4" w:space="0"/>
              <w:bottom w:val="single" w:color="auto" w:sz="4" w:space="0"/>
              <w:right w:val="single" w:color="auto" w:sz="4" w:space="0"/>
            </w:tcBorders>
            <w:vAlign w:val="center"/>
          </w:tcPr>
          <w:p w14:paraId="44567E32">
            <w:pPr>
              <w:spacing w:line="240" w:lineRule="auto"/>
              <w:jc w:val="center"/>
              <w:rPr>
                <w:color w:val="000000"/>
                <w:sz w:val="21"/>
              </w:rPr>
            </w:pPr>
            <w:r>
              <w:rPr>
                <w:color w:val="000000"/>
                <w:sz w:val="21"/>
              </w:rPr>
              <w:t>K-201混合冷剂压缩机</w:t>
            </w:r>
          </w:p>
        </w:tc>
        <w:tc>
          <w:tcPr>
            <w:tcW w:w="1211" w:type="pct"/>
            <w:tcBorders>
              <w:top w:val="single" w:color="auto" w:sz="4" w:space="0"/>
              <w:left w:val="single" w:color="auto" w:sz="4" w:space="0"/>
              <w:bottom w:val="single" w:color="auto" w:sz="4" w:space="0"/>
              <w:right w:val="single" w:color="auto" w:sz="4" w:space="0"/>
            </w:tcBorders>
            <w:vAlign w:val="center"/>
          </w:tcPr>
          <w:p w14:paraId="287CF15D">
            <w:pPr>
              <w:spacing w:line="240" w:lineRule="auto"/>
              <w:jc w:val="center"/>
              <w:rPr>
                <w:color w:val="000000"/>
                <w:sz w:val="21"/>
              </w:rPr>
            </w:pPr>
            <w:r>
              <w:rPr>
                <w:color w:val="000000"/>
                <w:sz w:val="21"/>
              </w:rPr>
              <w:t>离心式182024kg/h</w:t>
            </w:r>
          </w:p>
        </w:tc>
        <w:tc>
          <w:tcPr>
            <w:tcW w:w="532" w:type="pct"/>
            <w:tcBorders>
              <w:top w:val="single" w:color="auto" w:sz="4" w:space="0"/>
              <w:left w:val="single" w:color="auto" w:sz="4" w:space="0"/>
              <w:bottom w:val="single" w:color="auto" w:sz="4" w:space="0"/>
              <w:right w:val="single" w:color="auto" w:sz="4" w:space="0"/>
            </w:tcBorders>
            <w:vAlign w:val="center"/>
          </w:tcPr>
          <w:p w14:paraId="5BDB23BA">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30EF684E">
            <w:pPr>
              <w:spacing w:line="240" w:lineRule="auto"/>
              <w:jc w:val="center"/>
              <w:rPr>
                <w:color w:val="000000"/>
                <w:sz w:val="21"/>
              </w:rPr>
            </w:pPr>
            <w:r>
              <w:rPr>
                <w:color w:val="000000"/>
                <w:sz w:val="21"/>
              </w:rPr>
              <w:t>1</w:t>
            </w:r>
          </w:p>
        </w:tc>
      </w:tr>
      <w:tr w14:paraId="1A53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4C212F75">
            <w:pPr>
              <w:spacing w:line="240" w:lineRule="auto"/>
              <w:jc w:val="center"/>
              <w:rPr>
                <w:color w:val="000000"/>
                <w:sz w:val="21"/>
              </w:rPr>
            </w:pPr>
            <w:r>
              <w:rPr>
                <w:color w:val="000000"/>
                <w:sz w:val="21"/>
              </w:rPr>
              <w:t>60</w:t>
            </w:r>
          </w:p>
        </w:tc>
        <w:tc>
          <w:tcPr>
            <w:tcW w:w="2084" w:type="pct"/>
            <w:tcBorders>
              <w:top w:val="single" w:color="auto" w:sz="4" w:space="0"/>
              <w:left w:val="single" w:color="auto" w:sz="4" w:space="0"/>
              <w:bottom w:val="single" w:color="auto" w:sz="4" w:space="0"/>
              <w:right w:val="single" w:color="auto" w:sz="4" w:space="0"/>
            </w:tcBorders>
            <w:vAlign w:val="center"/>
          </w:tcPr>
          <w:p w14:paraId="2EC8BB82">
            <w:pPr>
              <w:spacing w:line="240" w:lineRule="auto"/>
              <w:jc w:val="center"/>
              <w:rPr>
                <w:color w:val="000000"/>
                <w:sz w:val="21"/>
              </w:rPr>
            </w:pPr>
            <w:r>
              <w:rPr>
                <w:color w:val="000000"/>
                <w:sz w:val="21"/>
              </w:rPr>
              <w:t>K-301BOG压缩机</w:t>
            </w:r>
          </w:p>
        </w:tc>
        <w:tc>
          <w:tcPr>
            <w:tcW w:w="1211" w:type="pct"/>
            <w:tcBorders>
              <w:top w:val="single" w:color="auto" w:sz="4" w:space="0"/>
              <w:left w:val="single" w:color="auto" w:sz="4" w:space="0"/>
              <w:bottom w:val="single" w:color="auto" w:sz="4" w:space="0"/>
              <w:right w:val="single" w:color="auto" w:sz="4" w:space="0"/>
            </w:tcBorders>
            <w:vAlign w:val="center"/>
          </w:tcPr>
          <w:p w14:paraId="1E624BD5">
            <w:pPr>
              <w:spacing w:line="240" w:lineRule="auto"/>
              <w:jc w:val="center"/>
              <w:rPr>
                <w:color w:val="000000"/>
                <w:sz w:val="21"/>
              </w:rPr>
            </w:pPr>
            <w:r>
              <w:rPr>
                <w:color w:val="000000"/>
                <w:sz w:val="21"/>
              </w:rPr>
              <w:t>离心式3097kg/h</w:t>
            </w:r>
          </w:p>
        </w:tc>
        <w:tc>
          <w:tcPr>
            <w:tcW w:w="532" w:type="pct"/>
            <w:tcBorders>
              <w:top w:val="single" w:color="auto" w:sz="4" w:space="0"/>
              <w:left w:val="single" w:color="auto" w:sz="4" w:space="0"/>
              <w:bottom w:val="single" w:color="auto" w:sz="4" w:space="0"/>
              <w:right w:val="single" w:color="auto" w:sz="4" w:space="0"/>
            </w:tcBorders>
            <w:vAlign w:val="center"/>
          </w:tcPr>
          <w:p w14:paraId="24881341">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1070E7CA">
            <w:pPr>
              <w:spacing w:line="240" w:lineRule="auto"/>
              <w:jc w:val="center"/>
              <w:rPr>
                <w:color w:val="000000"/>
                <w:sz w:val="21"/>
              </w:rPr>
            </w:pPr>
            <w:r>
              <w:rPr>
                <w:color w:val="000000"/>
                <w:sz w:val="21"/>
              </w:rPr>
              <w:t>1</w:t>
            </w:r>
          </w:p>
        </w:tc>
      </w:tr>
      <w:tr w14:paraId="274D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709E60A9">
            <w:pPr>
              <w:spacing w:line="240" w:lineRule="auto"/>
              <w:jc w:val="center"/>
              <w:rPr>
                <w:color w:val="000000"/>
                <w:sz w:val="21"/>
              </w:rPr>
            </w:pPr>
            <w:r>
              <w:rPr>
                <w:color w:val="000000"/>
                <w:sz w:val="21"/>
              </w:rPr>
              <w:t>61</w:t>
            </w:r>
          </w:p>
        </w:tc>
        <w:tc>
          <w:tcPr>
            <w:tcW w:w="2084" w:type="pct"/>
            <w:tcBorders>
              <w:top w:val="single" w:color="auto" w:sz="4" w:space="0"/>
              <w:left w:val="single" w:color="auto" w:sz="4" w:space="0"/>
              <w:bottom w:val="single" w:color="auto" w:sz="4" w:space="0"/>
              <w:right w:val="single" w:color="auto" w:sz="4" w:space="0"/>
            </w:tcBorders>
            <w:vAlign w:val="center"/>
          </w:tcPr>
          <w:p w14:paraId="0EF03A8B">
            <w:pPr>
              <w:spacing w:line="240" w:lineRule="auto"/>
              <w:jc w:val="center"/>
              <w:rPr>
                <w:color w:val="000000"/>
                <w:sz w:val="21"/>
              </w:rPr>
            </w:pPr>
            <w:r>
              <w:rPr>
                <w:color w:val="000000"/>
                <w:sz w:val="21"/>
              </w:rPr>
              <w:t>P-101A/S贫胺液增压泵</w:t>
            </w:r>
          </w:p>
        </w:tc>
        <w:tc>
          <w:tcPr>
            <w:tcW w:w="1211" w:type="pct"/>
            <w:tcBorders>
              <w:top w:val="single" w:color="auto" w:sz="4" w:space="0"/>
              <w:left w:val="single" w:color="auto" w:sz="4" w:space="0"/>
              <w:bottom w:val="single" w:color="auto" w:sz="4" w:space="0"/>
              <w:right w:val="single" w:color="auto" w:sz="4" w:space="0"/>
            </w:tcBorders>
            <w:vAlign w:val="center"/>
          </w:tcPr>
          <w:p w14:paraId="5A9B5A70">
            <w:pPr>
              <w:spacing w:line="240" w:lineRule="auto"/>
              <w:jc w:val="center"/>
              <w:rPr>
                <w:color w:val="000000"/>
                <w:sz w:val="21"/>
              </w:rPr>
            </w:pPr>
            <w:r>
              <w:rPr>
                <w:color w:val="000000"/>
                <w:sz w:val="21"/>
              </w:rPr>
              <w:t>离心式</w:t>
            </w:r>
          </w:p>
        </w:tc>
        <w:tc>
          <w:tcPr>
            <w:tcW w:w="532" w:type="pct"/>
            <w:tcBorders>
              <w:top w:val="single" w:color="auto" w:sz="4" w:space="0"/>
              <w:left w:val="single" w:color="auto" w:sz="4" w:space="0"/>
              <w:bottom w:val="single" w:color="auto" w:sz="4" w:space="0"/>
              <w:right w:val="single" w:color="auto" w:sz="4" w:space="0"/>
            </w:tcBorders>
            <w:vAlign w:val="center"/>
          </w:tcPr>
          <w:p w14:paraId="484339BA">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5DF21826">
            <w:pPr>
              <w:spacing w:line="240" w:lineRule="auto"/>
              <w:jc w:val="center"/>
              <w:rPr>
                <w:color w:val="000000"/>
                <w:sz w:val="21"/>
              </w:rPr>
            </w:pPr>
            <w:r>
              <w:rPr>
                <w:color w:val="000000"/>
                <w:sz w:val="21"/>
              </w:rPr>
              <w:t>2</w:t>
            </w:r>
          </w:p>
        </w:tc>
      </w:tr>
      <w:tr w14:paraId="7987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7E1C8EE4">
            <w:pPr>
              <w:spacing w:line="240" w:lineRule="auto"/>
              <w:jc w:val="center"/>
              <w:rPr>
                <w:color w:val="000000"/>
                <w:sz w:val="21"/>
              </w:rPr>
            </w:pPr>
            <w:r>
              <w:rPr>
                <w:color w:val="000000"/>
                <w:sz w:val="21"/>
              </w:rPr>
              <w:t>62</w:t>
            </w:r>
          </w:p>
        </w:tc>
        <w:tc>
          <w:tcPr>
            <w:tcW w:w="2084" w:type="pct"/>
            <w:tcBorders>
              <w:top w:val="single" w:color="auto" w:sz="4" w:space="0"/>
              <w:left w:val="single" w:color="auto" w:sz="4" w:space="0"/>
              <w:bottom w:val="single" w:color="auto" w:sz="4" w:space="0"/>
              <w:right w:val="single" w:color="auto" w:sz="4" w:space="0"/>
            </w:tcBorders>
            <w:vAlign w:val="center"/>
          </w:tcPr>
          <w:p w14:paraId="6BC4E9BC">
            <w:pPr>
              <w:spacing w:line="240" w:lineRule="auto"/>
              <w:jc w:val="center"/>
              <w:rPr>
                <w:color w:val="000000"/>
                <w:sz w:val="21"/>
              </w:rPr>
            </w:pPr>
            <w:r>
              <w:rPr>
                <w:color w:val="000000"/>
                <w:sz w:val="21"/>
              </w:rPr>
              <w:t>P-102A/S贫胺液泵</w:t>
            </w:r>
          </w:p>
        </w:tc>
        <w:tc>
          <w:tcPr>
            <w:tcW w:w="1211" w:type="pct"/>
            <w:tcBorders>
              <w:top w:val="single" w:color="auto" w:sz="4" w:space="0"/>
              <w:left w:val="single" w:color="auto" w:sz="4" w:space="0"/>
              <w:bottom w:val="single" w:color="auto" w:sz="4" w:space="0"/>
              <w:right w:val="single" w:color="auto" w:sz="4" w:space="0"/>
            </w:tcBorders>
            <w:vAlign w:val="center"/>
          </w:tcPr>
          <w:p w14:paraId="2198148E">
            <w:pPr>
              <w:spacing w:line="240" w:lineRule="auto"/>
              <w:jc w:val="center"/>
              <w:rPr>
                <w:color w:val="000000"/>
                <w:sz w:val="21"/>
              </w:rPr>
            </w:pPr>
            <w:r>
              <w:rPr>
                <w:color w:val="000000"/>
                <w:sz w:val="21"/>
              </w:rPr>
              <w:t>离心式</w:t>
            </w:r>
          </w:p>
        </w:tc>
        <w:tc>
          <w:tcPr>
            <w:tcW w:w="532" w:type="pct"/>
            <w:tcBorders>
              <w:top w:val="single" w:color="auto" w:sz="4" w:space="0"/>
              <w:left w:val="single" w:color="auto" w:sz="4" w:space="0"/>
              <w:bottom w:val="single" w:color="auto" w:sz="4" w:space="0"/>
              <w:right w:val="single" w:color="auto" w:sz="4" w:space="0"/>
            </w:tcBorders>
            <w:vAlign w:val="center"/>
          </w:tcPr>
          <w:p w14:paraId="30C3752E">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1C1303A6">
            <w:pPr>
              <w:spacing w:line="240" w:lineRule="auto"/>
              <w:jc w:val="center"/>
              <w:rPr>
                <w:color w:val="000000"/>
                <w:sz w:val="21"/>
              </w:rPr>
            </w:pPr>
            <w:r>
              <w:rPr>
                <w:color w:val="000000"/>
                <w:sz w:val="21"/>
              </w:rPr>
              <w:t>2</w:t>
            </w:r>
          </w:p>
        </w:tc>
      </w:tr>
      <w:tr w14:paraId="264A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2C187620">
            <w:pPr>
              <w:spacing w:line="240" w:lineRule="auto"/>
              <w:jc w:val="center"/>
              <w:rPr>
                <w:color w:val="000000"/>
                <w:sz w:val="21"/>
              </w:rPr>
            </w:pPr>
            <w:r>
              <w:rPr>
                <w:color w:val="000000"/>
                <w:sz w:val="21"/>
              </w:rPr>
              <w:t>63</w:t>
            </w:r>
          </w:p>
        </w:tc>
        <w:tc>
          <w:tcPr>
            <w:tcW w:w="2084" w:type="pct"/>
            <w:tcBorders>
              <w:top w:val="single" w:color="auto" w:sz="4" w:space="0"/>
              <w:left w:val="single" w:color="auto" w:sz="4" w:space="0"/>
              <w:bottom w:val="single" w:color="auto" w:sz="4" w:space="0"/>
              <w:right w:val="single" w:color="auto" w:sz="4" w:space="0"/>
            </w:tcBorders>
            <w:vAlign w:val="center"/>
          </w:tcPr>
          <w:p w14:paraId="6B5BD37E">
            <w:pPr>
              <w:spacing w:line="240" w:lineRule="auto"/>
              <w:jc w:val="center"/>
              <w:rPr>
                <w:color w:val="000000"/>
                <w:sz w:val="21"/>
              </w:rPr>
            </w:pPr>
            <w:r>
              <w:rPr>
                <w:color w:val="000000"/>
                <w:sz w:val="21"/>
              </w:rPr>
              <w:t>P-104A/S再生塔回流泵</w:t>
            </w:r>
          </w:p>
        </w:tc>
        <w:tc>
          <w:tcPr>
            <w:tcW w:w="1211" w:type="pct"/>
            <w:tcBorders>
              <w:top w:val="single" w:color="auto" w:sz="4" w:space="0"/>
              <w:left w:val="single" w:color="auto" w:sz="4" w:space="0"/>
              <w:bottom w:val="single" w:color="auto" w:sz="4" w:space="0"/>
              <w:right w:val="single" w:color="auto" w:sz="4" w:space="0"/>
            </w:tcBorders>
            <w:vAlign w:val="center"/>
          </w:tcPr>
          <w:p w14:paraId="0FE3AD1B">
            <w:pPr>
              <w:spacing w:line="240" w:lineRule="auto"/>
              <w:jc w:val="center"/>
              <w:rPr>
                <w:color w:val="000000"/>
                <w:sz w:val="21"/>
              </w:rPr>
            </w:pPr>
            <w:r>
              <w:rPr>
                <w:color w:val="000000"/>
                <w:sz w:val="21"/>
              </w:rPr>
              <w:t>离心式</w:t>
            </w:r>
          </w:p>
        </w:tc>
        <w:tc>
          <w:tcPr>
            <w:tcW w:w="532" w:type="pct"/>
            <w:tcBorders>
              <w:top w:val="single" w:color="auto" w:sz="4" w:space="0"/>
              <w:left w:val="single" w:color="auto" w:sz="4" w:space="0"/>
              <w:bottom w:val="single" w:color="auto" w:sz="4" w:space="0"/>
              <w:right w:val="single" w:color="auto" w:sz="4" w:space="0"/>
            </w:tcBorders>
            <w:vAlign w:val="center"/>
          </w:tcPr>
          <w:p w14:paraId="515B88E7">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2C98C85F">
            <w:pPr>
              <w:spacing w:line="240" w:lineRule="auto"/>
              <w:jc w:val="center"/>
              <w:rPr>
                <w:color w:val="000000"/>
                <w:sz w:val="21"/>
              </w:rPr>
            </w:pPr>
            <w:r>
              <w:rPr>
                <w:color w:val="000000"/>
                <w:sz w:val="21"/>
              </w:rPr>
              <w:t>2</w:t>
            </w:r>
          </w:p>
        </w:tc>
      </w:tr>
      <w:tr w14:paraId="3A4B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422B6918">
            <w:pPr>
              <w:spacing w:line="240" w:lineRule="auto"/>
              <w:jc w:val="center"/>
              <w:rPr>
                <w:color w:val="000000"/>
                <w:sz w:val="21"/>
              </w:rPr>
            </w:pPr>
            <w:r>
              <w:rPr>
                <w:color w:val="000000"/>
                <w:sz w:val="21"/>
              </w:rPr>
              <w:t>64</w:t>
            </w:r>
          </w:p>
        </w:tc>
        <w:tc>
          <w:tcPr>
            <w:tcW w:w="2084" w:type="pct"/>
            <w:tcBorders>
              <w:top w:val="single" w:color="auto" w:sz="4" w:space="0"/>
              <w:left w:val="single" w:color="auto" w:sz="4" w:space="0"/>
              <w:bottom w:val="single" w:color="auto" w:sz="4" w:space="0"/>
              <w:right w:val="single" w:color="auto" w:sz="4" w:space="0"/>
            </w:tcBorders>
            <w:vAlign w:val="center"/>
          </w:tcPr>
          <w:p w14:paraId="253ECC77">
            <w:pPr>
              <w:spacing w:line="240" w:lineRule="auto"/>
              <w:jc w:val="center"/>
              <w:rPr>
                <w:color w:val="000000"/>
                <w:sz w:val="21"/>
              </w:rPr>
            </w:pPr>
            <w:r>
              <w:rPr>
                <w:color w:val="000000"/>
                <w:sz w:val="21"/>
              </w:rPr>
              <w:t>P-201混合冷剂倒液泵</w:t>
            </w:r>
          </w:p>
        </w:tc>
        <w:tc>
          <w:tcPr>
            <w:tcW w:w="1211" w:type="pct"/>
            <w:tcBorders>
              <w:top w:val="single" w:color="auto" w:sz="4" w:space="0"/>
              <w:left w:val="single" w:color="auto" w:sz="4" w:space="0"/>
              <w:bottom w:val="single" w:color="auto" w:sz="4" w:space="0"/>
              <w:right w:val="single" w:color="auto" w:sz="4" w:space="0"/>
            </w:tcBorders>
            <w:vAlign w:val="center"/>
          </w:tcPr>
          <w:p w14:paraId="18615881">
            <w:pPr>
              <w:spacing w:line="240" w:lineRule="auto"/>
              <w:jc w:val="center"/>
              <w:rPr>
                <w:color w:val="000000"/>
                <w:sz w:val="21"/>
              </w:rPr>
            </w:pPr>
            <w:r>
              <w:rPr>
                <w:color w:val="000000"/>
                <w:sz w:val="21"/>
              </w:rPr>
              <w:t>离心式</w:t>
            </w:r>
          </w:p>
        </w:tc>
        <w:tc>
          <w:tcPr>
            <w:tcW w:w="532" w:type="pct"/>
            <w:tcBorders>
              <w:top w:val="single" w:color="auto" w:sz="4" w:space="0"/>
              <w:left w:val="single" w:color="auto" w:sz="4" w:space="0"/>
              <w:bottom w:val="single" w:color="auto" w:sz="4" w:space="0"/>
              <w:right w:val="single" w:color="auto" w:sz="4" w:space="0"/>
            </w:tcBorders>
            <w:vAlign w:val="center"/>
          </w:tcPr>
          <w:p w14:paraId="0379A91F">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2600CB2A">
            <w:pPr>
              <w:spacing w:line="240" w:lineRule="auto"/>
              <w:jc w:val="center"/>
              <w:rPr>
                <w:color w:val="000000"/>
                <w:sz w:val="21"/>
              </w:rPr>
            </w:pPr>
            <w:r>
              <w:rPr>
                <w:color w:val="000000"/>
                <w:sz w:val="21"/>
              </w:rPr>
              <w:t>1</w:t>
            </w:r>
          </w:p>
        </w:tc>
      </w:tr>
      <w:tr w14:paraId="245C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39D273ED">
            <w:pPr>
              <w:spacing w:line="240" w:lineRule="auto"/>
              <w:jc w:val="center"/>
              <w:rPr>
                <w:color w:val="000000"/>
                <w:sz w:val="21"/>
              </w:rPr>
            </w:pPr>
            <w:r>
              <w:rPr>
                <w:color w:val="000000"/>
                <w:sz w:val="21"/>
              </w:rPr>
              <w:t>65</w:t>
            </w:r>
          </w:p>
        </w:tc>
        <w:tc>
          <w:tcPr>
            <w:tcW w:w="2084" w:type="pct"/>
            <w:tcBorders>
              <w:top w:val="single" w:color="auto" w:sz="4" w:space="0"/>
              <w:left w:val="single" w:color="auto" w:sz="4" w:space="0"/>
              <w:bottom w:val="single" w:color="auto" w:sz="4" w:space="0"/>
              <w:right w:val="single" w:color="auto" w:sz="4" w:space="0"/>
            </w:tcBorders>
            <w:vAlign w:val="center"/>
          </w:tcPr>
          <w:p w14:paraId="1D7FDF8A">
            <w:pPr>
              <w:spacing w:line="240" w:lineRule="auto"/>
              <w:jc w:val="center"/>
              <w:rPr>
                <w:color w:val="000000"/>
                <w:sz w:val="21"/>
              </w:rPr>
            </w:pPr>
            <w:r>
              <w:rPr>
                <w:color w:val="000000"/>
                <w:sz w:val="21"/>
              </w:rPr>
              <w:t>P-403丙烷卸车泵</w:t>
            </w:r>
          </w:p>
        </w:tc>
        <w:tc>
          <w:tcPr>
            <w:tcW w:w="1211" w:type="pct"/>
            <w:tcBorders>
              <w:top w:val="single" w:color="auto" w:sz="4" w:space="0"/>
              <w:left w:val="single" w:color="auto" w:sz="4" w:space="0"/>
              <w:bottom w:val="single" w:color="auto" w:sz="4" w:space="0"/>
              <w:right w:val="single" w:color="auto" w:sz="4" w:space="0"/>
            </w:tcBorders>
            <w:vAlign w:val="center"/>
          </w:tcPr>
          <w:p w14:paraId="4DF08860">
            <w:pPr>
              <w:spacing w:line="240" w:lineRule="auto"/>
              <w:jc w:val="center"/>
              <w:rPr>
                <w:color w:val="000000"/>
                <w:sz w:val="21"/>
              </w:rPr>
            </w:pPr>
            <w:r>
              <w:rPr>
                <w:color w:val="000000"/>
                <w:sz w:val="21"/>
              </w:rPr>
              <w:t>滑片式</w:t>
            </w:r>
          </w:p>
        </w:tc>
        <w:tc>
          <w:tcPr>
            <w:tcW w:w="532" w:type="pct"/>
            <w:tcBorders>
              <w:top w:val="single" w:color="auto" w:sz="4" w:space="0"/>
              <w:left w:val="single" w:color="auto" w:sz="4" w:space="0"/>
              <w:bottom w:val="single" w:color="auto" w:sz="4" w:space="0"/>
              <w:right w:val="single" w:color="auto" w:sz="4" w:space="0"/>
            </w:tcBorders>
            <w:vAlign w:val="center"/>
          </w:tcPr>
          <w:p w14:paraId="107E7AA2">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5983F271">
            <w:pPr>
              <w:spacing w:line="240" w:lineRule="auto"/>
              <w:jc w:val="center"/>
              <w:rPr>
                <w:color w:val="000000"/>
                <w:sz w:val="21"/>
              </w:rPr>
            </w:pPr>
            <w:r>
              <w:rPr>
                <w:color w:val="000000"/>
                <w:sz w:val="21"/>
              </w:rPr>
              <w:t>1</w:t>
            </w:r>
          </w:p>
        </w:tc>
      </w:tr>
      <w:tr w14:paraId="1941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1EFBE7EA">
            <w:pPr>
              <w:spacing w:line="240" w:lineRule="auto"/>
              <w:jc w:val="center"/>
              <w:rPr>
                <w:color w:val="000000"/>
                <w:sz w:val="21"/>
              </w:rPr>
            </w:pPr>
            <w:r>
              <w:rPr>
                <w:color w:val="000000"/>
                <w:sz w:val="21"/>
              </w:rPr>
              <w:t>66</w:t>
            </w:r>
          </w:p>
        </w:tc>
        <w:tc>
          <w:tcPr>
            <w:tcW w:w="2084" w:type="pct"/>
            <w:tcBorders>
              <w:top w:val="single" w:color="auto" w:sz="4" w:space="0"/>
              <w:left w:val="single" w:color="auto" w:sz="4" w:space="0"/>
              <w:bottom w:val="single" w:color="auto" w:sz="4" w:space="0"/>
              <w:right w:val="single" w:color="auto" w:sz="4" w:space="0"/>
            </w:tcBorders>
            <w:vAlign w:val="center"/>
          </w:tcPr>
          <w:p w14:paraId="2F2AFF1E">
            <w:pPr>
              <w:spacing w:line="240" w:lineRule="auto"/>
              <w:jc w:val="center"/>
              <w:rPr>
                <w:color w:val="000000"/>
                <w:sz w:val="21"/>
              </w:rPr>
            </w:pPr>
            <w:r>
              <w:rPr>
                <w:color w:val="000000"/>
                <w:sz w:val="21"/>
              </w:rPr>
              <w:t>P-405异戊烷卸车泵</w:t>
            </w:r>
          </w:p>
        </w:tc>
        <w:tc>
          <w:tcPr>
            <w:tcW w:w="1211" w:type="pct"/>
            <w:tcBorders>
              <w:top w:val="single" w:color="auto" w:sz="4" w:space="0"/>
              <w:left w:val="single" w:color="auto" w:sz="4" w:space="0"/>
              <w:bottom w:val="single" w:color="auto" w:sz="4" w:space="0"/>
              <w:right w:val="single" w:color="auto" w:sz="4" w:space="0"/>
            </w:tcBorders>
            <w:vAlign w:val="center"/>
          </w:tcPr>
          <w:p w14:paraId="5B273265">
            <w:pPr>
              <w:spacing w:line="240" w:lineRule="auto"/>
              <w:jc w:val="center"/>
              <w:rPr>
                <w:color w:val="000000"/>
                <w:sz w:val="21"/>
              </w:rPr>
            </w:pPr>
            <w:r>
              <w:rPr>
                <w:color w:val="000000"/>
                <w:sz w:val="21"/>
              </w:rPr>
              <w:t>滑片式</w:t>
            </w:r>
          </w:p>
        </w:tc>
        <w:tc>
          <w:tcPr>
            <w:tcW w:w="532" w:type="pct"/>
            <w:tcBorders>
              <w:top w:val="single" w:color="auto" w:sz="4" w:space="0"/>
              <w:left w:val="single" w:color="auto" w:sz="4" w:space="0"/>
              <w:bottom w:val="single" w:color="auto" w:sz="4" w:space="0"/>
              <w:right w:val="single" w:color="auto" w:sz="4" w:space="0"/>
            </w:tcBorders>
            <w:vAlign w:val="center"/>
          </w:tcPr>
          <w:p w14:paraId="3E59BC71">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23CB626B">
            <w:pPr>
              <w:spacing w:line="240" w:lineRule="auto"/>
              <w:jc w:val="center"/>
              <w:rPr>
                <w:color w:val="000000"/>
                <w:sz w:val="21"/>
              </w:rPr>
            </w:pPr>
            <w:r>
              <w:rPr>
                <w:color w:val="000000"/>
                <w:sz w:val="21"/>
              </w:rPr>
              <w:t>1</w:t>
            </w:r>
          </w:p>
        </w:tc>
      </w:tr>
      <w:tr w14:paraId="6E07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1195538C">
            <w:pPr>
              <w:spacing w:line="240" w:lineRule="auto"/>
              <w:jc w:val="center"/>
              <w:rPr>
                <w:color w:val="000000"/>
                <w:sz w:val="21"/>
              </w:rPr>
            </w:pPr>
            <w:r>
              <w:rPr>
                <w:color w:val="000000"/>
                <w:sz w:val="21"/>
              </w:rPr>
              <w:t>67</w:t>
            </w:r>
          </w:p>
        </w:tc>
        <w:tc>
          <w:tcPr>
            <w:tcW w:w="2084" w:type="pct"/>
            <w:tcBorders>
              <w:top w:val="single" w:color="auto" w:sz="4" w:space="0"/>
              <w:left w:val="single" w:color="auto" w:sz="4" w:space="0"/>
              <w:bottom w:val="single" w:color="auto" w:sz="4" w:space="0"/>
              <w:right w:val="single" w:color="auto" w:sz="4" w:space="0"/>
            </w:tcBorders>
            <w:vAlign w:val="center"/>
          </w:tcPr>
          <w:p w14:paraId="280FA1BE">
            <w:pPr>
              <w:spacing w:line="240" w:lineRule="auto"/>
              <w:jc w:val="center"/>
              <w:rPr>
                <w:color w:val="000000"/>
                <w:sz w:val="21"/>
              </w:rPr>
            </w:pPr>
            <w:r>
              <w:rPr>
                <w:color w:val="000000"/>
                <w:sz w:val="21"/>
              </w:rPr>
              <w:t>P-602胺液排放泵</w:t>
            </w:r>
          </w:p>
        </w:tc>
        <w:tc>
          <w:tcPr>
            <w:tcW w:w="1211" w:type="pct"/>
            <w:tcBorders>
              <w:top w:val="single" w:color="auto" w:sz="4" w:space="0"/>
              <w:left w:val="single" w:color="auto" w:sz="4" w:space="0"/>
              <w:bottom w:val="single" w:color="auto" w:sz="4" w:space="0"/>
              <w:right w:val="single" w:color="auto" w:sz="4" w:space="0"/>
            </w:tcBorders>
            <w:vAlign w:val="center"/>
          </w:tcPr>
          <w:p w14:paraId="5838A88D">
            <w:pPr>
              <w:spacing w:line="240" w:lineRule="auto"/>
              <w:jc w:val="center"/>
              <w:rPr>
                <w:color w:val="000000"/>
                <w:sz w:val="21"/>
              </w:rPr>
            </w:pPr>
            <w:r>
              <w:rPr>
                <w:color w:val="000000"/>
                <w:sz w:val="21"/>
              </w:rPr>
              <w:t>离心式</w:t>
            </w:r>
          </w:p>
        </w:tc>
        <w:tc>
          <w:tcPr>
            <w:tcW w:w="532" w:type="pct"/>
            <w:tcBorders>
              <w:top w:val="single" w:color="auto" w:sz="4" w:space="0"/>
              <w:left w:val="single" w:color="auto" w:sz="4" w:space="0"/>
              <w:bottom w:val="single" w:color="auto" w:sz="4" w:space="0"/>
              <w:right w:val="single" w:color="auto" w:sz="4" w:space="0"/>
            </w:tcBorders>
            <w:vAlign w:val="center"/>
          </w:tcPr>
          <w:p w14:paraId="290D739F">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24D27E0E">
            <w:pPr>
              <w:spacing w:line="240" w:lineRule="auto"/>
              <w:jc w:val="center"/>
              <w:rPr>
                <w:color w:val="000000"/>
                <w:sz w:val="21"/>
              </w:rPr>
            </w:pPr>
            <w:r>
              <w:rPr>
                <w:color w:val="000000"/>
                <w:sz w:val="21"/>
              </w:rPr>
              <w:t>1</w:t>
            </w:r>
          </w:p>
        </w:tc>
      </w:tr>
      <w:tr w14:paraId="1DF2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76FBB6A0">
            <w:pPr>
              <w:spacing w:line="240" w:lineRule="auto"/>
              <w:jc w:val="center"/>
              <w:rPr>
                <w:color w:val="000000"/>
                <w:sz w:val="21"/>
              </w:rPr>
            </w:pPr>
            <w:r>
              <w:rPr>
                <w:color w:val="000000"/>
                <w:sz w:val="21"/>
              </w:rPr>
              <w:t>68</w:t>
            </w:r>
          </w:p>
        </w:tc>
        <w:tc>
          <w:tcPr>
            <w:tcW w:w="2084" w:type="pct"/>
            <w:tcBorders>
              <w:top w:val="single" w:color="auto" w:sz="4" w:space="0"/>
              <w:left w:val="single" w:color="auto" w:sz="4" w:space="0"/>
              <w:bottom w:val="single" w:color="auto" w:sz="4" w:space="0"/>
              <w:right w:val="single" w:color="auto" w:sz="4" w:space="0"/>
            </w:tcBorders>
            <w:vAlign w:val="center"/>
          </w:tcPr>
          <w:p w14:paraId="5971B362">
            <w:pPr>
              <w:spacing w:line="240" w:lineRule="auto"/>
              <w:jc w:val="center"/>
              <w:rPr>
                <w:color w:val="000000"/>
                <w:sz w:val="21"/>
              </w:rPr>
            </w:pPr>
            <w:r>
              <w:rPr>
                <w:color w:val="000000"/>
                <w:sz w:val="21"/>
              </w:rPr>
              <w:t>LNG低温储罐</w:t>
            </w:r>
          </w:p>
        </w:tc>
        <w:tc>
          <w:tcPr>
            <w:tcW w:w="1211" w:type="pct"/>
            <w:tcBorders>
              <w:top w:val="single" w:color="auto" w:sz="4" w:space="0"/>
              <w:left w:val="single" w:color="auto" w:sz="4" w:space="0"/>
              <w:bottom w:val="single" w:color="auto" w:sz="4" w:space="0"/>
              <w:right w:val="single" w:color="auto" w:sz="4" w:space="0"/>
            </w:tcBorders>
            <w:vAlign w:val="center"/>
          </w:tcPr>
          <w:p w14:paraId="27C9FD7E">
            <w:pPr>
              <w:spacing w:line="240" w:lineRule="auto"/>
              <w:jc w:val="center"/>
              <w:rPr>
                <w:color w:val="000000"/>
                <w:sz w:val="21"/>
              </w:rPr>
            </w:pPr>
            <w:r>
              <w:rPr>
                <w:color w:val="000000"/>
                <w:sz w:val="21"/>
              </w:rPr>
              <w:t>10000m</w:t>
            </w:r>
            <w:r>
              <w:rPr>
                <w:color w:val="000000"/>
                <w:sz w:val="21"/>
                <w:vertAlign w:val="superscript"/>
              </w:rPr>
              <w:t>3</w:t>
            </w:r>
          </w:p>
        </w:tc>
        <w:tc>
          <w:tcPr>
            <w:tcW w:w="532" w:type="pct"/>
            <w:tcBorders>
              <w:top w:val="single" w:color="auto" w:sz="4" w:space="0"/>
              <w:left w:val="single" w:color="auto" w:sz="4" w:space="0"/>
              <w:bottom w:val="single" w:color="auto" w:sz="4" w:space="0"/>
              <w:right w:val="single" w:color="auto" w:sz="4" w:space="0"/>
            </w:tcBorders>
            <w:vAlign w:val="center"/>
          </w:tcPr>
          <w:p w14:paraId="42535CD9">
            <w:pPr>
              <w:spacing w:line="240" w:lineRule="auto"/>
              <w:jc w:val="center"/>
              <w:rPr>
                <w:color w:val="000000"/>
                <w:sz w:val="21"/>
              </w:rPr>
            </w:pPr>
            <w:r>
              <w:rPr>
                <w:color w:val="000000"/>
                <w:sz w:val="21"/>
              </w:rPr>
              <w:t>座</w:t>
            </w:r>
          </w:p>
        </w:tc>
        <w:tc>
          <w:tcPr>
            <w:tcW w:w="743" w:type="pct"/>
            <w:tcBorders>
              <w:top w:val="single" w:color="auto" w:sz="4" w:space="0"/>
              <w:left w:val="single" w:color="auto" w:sz="4" w:space="0"/>
              <w:bottom w:val="single" w:color="auto" w:sz="4" w:space="0"/>
              <w:right w:val="single" w:color="auto" w:sz="4" w:space="0"/>
            </w:tcBorders>
            <w:vAlign w:val="center"/>
          </w:tcPr>
          <w:p w14:paraId="4CD30149">
            <w:pPr>
              <w:spacing w:line="240" w:lineRule="auto"/>
              <w:jc w:val="center"/>
              <w:rPr>
                <w:color w:val="000000"/>
                <w:sz w:val="21"/>
              </w:rPr>
            </w:pPr>
            <w:r>
              <w:rPr>
                <w:color w:val="000000"/>
                <w:sz w:val="21"/>
              </w:rPr>
              <w:t>1</w:t>
            </w:r>
          </w:p>
        </w:tc>
      </w:tr>
      <w:tr w14:paraId="3A5E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7CC6584A">
            <w:pPr>
              <w:spacing w:line="240" w:lineRule="auto"/>
              <w:jc w:val="center"/>
              <w:rPr>
                <w:color w:val="000000"/>
                <w:sz w:val="21"/>
              </w:rPr>
            </w:pPr>
            <w:r>
              <w:rPr>
                <w:color w:val="000000"/>
                <w:sz w:val="21"/>
              </w:rPr>
              <w:t>69</w:t>
            </w:r>
          </w:p>
        </w:tc>
        <w:tc>
          <w:tcPr>
            <w:tcW w:w="2084" w:type="pct"/>
            <w:tcBorders>
              <w:top w:val="single" w:color="auto" w:sz="4" w:space="0"/>
              <w:left w:val="single" w:color="auto" w:sz="4" w:space="0"/>
              <w:bottom w:val="single" w:color="auto" w:sz="4" w:space="0"/>
              <w:right w:val="single" w:color="auto" w:sz="4" w:space="0"/>
            </w:tcBorders>
            <w:vAlign w:val="center"/>
          </w:tcPr>
          <w:p w14:paraId="1F46978F">
            <w:pPr>
              <w:spacing w:line="240" w:lineRule="auto"/>
              <w:jc w:val="center"/>
              <w:rPr>
                <w:color w:val="000000"/>
                <w:sz w:val="21"/>
              </w:rPr>
            </w:pPr>
            <w:r>
              <w:rPr>
                <w:color w:val="000000"/>
                <w:sz w:val="21"/>
              </w:rPr>
              <w:t>LNG装车泵</w:t>
            </w:r>
          </w:p>
        </w:tc>
        <w:tc>
          <w:tcPr>
            <w:tcW w:w="1211" w:type="pct"/>
            <w:tcBorders>
              <w:top w:val="single" w:color="auto" w:sz="4" w:space="0"/>
              <w:left w:val="single" w:color="auto" w:sz="4" w:space="0"/>
              <w:bottom w:val="single" w:color="auto" w:sz="4" w:space="0"/>
              <w:right w:val="single" w:color="auto" w:sz="4" w:space="0"/>
            </w:tcBorders>
            <w:vAlign w:val="center"/>
          </w:tcPr>
          <w:p w14:paraId="03F500D5">
            <w:pPr>
              <w:spacing w:line="240" w:lineRule="auto"/>
              <w:jc w:val="center"/>
              <w:rPr>
                <w:color w:val="000000"/>
                <w:sz w:val="21"/>
              </w:rPr>
            </w:pPr>
            <w:r>
              <w:rPr>
                <w:color w:val="000000"/>
                <w:sz w:val="21"/>
              </w:rPr>
              <w:t>Q=250m</w:t>
            </w:r>
            <w:r>
              <w:rPr>
                <w:color w:val="000000"/>
                <w:sz w:val="21"/>
                <w:vertAlign w:val="superscript"/>
              </w:rPr>
              <w:t>3</w:t>
            </w:r>
            <w:r>
              <w:rPr>
                <w:color w:val="000000"/>
                <w:sz w:val="21"/>
              </w:rPr>
              <w:t>/h, 扬程118m</w:t>
            </w:r>
          </w:p>
        </w:tc>
        <w:tc>
          <w:tcPr>
            <w:tcW w:w="532" w:type="pct"/>
            <w:tcBorders>
              <w:top w:val="single" w:color="auto" w:sz="4" w:space="0"/>
              <w:left w:val="single" w:color="auto" w:sz="4" w:space="0"/>
              <w:bottom w:val="single" w:color="auto" w:sz="4" w:space="0"/>
              <w:right w:val="single" w:color="auto" w:sz="4" w:space="0"/>
            </w:tcBorders>
            <w:vAlign w:val="center"/>
          </w:tcPr>
          <w:p w14:paraId="0C88FD65">
            <w:pPr>
              <w:spacing w:line="240" w:lineRule="auto"/>
              <w:jc w:val="center"/>
              <w:rPr>
                <w:color w:val="000000"/>
                <w:sz w:val="21"/>
              </w:rPr>
            </w:pPr>
            <w:r>
              <w:rPr>
                <w:color w:val="000000"/>
                <w:sz w:val="21"/>
              </w:rPr>
              <w:t>台</w:t>
            </w:r>
          </w:p>
        </w:tc>
        <w:tc>
          <w:tcPr>
            <w:tcW w:w="743" w:type="pct"/>
            <w:tcBorders>
              <w:top w:val="single" w:color="auto" w:sz="4" w:space="0"/>
              <w:left w:val="single" w:color="auto" w:sz="4" w:space="0"/>
              <w:bottom w:val="single" w:color="auto" w:sz="4" w:space="0"/>
              <w:right w:val="single" w:color="auto" w:sz="4" w:space="0"/>
            </w:tcBorders>
            <w:vAlign w:val="center"/>
          </w:tcPr>
          <w:p w14:paraId="5440FC90">
            <w:pPr>
              <w:spacing w:line="240" w:lineRule="auto"/>
              <w:jc w:val="center"/>
              <w:rPr>
                <w:color w:val="000000"/>
                <w:sz w:val="21"/>
              </w:rPr>
            </w:pPr>
            <w:r>
              <w:rPr>
                <w:color w:val="000000"/>
                <w:sz w:val="21"/>
              </w:rPr>
              <w:t>2</w:t>
            </w:r>
          </w:p>
        </w:tc>
      </w:tr>
      <w:tr w14:paraId="38D9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40E49B12">
            <w:pPr>
              <w:spacing w:line="240" w:lineRule="auto"/>
              <w:jc w:val="center"/>
              <w:rPr>
                <w:color w:val="000000"/>
                <w:sz w:val="21"/>
              </w:rPr>
            </w:pPr>
            <w:r>
              <w:rPr>
                <w:color w:val="000000"/>
                <w:sz w:val="21"/>
              </w:rPr>
              <w:t>70</w:t>
            </w:r>
          </w:p>
        </w:tc>
        <w:tc>
          <w:tcPr>
            <w:tcW w:w="2084" w:type="pct"/>
            <w:tcBorders>
              <w:top w:val="single" w:color="auto" w:sz="4" w:space="0"/>
              <w:left w:val="single" w:color="auto" w:sz="4" w:space="0"/>
              <w:bottom w:val="single" w:color="auto" w:sz="4" w:space="0"/>
              <w:right w:val="single" w:color="auto" w:sz="4" w:space="0"/>
            </w:tcBorders>
            <w:vAlign w:val="center"/>
          </w:tcPr>
          <w:p w14:paraId="6B66B3AF">
            <w:pPr>
              <w:spacing w:line="240" w:lineRule="auto"/>
              <w:jc w:val="center"/>
              <w:rPr>
                <w:color w:val="000000"/>
                <w:sz w:val="21"/>
              </w:rPr>
            </w:pPr>
            <w:r>
              <w:rPr>
                <w:color w:val="000000"/>
                <w:sz w:val="21"/>
              </w:rPr>
              <w:t>LNG装车撬</w:t>
            </w:r>
          </w:p>
        </w:tc>
        <w:tc>
          <w:tcPr>
            <w:tcW w:w="1211" w:type="pct"/>
            <w:tcBorders>
              <w:top w:val="single" w:color="auto" w:sz="4" w:space="0"/>
              <w:left w:val="single" w:color="auto" w:sz="4" w:space="0"/>
              <w:bottom w:val="single" w:color="auto" w:sz="4" w:space="0"/>
              <w:right w:val="single" w:color="auto" w:sz="4" w:space="0"/>
            </w:tcBorders>
            <w:vAlign w:val="center"/>
          </w:tcPr>
          <w:p w14:paraId="7A9288C9">
            <w:pPr>
              <w:spacing w:line="240" w:lineRule="auto"/>
              <w:jc w:val="center"/>
              <w:rPr>
                <w:color w:val="000000"/>
                <w:sz w:val="21"/>
              </w:rPr>
            </w:pPr>
            <w:r>
              <w:rPr>
                <w:color w:val="000000"/>
                <w:sz w:val="21"/>
              </w:rPr>
              <w:t>Q=80m</w:t>
            </w:r>
            <w:r>
              <w:rPr>
                <w:color w:val="000000"/>
                <w:sz w:val="21"/>
                <w:vertAlign w:val="superscript"/>
              </w:rPr>
              <w:t>3</w:t>
            </w:r>
            <w:r>
              <w:rPr>
                <w:color w:val="000000"/>
                <w:sz w:val="21"/>
              </w:rPr>
              <w:t>/h</w:t>
            </w:r>
          </w:p>
        </w:tc>
        <w:tc>
          <w:tcPr>
            <w:tcW w:w="532" w:type="pct"/>
            <w:tcBorders>
              <w:top w:val="single" w:color="auto" w:sz="4" w:space="0"/>
              <w:left w:val="single" w:color="auto" w:sz="4" w:space="0"/>
              <w:bottom w:val="single" w:color="auto" w:sz="4" w:space="0"/>
              <w:right w:val="single" w:color="auto" w:sz="4" w:space="0"/>
            </w:tcBorders>
            <w:vAlign w:val="center"/>
          </w:tcPr>
          <w:p w14:paraId="2EA32433">
            <w:pPr>
              <w:spacing w:line="240" w:lineRule="auto"/>
              <w:jc w:val="center"/>
              <w:rPr>
                <w:color w:val="000000"/>
                <w:sz w:val="21"/>
              </w:rPr>
            </w:pPr>
            <w:r>
              <w:rPr>
                <w:color w:val="000000"/>
                <w:sz w:val="21"/>
              </w:rPr>
              <w:t>座</w:t>
            </w:r>
          </w:p>
        </w:tc>
        <w:tc>
          <w:tcPr>
            <w:tcW w:w="743" w:type="pct"/>
            <w:tcBorders>
              <w:top w:val="single" w:color="auto" w:sz="4" w:space="0"/>
              <w:left w:val="single" w:color="auto" w:sz="4" w:space="0"/>
              <w:bottom w:val="single" w:color="auto" w:sz="4" w:space="0"/>
              <w:right w:val="single" w:color="auto" w:sz="4" w:space="0"/>
            </w:tcBorders>
            <w:vAlign w:val="center"/>
          </w:tcPr>
          <w:p w14:paraId="04EC00AB">
            <w:pPr>
              <w:spacing w:line="240" w:lineRule="auto"/>
              <w:jc w:val="center"/>
              <w:rPr>
                <w:color w:val="000000"/>
                <w:sz w:val="21"/>
              </w:rPr>
            </w:pPr>
            <w:r>
              <w:rPr>
                <w:color w:val="000000"/>
                <w:sz w:val="21"/>
              </w:rPr>
              <w:t>4</w:t>
            </w:r>
          </w:p>
        </w:tc>
      </w:tr>
      <w:tr w14:paraId="5294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27" w:type="pct"/>
            <w:tcBorders>
              <w:top w:val="single" w:color="auto" w:sz="4" w:space="0"/>
              <w:left w:val="single" w:color="auto" w:sz="4" w:space="0"/>
              <w:bottom w:val="single" w:color="auto" w:sz="4" w:space="0"/>
              <w:right w:val="single" w:color="auto" w:sz="4" w:space="0"/>
            </w:tcBorders>
            <w:vAlign w:val="center"/>
          </w:tcPr>
          <w:p w14:paraId="20263C55">
            <w:pPr>
              <w:spacing w:line="240" w:lineRule="auto"/>
              <w:jc w:val="center"/>
              <w:rPr>
                <w:color w:val="000000"/>
                <w:sz w:val="21"/>
              </w:rPr>
            </w:pPr>
            <w:r>
              <w:rPr>
                <w:color w:val="000000"/>
                <w:sz w:val="21"/>
              </w:rPr>
              <w:t>71</w:t>
            </w:r>
          </w:p>
        </w:tc>
        <w:tc>
          <w:tcPr>
            <w:tcW w:w="2084" w:type="pct"/>
            <w:tcBorders>
              <w:top w:val="single" w:color="auto" w:sz="4" w:space="0"/>
              <w:left w:val="single" w:color="auto" w:sz="4" w:space="0"/>
              <w:bottom w:val="single" w:color="auto" w:sz="4" w:space="0"/>
              <w:right w:val="single" w:color="auto" w:sz="4" w:space="0"/>
            </w:tcBorders>
            <w:vAlign w:val="center"/>
          </w:tcPr>
          <w:p w14:paraId="4D21688A">
            <w:pPr>
              <w:spacing w:line="240" w:lineRule="auto"/>
              <w:jc w:val="center"/>
              <w:rPr>
                <w:color w:val="000000"/>
                <w:sz w:val="21"/>
              </w:rPr>
            </w:pPr>
            <w:r>
              <w:rPr>
                <w:color w:val="000000"/>
                <w:sz w:val="21"/>
              </w:rPr>
              <w:t>加气机</w:t>
            </w:r>
          </w:p>
        </w:tc>
        <w:tc>
          <w:tcPr>
            <w:tcW w:w="1211" w:type="pct"/>
            <w:tcBorders>
              <w:top w:val="single" w:color="auto" w:sz="4" w:space="0"/>
              <w:left w:val="single" w:color="auto" w:sz="4" w:space="0"/>
              <w:bottom w:val="single" w:color="auto" w:sz="4" w:space="0"/>
              <w:right w:val="single" w:color="auto" w:sz="4" w:space="0"/>
            </w:tcBorders>
            <w:vAlign w:val="center"/>
          </w:tcPr>
          <w:p w14:paraId="0C6D62F0">
            <w:pPr>
              <w:spacing w:line="240" w:lineRule="auto"/>
              <w:jc w:val="center"/>
              <w:rPr>
                <w:color w:val="000000"/>
                <w:sz w:val="21"/>
              </w:rPr>
            </w:pPr>
            <w:r>
              <w:rPr>
                <w:color w:val="000000"/>
                <w:sz w:val="21"/>
              </w:rPr>
              <w:t>加注压力1.2Mpag</w:t>
            </w:r>
          </w:p>
        </w:tc>
        <w:tc>
          <w:tcPr>
            <w:tcW w:w="532" w:type="pct"/>
            <w:tcBorders>
              <w:top w:val="single" w:color="auto" w:sz="4" w:space="0"/>
              <w:left w:val="single" w:color="auto" w:sz="4" w:space="0"/>
              <w:bottom w:val="single" w:color="auto" w:sz="4" w:space="0"/>
              <w:right w:val="single" w:color="auto" w:sz="4" w:space="0"/>
            </w:tcBorders>
            <w:vAlign w:val="center"/>
          </w:tcPr>
          <w:p w14:paraId="73E044C7">
            <w:pPr>
              <w:spacing w:line="240" w:lineRule="auto"/>
              <w:jc w:val="center"/>
              <w:rPr>
                <w:color w:val="000000"/>
                <w:sz w:val="21"/>
              </w:rPr>
            </w:pPr>
            <w:r>
              <w:rPr>
                <w:color w:val="000000"/>
                <w:sz w:val="21"/>
              </w:rPr>
              <w:t>座</w:t>
            </w:r>
          </w:p>
        </w:tc>
        <w:tc>
          <w:tcPr>
            <w:tcW w:w="743" w:type="pct"/>
            <w:tcBorders>
              <w:top w:val="single" w:color="auto" w:sz="4" w:space="0"/>
              <w:left w:val="single" w:color="auto" w:sz="4" w:space="0"/>
              <w:bottom w:val="single" w:color="auto" w:sz="4" w:space="0"/>
              <w:right w:val="single" w:color="auto" w:sz="4" w:space="0"/>
            </w:tcBorders>
            <w:vAlign w:val="center"/>
          </w:tcPr>
          <w:p w14:paraId="4FD63280">
            <w:pPr>
              <w:spacing w:line="240" w:lineRule="auto"/>
              <w:jc w:val="center"/>
              <w:rPr>
                <w:color w:val="000000"/>
                <w:sz w:val="21"/>
              </w:rPr>
            </w:pPr>
            <w:r>
              <w:rPr>
                <w:color w:val="000000"/>
                <w:sz w:val="21"/>
              </w:rPr>
              <w:t>1</w:t>
            </w:r>
          </w:p>
        </w:tc>
      </w:tr>
    </w:tbl>
    <w:p w14:paraId="0D38787B">
      <w:pPr>
        <w:pStyle w:val="206"/>
        <w:rPr>
          <w:rFonts w:ascii="Times New Roman" w:hAnsi="Times New Roman" w:eastAsia="宋体"/>
          <w:color w:val="000000"/>
        </w:rPr>
      </w:pPr>
    </w:p>
    <w:p w14:paraId="12B3984F">
      <w:pPr>
        <w:pStyle w:val="771"/>
        <w:rPr>
          <w:b/>
          <w:bCs w:val="0"/>
          <w:color w:val="000000"/>
        </w:rPr>
      </w:pPr>
      <w:r>
        <w:rPr>
          <w:b/>
          <w:bCs w:val="0"/>
          <w:color w:val="000000"/>
        </w:rPr>
        <w:t>2.2.7原辅材料及能源消耗</w:t>
      </w:r>
    </w:p>
    <w:p w14:paraId="1DD68A33">
      <w:pPr>
        <w:ind w:firstLine="480" w:firstLineChars="200"/>
        <w:rPr>
          <w:color w:val="000000"/>
          <w:szCs w:val="24"/>
        </w:rPr>
      </w:pPr>
      <w:r>
        <w:rPr>
          <w:color w:val="000000"/>
          <w:szCs w:val="24"/>
        </w:rPr>
        <w:t>现有工程主要原料天然气资源为江汉油田重庆区块页岩气（备用天然气为川气东送气源），通过管道输送至LNG工厂。原辅材料消耗量见表2.2.7-1。</w:t>
      </w:r>
    </w:p>
    <w:p w14:paraId="6E744DBA">
      <w:pPr>
        <w:jc w:val="center"/>
        <w:rPr>
          <w:color w:val="000000"/>
          <w:sz w:val="21"/>
        </w:rPr>
      </w:pPr>
      <w:r>
        <w:rPr>
          <w:color w:val="000000"/>
          <w:sz w:val="21"/>
        </w:rPr>
        <w:t>表2.2.7-1 现有工程主要原辅材料消耗变化情况一览表</w:t>
      </w:r>
    </w:p>
    <w:tbl>
      <w:tblPr>
        <w:tblStyle w:val="73"/>
        <w:tblW w:w="4996" w:type="pct"/>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10"/>
        <w:gridCol w:w="1967"/>
        <w:gridCol w:w="1234"/>
        <w:gridCol w:w="1685"/>
        <w:gridCol w:w="1706"/>
        <w:gridCol w:w="1750"/>
      </w:tblGrid>
      <w:tr w14:paraId="41B75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392" w:type="pct"/>
            <w:vAlign w:val="center"/>
          </w:tcPr>
          <w:p w14:paraId="0B7E3C30">
            <w:pPr>
              <w:spacing w:line="240" w:lineRule="auto"/>
              <w:jc w:val="center"/>
              <w:rPr>
                <w:color w:val="000000"/>
                <w:sz w:val="21"/>
              </w:rPr>
            </w:pPr>
            <w:r>
              <w:rPr>
                <w:color w:val="000000"/>
                <w:sz w:val="21"/>
              </w:rPr>
              <w:t>序号</w:t>
            </w:r>
          </w:p>
        </w:tc>
        <w:tc>
          <w:tcPr>
            <w:tcW w:w="1086" w:type="pct"/>
            <w:vAlign w:val="center"/>
          </w:tcPr>
          <w:p w14:paraId="124F2446">
            <w:pPr>
              <w:spacing w:line="240" w:lineRule="auto"/>
              <w:jc w:val="center"/>
              <w:rPr>
                <w:color w:val="000000"/>
                <w:sz w:val="21"/>
              </w:rPr>
            </w:pPr>
            <w:r>
              <w:rPr>
                <w:color w:val="000000"/>
                <w:sz w:val="21"/>
              </w:rPr>
              <w:t>物  料  名  称</w:t>
            </w:r>
          </w:p>
        </w:tc>
        <w:tc>
          <w:tcPr>
            <w:tcW w:w="681" w:type="pct"/>
            <w:vAlign w:val="center"/>
          </w:tcPr>
          <w:p w14:paraId="4AA2BCAE">
            <w:pPr>
              <w:spacing w:line="240" w:lineRule="auto"/>
              <w:jc w:val="center"/>
              <w:rPr>
                <w:color w:val="000000"/>
                <w:sz w:val="21"/>
              </w:rPr>
            </w:pPr>
            <w:r>
              <w:rPr>
                <w:color w:val="000000"/>
                <w:sz w:val="21"/>
              </w:rPr>
              <w:t>单位</w:t>
            </w:r>
          </w:p>
        </w:tc>
        <w:tc>
          <w:tcPr>
            <w:tcW w:w="930" w:type="pct"/>
            <w:vAlign w:val="center"/>
          </w:tcPr>
          <w:p w14:paraId="4E504A5E">
            <w:pPr>
              <w:spacing w:line="240" w:lineRule="auto"/>
              <w:jc w:val="center"/>
              <w:rPr>
                <w:color w:val="000000"/>
                <w:sz w:val="21"/>
              </w:rPr>
            </w:pPr>
            <w:r>
              <w:rPr>
                <w:color w:val="000000"/>
                <w:sz w:val="21"/>
              </w:rPr>
              <w:t>年消耗</w:t>
            </w:r>
          </w:p>
        </w:tc>
        <w:tc>
          <w:tcPr>
            <w:tcW w:w="942" w:type="pct"/>
            <w:vAlign w:val="center"/>
          </w:tcPr>
          <w:p w14:paraId="03ABF87F">
            <w:pPr>
              <w:spacing w:line="240" w:lineRule="auto"/>
              <w:jc w:val="center"/>
              <w:rPr>
                <w:color w:val="000000"/>
                <w:sz w:val="21"/>
              </w:rPr>
            </w:pPr>
            <w:r>
              <w:rPr>
                <w:color w:val="000000"/>
                <w:sz w:val="21"/>
              </w:rPr>
              <w:t>来源</w:t>
            </w:r>
          </w:p>
        </w:tc>
        <w:tc>
          <w:tcPr>
            <w:tcW w:w="966" w:type="pct"/>
            <w:tcBorders>
              <w:left w:val="single" w:color="auto" w:sz="4" w:space="0"/>
            </w:tcBorders>
            <w:vAlign w:val="center"/>
          </w:tcPr>
          <w:p w14:paraId="491953C3">
            <w:pPr>
              <w:spacing w:line="240" w:lineRule="auto"/>
              <w:jc w:val="center"/>
              <w:rPr>
                <w:color w:val="000000"/>
                <w:sz w:val="21"/>
              </w:rPr>
            </w:pPr>
            <w:r>
              <w:rPr>
                <w:color w:val="000000"/>
                <w:sz w:val="21"/>
              </w:rPr>
              <w:t>备注</w:t>
            </w:r>
          </w:p>
        </w:tc>
      </w:tr>
      <w:tr w14:paraId="3F5D5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0" w:hRule="atLeast"/>
          <w:jc w:val="right"/>
        </w:trPr>
        <w:tc>
          <w:tcPr>
            <w:tcW w:w="392" w:type="pct"/>
            <w:vAlign w:val="center"/>
          </w:tcPr>
          <w:p w14:paraId="24FB6100">
            <w:pPr>
              <w:spacing w:line="240" w:lineRule="auto"/>
              <w:jc w:val="center"/>
              <w:rPr>
                <w:bCs/>
                <w:color w:val="000000"/>
                <w:sz w:val="21"/>
              </w:rPr>
            </w:pPr>
            <w:r>
              <w:rPr>
                <w:bCs/>
                <w:color w:val="000000"/>
                <w:sz w:val="21"/>
              </w:rPr>
              <w:t>一</w:t>
            </w:r>
          </w:p>
        </w:tc>
        <w:tc>
          <w:tcPr>
            <w:tcW w:w="1086" w:type="pct"/>
            <w:vAlign w:val="center"/>
          </w:tcPr>
          <w:p w14:paraId="150F29A4">
            <w:pPr>
              <w:spacing w:line="240" w:lineRule="auto"/>
              <w:jc w:val="center"/>
              <w:rPr>
                <w:bCs/>
                <w:color w:val="000000"/>
                <w:sz w:val="21"/>
              </w:rPr>
            </w:pPr>
            <w:r>
              <w:rPr>
                <w:bCs/>
                <w:color w:val="000000"/>
                <w:sz w:val="21"/>
              </w:rPr>
              <w:t>原材料（</w:t>
            </w:r>
            <w:r>
              <w:rPr>
                <w:color w:val="000000"/>
                <w:sz w:val="21"/>
              </w:rPr>
              <w:t>天然气</w:t>
            </w:r>
            <w:r>
              <w:rPr>
                <w:bCs/>
                <w:color w:val="000000"/>
                <w:sz w:val="21"/>
              </w:rPr>
              <w:t>）</w:t>
            </w:r>
          </w:p>
        </w:tc>
        <w:tc>
          <w:tcPr>
            <w:tcW w:w="681" w:type="pct"/>
            <w:vAlign w:val="center"/>
          </w:tcPr>
          <w:p w14:paraId="3013C9AB">
            <w:pPr>
              <w:spacing w:line="240" w:lineRule="auto"/>
              <w:jc w:val="center"/>
              <w:rPr>
                <w:color w:val="000000"/>
                <w:sz w:val="21"/>
              </w:rPr>
            </w:pPr>
            <w:r>
              <w:rPr>
                <w:color w:val="000000"/>
                <w:sz w:val="21"/>
              </w:rPr>
              <w:t>10</w:t>
            </w:r>
            <w:r>
              <w:rPr>
                <w:color w:val="000000"/>
                <w:sz w:val="21"/>
                <w:vertAlign w:val="superscript"/>
              </w:rPr>
              <w:t>8</w:t>
            </w:r>
            <w:r>
              <w:rPr>
                <w:color w:val="000000"/>
                <w:sz w:val="21"/>
              </w:rPr>
              <w:t>Nm</w:t>
            </w:r>
            <w:r>
              <w:rPr>
                <w:color w:val="000000"/>
                <w:sz w:val="21"/>
                <w:vertAlign w:val="superscript"/>
              </w:rPr>
              <w:t>3</w:t>
            </w:r>
          </w:p>
        </w:tc>
        <w:tc>
          <w:tcPr>
            <w:tcW w:w="930" w:type="pct"/>
            <w:vAlign w:val="center"/>
          </w:tcPr>
          <w:p w14:paraId="43C9D828">
            <w:pPr>
              <w:pStyle w:val="409"/>
              <w:rPr>
                <w:rFonts w:ascii="Times New Roman" w:hAnsi="Times New Roman" w:eastAsia="宋体"/>
                <w:color w:val="000000"/>
              </w:rPr>
            </w:pPr>
            <w:r>
              <w:rPr>
                <w:rFonts w:ascii="Times New Roman" w:hAnsi="Times New Roman" w:eastAsia="宋体"/>
                <w:color w:val="000000"/>
              </w:rPr>
              <w:t>3.3</w:t>
            </w:r>
          </w:p>
        </w:tc>
        <w:tc>
          <w:tcPr>
            <w:tcW w:w="942" w:type="pct"/>
            <w:vAlign w:val="center"/>
          </w:tcPr>
          <w:p w14:paraId="186DE6EF">
            <w:pPr>
              <w:pStyle w:val="409"/>
              <w:rPr>
                <w:rFonts w:ascii="Times New Roman" w:hAnsi="Times New Roman" w:eastAsia="宋体"/>
                <w:color w:val="000000"/>
              </w:rPr>
            </w:pPr>
            <w:r>
              <w:rPr>
                <w:rFonts w:ascii="Times New Roman" w:hAnsi="Times New Roman" w:eastAsia="宋体"/>
                <w:color w:val="000000"/>
              </w:rPr>
              <w:t>江汉油田重庆区块页岩气</w:t>
            </w:r>
          </w:p>
        </w:tc>
        <w:tc>
          <w:tcPr>
            <w:tcW w:w="966" w:type="pct"/>
            <w:tcBorders>
              <w:left w:val="single" w:color="auto" w:sz="4" w:space="0"/>
            </w:tcBorders>
            <w:vAlign w:val="center"/>
          </w:tcPr>
          <w:p w14:paraId="2B0C0ECD">
            <w:pPr>
              <w:pStyle w:val="409"/>
              <w:rPr>
                <w:rFonts w:ascii="Times New Roman" w:hAnsi="Times New Roman" w:eastAsia="宋体"/>
                <w:color w:val="000000"/>
              </w:rPr>
            </w:pPr>
            <w:r>
              <w:rPr>
                <w:rFonts w:ascii="Times New Roman" w:hAnsi="Times New Roman" w:eastAsia="宋体"/>
                <w:color w:val="000000"/>
              </w:rPr>
              <w:t>状态：气态；</w:t>
            </w:r>
          </w:p>
          <w:p w14:paraId="3C8C364F">
            <w:pPr>
              <w:pStyle w:val="409"/>
              <w:rPr>
                <w:rFonts w:ascii="Times New Roman" w:hAnsi="Times New Roman" w:eastAsia="宋体"/>
                <w:color w:val="000000"/>
              </w:rPr>
            </w:pPr>
            <w:r>
              <w:rPr>
                <w:rFonts w:ascii="Times New Roman" w:hAnsi="Times New Roman" w:eastAsia="宋体"/>
                <w:color w:val="000000"/>
              </w:rPr>
              <w:t>压力：4.0~4.4MPag</w:t>
            </w:r>
          </w:p>
          <w:p w14:paraId="1CFC3438">
            <w:pPr>
              <w:pStyle w:val="409"/>
              <w:rPr>
                <w:rFonts w:ascii="Times New Roman" w:hAnsi="Times New Roman" w:eastAsia="宋体"/>
                <w:color w:val="000000"/>
              </w:rPr>
            </w:pPr>
            <w:r>
              <w:rPr>
                <w:rFonts w:ascii="Times New Roman" w:hAnsi="Times New Roman" w:eastAsia="宋体"/>
                <w:color w:val="000000"/>
              </w:rPr>
              <w:t>温度：常温</w:t>
            </w:r>
          </w:p>
        </w:tc>
      </w:tr>
      <w:tr w14:paraId="71683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392" w:type="pct"/>
            <w:vAlign w:val="center"/>
          </w:tcPr>
          <w:p w14:paraId="7335FDE7">
            <w:pPr>
              <w:spacing w:line="240" w:lineRule="auto"/>
              <w:jc w:val="center"/>
              <w:rPr>
                <w:bCs/>
                <w:color w:val="000000"/>
                <w:sz w:val="21"/>
              </w:rPr>
            </w:pPr>
            <w:r>
              <w:rPr>
                <w:bCs/>
                <w:color w:val="000000"/>
                <w:sz w:val="21"/>
              </w:rPr>
              <w:t>二</w:t>
            </w:r>
          </w:p>
        </w:tc>
        <w:tc>
          <w:tcPr>
            <w:tcW w:w="1086" w:type="pct"/>
            <w:vAlign w:val="center"/>
          </w:tcPr>
          <w:p w14:paraId="6C59DCE7">
            <w:pPr>
              <w:spacing w:line="240" w:lineRule="auto"/>
              <w:jc w:val="center"/>
              <w:rPr>
                <w:bCs/>
                <w:color w:val="000000"/>
                <w:sz w:val="21"/>
              </w:rPr>
            </w:pPr>
            <w:r>
              <w:rPr>
                <w:bCs/>
                <w:color w:val="000000"/>
                <w:sz w:val="21"/>
              </w:rPr>
              <w:t>辅料</w:t>
            </w:r>
          </w:p>
        </w:tc>
        <w:tc>
          <w:tcPr>
            <w:tcW w:w="681" w:type="pct"/>
            <w:vAlign w:val="center"/>
          </w:tcPr>
          <w:p w14:paraId="3A00F7C9">
            <w:pPr>
              <w:spacing w:line="240" w:lineRule="auto"/>
              <w:jc w:val="center"/>
              <w:rPr>
                <w:color w:val="000000"/>
                <w:sz w:val="21"/>
              </w:rPr>
            </w:pPr>
          </w:p>
        </w:tc>
        <w:tc>
          <w:tcPr>
            <w:tcW w:w="930" w:type="pct"/>
            <w:vAlign w:val="center"/>
          </w:tcPr>
          <w:p w14:paraId="6FF19869">
            <w:pPr>
              <w:spacing w:line="240" w:lineRule="auto"/>
              <w:jc w:val="center"/>
              <w:rPr>
                <w:color w:val="000000"/>
                <w:sz w:val="21"/>
              </w:rPr>
            </w:pPr>
          </w:p>
        </w:tc>
        <w:tc>
          <w:tcPr>
            <w:tcW w:w="942" w:type="pct"/>
            <w:vAlign w:val="center"/>
          </w:tcPr>
          <w:p w14:paraId="298585D6">
            <w:pPr>
              <w:spacing w:line="240" w:lineRule="auto"/>
              <w:jc w:val="center"/>
              <w:rPr>
                <w:color w:val="000000"/>
                <w:sz w:val="21"/>
              </w:rPr>
            </w:pPr>
          </w:p>
        </w:tc>
        <w:tc>
          <w:tcPr>
            <w:tcW w:w="966" w:type="pct"/>
            <w:tcBorders>
              <w:left w:val="single" w:color="auto" w:sz="4" w:space="0"/>
            </w:tcBorders>
            <w:vAlign w:val="center"/>
          </w:tcPr>
          <w:p w14:paraId="7F302504">
            <w:pPr>
              <w:spacing w:line="240" w:lineRule="auto"/>
              <w:jc w:val="center"/>
              <w:rPr>
                <w:color w:val="000000"/>
                <w:sz w:val="21"/>
              </w:rPr>
            </w:pPr>
          </w:p>
        </w:tc>
      </w:tr>
      <w:tr w14:paraId="0834A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392" w:type="pct"/>
            <w:vAlign w:val="center"/>
          </w:tcPr>
          <w:p w14:paraId="77076FB6">
            <w:pPr>
              <w:spacing w:line="240" w:lineRule="auto"/>
              <w:jc w:val="center"/>
              <w:rPr>
                <w:color w:val="000000"/>
                <w:sz w:val="21"/>
              </w:rPr>
            </w:pPr>
            <w:r>
              <w:rPr>
                <w:color w:val="000000"/>
                <w:sz w:val="21"/>
              </w:rPr>
              <w:t>1</w:t>
            </w:r>
          </w:p>
        </w:tc>
        <w:tc>
          <w:tcPr>
            <w:tcW w:w="1086" w:type="pct"/>
            <w:vAlign w:val="center"/>
          </w:tcPr>
          <w:p w14:paraId="7F374503">
            <w:pPr>
              <w:spacing w:line="240" w:lineRule="auto"/>
              <w:jc w:val="center"/>
              <w:rPr>
                <w:color w:val="000000"/>
                <w:sz w:val="21"/>
              </w:rPr>
            </w:pPr>
            <w:r>
              <w:rPr>
                <w:color w:val="000000"/>
                <w:sz w:val="21"/>
              </w:rPr>
              <w:t>分子筛</w:t>
            </w:r>
          </w:p>
        </w:tc>
        <w:tc>
          <w:tcPr>
            <w:tcW w:w="681" w:type="pct"/>
            <w:vAlign w:val="center"/>
          </w:tcPr>
          <w:p w14:paraId="3EF3F16A">
            <w:pPr>
              <w:spacing w:line="240" w:lineRule="auto"/>
              <w:jc w:val="center"/>
              <w:rPr>
                <w:color w:val="000000"/>
                <w:sz w:val="21"/>
              </w:rPr>
            </w:pPr>
            <w:r>
              <w:rPr>
                <w:color w:val="000000"/>
                <w:sz w:val="21"/>
              </w:rPr>
              <w:t>t/a</w:t>
            </w:r>
          </w:p>
        </w:tc>
        <w:tc>
          <w:tcPr>
            <w:tcW w:w="930" w:type="pct"/>
            <w:vAlign w:val="center"/>
          </w:tcPr>
          <w:p w14:paraId="26FA95AA">
            <w:pPr>
              <w:spacing w:line="240" w:lineRule="auto"/>
              <w:jc w:val="center"/>
              <w:rPr>
                <w:color w:val="000000"/>
                <w:sz w:val="21"/>
              </w:rPr>
            </w:pPr>
            <w:r>
              <w:rPr>
                <w:color w:val="000000"/>
                <w:sz w:val="21"/>
              </w:rPr>
              <w:t>5.25</w:t>
            </w:r>
          </w:p>
        </w:tc>
        <w:tc>
          <w:tcPr>
            <w:tcW w:w="942" w:type="pct"/>
            <w:vAlign w:val="center"/>
          </w:tcPr>
          <w:p w14:paraId="2756962D">
            <w:pPr>
              <w:spacing w:line="240" w:lineRule="auto"/>
              <w:jc w:val="center"/>
              <w:rPr>
                <w:color w:val="000000"/>
                <w:sz w:val="21"/>
              </w:rPr>
            </w:pPr>
            <w:r>
              <w:rPr>
                <w:color w:val="000000"/>
                <w:sz w:val="21"/>
              </w:rPr>
              <w:t>4A级活性炭（外购）</w:t>
            </w:r>
          </w:p>
        </w:tc>
        <w:tc>
          <w:tcPr>
            <w:tcW w:w="966" w:type="pct"/>
            <w:tcBorders>
              <w:left w:val="single" w:color="auto" w:sz="4" w:space="0"/>
            </w:tcBorders>
            <w:vAlign w:val="center"/>
          </w:tcPr>
          <w:p w14:paraId="05EBE20F">
            <w:pPr>
              <w:spacing w:line="240" w:lineRule="auto"/>
              <w:jc w:val="center"/>
              <w:rPr>
                <w:color w:val="000000"/>
                <w:sz w:val="21"/>
              </w:rPr>
            </w:pPr>
            <w:r>
              <w:rPr>
                <w:color w:val="000000"/>
                <w:sz w:val="21"/>
              </w:rPr>
              <w:t>1次投入21，4年更换一次</w:t>
            </w:r>
          </w:p>
        </w:tc>
      </w:tr>
      <w:tr w14:paraId="021FA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392" w:type="pct"/>
            <w:vAlign w:val="center"/>
          </w:tcPr>
          <w:p w14:paraId="1AB02981">
            <w:pPr>
              <w:spacing w:line="240" w:lineRule="auto"/>
              <w:jc w:val="center"/>
              <w:rPr>
                <w:color w:val="000000"/>
                <w:sz w:val="21"/>
              </w:rPr>
            </w:pPr>
            <w:r>
              <w:rPr>
                <w:color w:val="000000"/>
                <w:sz w:val="21"/>
              </w:rPr>
              <w:t>2</w:t>
            </w:r>
          </w:p>
        </w:tc>
        <w:tc>
          <w:tcPr>
            <w:tcW w:w="1086" w:type="pct"/>
            <w:vAlign w:val="center"/>
          </w:tcPr>
          <w:p w14:paraId="41604C73">
            <w:pPr>
              <w:spacing w:line="240" w:lineRule="auto"/>
              <w:jc w:val="center"/>
              <w:rPr>
                <w:color w:val="000000"/>
                <w:sz w:val="21"/>
              </w:rPr>
            </w:pPr>
            <w:r>
              <w:rPr>
                <w:color w:val="000000"/>
                <w:sz w:val="21"/>
              </w:rPr>
              <w:t>活性炭吸附剂（脱汞）</w:t>
            </w:r>
          </w:p>
        </w:tc>
        <w:tc>
          <w:tcPr>
            <w:tcW w:w="681" w:type="pct"/>
            <w:vAlign w:val="center"/>
          </w:tcPr>
          <w:p w14:paraId="379112B2">
            <w:pPr>
              <w:spacing w:line="240" w:lineRule="auto"/>
              <w:jc w:val="center"/>
              <w:rPr>
                <w:color w:val="000000"/>
                <w:sz w:val="21"/>
              </w:rPr>
            </w:pPr>
            <w:r>
              <w:rPr>
                <w:color w:val="000000"/>
                <w:sz w:val="21"/>
              </w:rPr>
              <w:t>t/a</w:t>
            </w:r>
          </w:p>
        </w:tc>
        <w:tc>
          <w:tcPr>
            <w:tcW w:w="930" w:type="pct"/>
            <w:vAlign w:val="center"/>
          </w:tcPr>
          <w:p w14:paraId="5F9B369A">
            <w:pPr>
              <w:spacing w:line="240" w:lineRule="auto"/>
              <w:jc w:val="center"/>
              <w:rPr>
                <w:color w:val="000000"/>
                <w:sz w:val="21"/>
              </w:rPr>
            </w:pPr>
            <w:r>
              <w:rPr>
                <w:color w:val="000000"/>
                <w:sz w:val="21"/>
              </w:rPr>
              <w:t>1</w:t>
            </w:r>
          </w:p>
        </w:tc>
        <w:tc>
          <w:tcPr>
            <w:tcW w:w="942" w:type="pct"/>
            <w:vAlign w:val="center"/>
          </w:tcPr>
          <w:p w14:paraId="56778DA8">
            <w:pPr>
              <w:spacing w:line="240" w:lineRule="auto"/>
              <w:jc w:val="center"/>
              <w:rPr>
                <w:color w:val="000000"/>
                <w:sz w:val="21"/>
              </w:rPr>
            </w:pPr>
            <w:r>
              <w:rPr>
                <w:color w:val="000000"/>
                <w:sz w:val="21"/>
              </w:rPr>
              <w:t>（外购）</w:t>
            </w:r>
          </w:p>
        </w:tc>
        <w:tc>
          <w:tcPr>
            <w:tcW w:w="966" w:type="pct"/>
            <w:tcBorders>
              <w:left w:val="single" w:color="auto" w:sz="4" w:space="0"/>
            </w:tcBorders>
            <w:vAlign w:val="center"/>
          </w:tcPr>
          <w:p w14:paraId="4D66EFE5">
            <w:pPr>
              <w:spacing w:line="240" w:lineRule="auto"/>
              <w:jc w:val="center"/>
              <w:rPr>
                <w:color w:val="000000"/>
                <w:sz w:val="21"/>
              </w:rPr>
            </w:pPr>
            <w:r>
              <w:rPr>
                <w:color w:val="000000"/>
                <w:sz w:val="21"/>
              </w:rPr>
              <w:t>1次投入4t，4年更换1次</w:t>
            </w:r>
          </w:p>
        </w:tc>
      </w:tr>
      <w:tr w14:paraId="21BAD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392" w:type="pct"/>
            <w:vAlign w:val="center"/>
          </w:tcPr>
          <w:p w14:paraId="76FBE8E5">
            <w:pPr>
              <w:spacing w:line="240" w:lineRule="auto"/>
              <w:jc w:val="center"/>
              <w:rPr>
                <w:color w:val="000000"/>
                <w:sz w:val="21"/>
              </w:rPr>
            </w:pPr>
            <w:r>
              <w:rPr>
                <w:color w:val="000000"/>
                <w:sz w:val="21"/>
              </w:rPr>
              <w:t>3</w:t>
            </w:r>
          </w:p>
        </w:tc>
        <w:tc>
          <w:tcPr>
            <w:tcW w:w="1086" w:type="pct"/>
            <w:vAlign w:val="center"/>
          </w:tcPr>
          <w:p w14:paraId="48F68AAD">
            <w:pPr>
              <w:spacing w:line="240" w:lineRule="auto"/>
              <w:jc w:val="center"/>
              <w:rPr>
                <w:color w:val="000000"/>
                <w:sz w:val="21"/>
              </w:rPr>
            </w:pPr>
            <w:r>
              <w:rPr>
                <w:color w:val="000000"/>
                <w:sz w:val="21"/>
              </w:rPr>
              <w:t>MDEA（N-甲基二乙醇胺）</w:t>
            </w:r>
          </w:p>
        </w:tc>
        <w:tc>
          <w:tcPr>
            <w:tcW w:w="681" w:type="pct"/>
            <w:vAlign w:val="center"/>
          </w:tcPr>
          <w:p w14:paraId="31802A1E">
            <w:pPr>
              <w:spacing w:line="240" w:lineRule="auto"/>
              <w:jc w:val="center"/>
              <w:rPr>
                <w:color w:val="000000"/>
                <w:sz w:val="21"/>
              </w:rPr>
            </w:pPr>
            <w:r>
              <w:rPr>
                <w:color w:val="000000"/>
                <w:sz w:val="21"/>
              </w:rPr>
              <w:t>t/a</w:t>
            </w:r>
          </w:p>
        </w:tc>
        <w:tc>
          <w:tcPr>
            <w:tcW w:w="930" w:type="pct"/>
            <w:vAlign w:val="center"/>
          </w:tcPr>
          <w:p w14:paraId="0D4ED556">
            <w:pPr>
              <w:spacing w:line="240" w:lineRule="auto"/>
              <w:jc w:val="center"/>
              <w:rPr>
                <w:color w:val="000000"/>
                <w:sz w:val="21"/>
              </w:rPr>
            </w:pPr>
            <w:r>
              <w:rPr>
                <w:color w:val="000000"/>
                <w:sz w:val="21"/>
              </w:rPr>
              <w:t>1</w:t>
            </w:r>
          </w:p>
        </w:tc>
        <w:tc>
          <w:tcPr>
            <w:tcW w:w="942" w:type="pct"/>
            <w:vAlign w:val="center"/>
          </w:tcPr>
          <w:p w14:paraId="43A61DF2">
            <w:pPr>
              <w:spacing w:line="240" w:lineRule="auto"/>
              <w:jc w:val="center"/>
              <w:rPr>
                <w:color w:val="000000"/>
                <w:sz w:val="21"/>
              </w:rPr>
            </w:pPr>
            <w:r>
              <w:rPr>
                <w:color w:val="000000"/>
                <w:sz w:val="21"/>
              </w:rPr>
              <w:t>（外购）</w:t>
            </w:r>
          </w:p>
        </w:tc>
        <w:tc>
          <w:tcPr>
            <w:tcW w:w="966" w:type="pct"/>
            <w:tcBorders>
              <w:left w:val="single" w:color="auto" w:sz="4" w:space="0"/>
            </w:tcBorders>
            <w:vAlign w:val="center"/>
          </w:tcPr>
          <w:p w14:paraId="7B18BB59">
            <w:pPr>
              <w:spacing w:line="240" w:lineRule="auto"/>
              <w:jc w:val="center"/>
              <w:rPr>
                <w:color w:val="000000"/>
                <w:sz w:val="21"/>
              </w:rPr>
            </w:pPr>
            <w:r>
              <w:rPr>
                <w:color w:val="000000"/>
                <w:sz w:val="21"/>
              </w:rPr>
              <w:t>一次性投入10t，8年全部更换一次。使用过程中由于取样及其他损耗，1年加1t（以纯MDEA计）。</w:t>
            </w:r>
          </w:p>
        </w:tc>
      </w:tr>
      <w:tr w14:paraId="491DA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392" w:type="pct"/>
            <w:vAlign w:val="center"/>
          </w:tcPr>
          <w:p w14:paraId="76C65BC2">
            <w:pPr>
              <w:spacing w:line="240" w:lineRule="auto"/>
              <w:jc w:val="center"/>
              <w:rPr>
                <w:color w:val="000000"/>
                <w:sz w:val="21"/>
              </w:rPr>
            </w:pPr>
            <w:r>
              <w:rPr>
                <w:color w:val="000000"/>
                <w:sz w:val="21"/>
              </w:rPr>
              <w:t>4</w:t>
            </w:r>
          </w:p>
        </w:tc>
        <w:tc>
          <w:tcPr>
            <w:tcW w:w="1086" w:type="pct"/>
            <w:vAlign w:val="center"/>
          </w:tcPr>
          <w:p w14:paraId="30F72956">
            <w:pPr>
              <w:spacing w:line="240" w:lineRule="auto"/>
              <w:jc w:val="center"/>
              <w:rPr>
                <w:color w:val="000000"/>
                <w:sz w:val="21"/>
              </w:rPr>
            </w:pPr>
            <w:r>
              <w:rPr>
                <w:color w:val="000000"/>
                <w:sz w:val="21"/>
              </w:rPr>
              <w:t>乙烯（制冷剂）</w:t>
            </w:r>
          </w:p>
        </w:tc>
        <w:tc>
          <w:tcPr>
            <w:tcW w:w="681" w:type="pct"/>
            <w:vAlign w:val="center"/>
          </w:tcPr>
          <w:p w14:paraId="58B715FC">
            <w:pPr>
              <w:spacing w:line="240" w:lineRule="auto"/>
              <w:jc w:val="center"/>
              <w:rPr>
                <w:color w:val="000000"/>
                <w:sz w:val="21"/>
              </w:rPr>
            </w:pPr>
            <w:r>
              <w:rPr>
                <w:color w:val="000000"/>
                <w:sz w:val="21"/>
              </w:rPr>
              <w:t>t/a</w:t>
            </w:r>
          </w:p>
        </w:tc>
        <w:tc>
          <w:tcPr>
            <w:tcW w:w="930" w:type="pct"/>
            <w:vAlign w:val="center"/>
          </w:tcPr>
          <w:p w14:paraId="6B0EFFE1">
            <w:pPr>
              <w:spacing w:line="240" w:lineRule="auto"/>
              <w:jc w:val="center"/>
              <w:rPr>
                <w:color w:val="000000"/>
                <w:sz w:val="21"/>
              </w:rPr>
            </w:pPr>
            <w:r>
              <w:rPr>
                <w:color w:val="000000"/>
                <w:sz w:val="21"/>
              </w:rPr>
              <w:t>20</w:t>
            </w:r>
          </w:p>
        </w:tc>
        <w:tc>
          <w:tcPr>
            <w:tcW w:w="942" w:type="pct"/>
            <w:vAlign w:val="center"/>
          </w:tcPr>
          <w:p w14:paraId="207F043B">
            <w:pPr>
              <w:spacing w:line="240" w:lineRule="auto"/>
              <w:jc w:val="center"/>
              <w:rPr>
                <w:color w:val="000000"/>
                <w:sz w:val="21"/>
              </w:rPr>
            </w:pPr>
            <w:r>
              <w:rPr>
                <w:color w:val="000000"/>
                <w:sz w:val="21"/>
              </w:rPr>
              <w:t>工业级（外购）</w:t>
            </w:r>
          </w:p>
        </w:tc>
        <w:tc>
          <w:tcPr>
            <w:tcW w:w="966" w:type="pct"/>
            <w:tcBorders>
              <w:left w:val="single" w:color="auto" w:sz="4" w:space="0"/>
            </w:tcBorders>
            <w:vAlign w:val="center"/>
          </w:tcPr>
          <w:p w14:paraId="7BA7E1FC">
            <w:pPr>
              <w:spacing w:line="240" w:lineRule="auto"/>
              <w:jc w:val="center"/>
              <w:rPr>
                <w:color w:val="000000"/>
                <w:sz w:val="21"/>
              </w:rPr>
            </w:pPr>
          </w:p>
        </w:tc>
      </w:tr>
      <w:tr w14:paraId="4A68D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392" w:type="pct"/>
            <w:vAlign w:val="center"/>
          </w:tcPr>
          <w:p w14:paraId="6E65DA5F">
            <w:pPr>
              <w:spacing w:line="240" w:lineRule="auto"/>
              <w:jc w:val="center"/>
              <w:rPr>
                <w:color w:val="000000"/>
                <w:sz w:val="21"/>
              </w:rPr>
            </w:pPr>
            <w:r>
              <w:rPr>
                <w:color w:val="000000"/>
                <w:sz w:val="21"/>
              </w:rPr>
              <w:t>5</w:t>
            </w:r>
          </w:p>
        </w:tc>
        <w:tc>
          <w:tcPr>
            <w:tcW w:w="1086" w:type="pct"/>
            <w:vAlign w:val="center"/>
          </w:tcPr>
          <w:p w14:paraId="25121CE1">
            <w:pPr>
              <w:spacing w:line="240" w:lineRule="auto"/>
              <w:jc w:val="center"/>
              <w:rPr>
                <w:color w:val="000000"/>
                <w:sz w:val="21"/>
              </w:rPr>
            </w:pPr>
            <w:r>
              <w:rPr>
                <w:color w:val="000000"/>
                <w:sz w:val="21"/>
              </w:rPr>
              <w:t>丙烷（制冷剂）</w:t>
            </w:r>
          </w:p>
        </w:tc>
        <w:tc>
          <w:tcPr>
            <w:tcW w:w="681" w:type="pct"/>
            <w:vAlign w:val="center"/>
          </w:tcPr>
          <w:p w14:paraId="4A483121">
            <w:pPr>
              <w:spacing w:line="240" w:lineRule="auto"/>
              <w:jc w:val="center"/>
              <w:rPr>
                <w:color w:val="000000"/>
                <w:sz w:val="21"/>
              </w:rPr>
            </w:pPr>
            <w:r>
              <w:rPr>
                <w:color w:val="000000"/>
                <w:sz w:val="21"/>
              </w:rPr>
              <w:t>t/a</w:t>
            </w:r>
          </w:p>
        </w:tc>
        <w:tc>
          <w:tcPr>
            <w:tcW w:w="930" w:type="pct"/>
            <w:vAlign w:val="center"/>
          </w:tcPr>
          <w:p w14:paraId="64510C59">
            <w:pPr>
              <w:spacing w:line="240" w:lineRule="auto"/>
              <w:jc w:val="center"/>
              <w:rPr>
                <w:color w:val="000000"/>
                <w:sz w:val="21"/>
              </w:rPr>
            </w:pPr>
            <w:r>
              <w:rPr>
                <w:color w:val="000000"/>
                <w:sz w:val="21"/>
              </w:rPr>
              <w:t>20</w:t>
            </w:r>
          </w:p>
        </w:tc>
        <w:tc>
          <w:tcPr>
            <w:tcW w:w="942" w:type="pct"/>
            <w:vAlign w:val="center"/>
          </w:tcPr>
          <w:p w14:paraId="48FD9B0A">
            <w:pPr>
              <w:spacing w:line="240" w:lineRule="auto"/>
              <w:jc w:val="center"/>
              <w:rPr>
                <w:color w:val="000000"/>
                <w:sz w:val="21"/>
              </w:rPr>
            </w:pPr>
            <w:r>
              <w:rPr>
                <w:color w:val="000000"/>
                <w:sz w:val="21"/>
              </w:rPr>
              <w:t>工业级（外购）</w:t>
            </w:r>
          </w:p>
        </w:tc>
        <w:tc>
          <w:tcPr>
            <w:tcW w:w="966" w:type="pct"/>
            <w:tcBorders>
              <w:left w:val="single" w:color="auto" w:sz="4" w:space="0"/>
            </w:tcBorders>
            <w:vAlign w:val="center"/>
          </w:tcPr>
          <w:p w14:paraId="1EBDDD4A">
            <w:pPr>
              <w:spacing w:line="240" w:lineRule="auto"/>
              <w:jc w:val="center"/>
              <w:rPr>
                <w:color w:val="000000"/>
                <w:sz w:val="21"/>
              </w:rPr>
            </w:pPr>
          </w:p>
        </w:tc>
      </w:tr>
      <w:tr w14:paraId="3E073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392" w:type="pct"/>
            <w:vAlign w:val="center"/>
          </w:tcPr>
          <w:p w14:paraId="4881DF9B">
            <w:pPr>
              <w:spacing w:line="240" w:lineRule="auto"/>
              <w:jc w:val="center"/>
              <w:rPr>
                <w:color w:val="000000"/>
                <w:sz w:val="21"/>
              </w:rPr>
            </w:pPr>
            <w:r>
              <w:rPr>
                <w:color w:val="000000"/>
                <w:sz w:val="21"/>
              </w:rPr>
              <w:t>6</w:t>
            </w:r>
          </w:p>
        </w:tc>
        <w:tc>
          <w:tcPr>
            <w:tcW w:w="1086" w:type="pct"/>
            <w:vAlign w:val="center"/>
          </w:tcPr>
          <w:p w14:paraId="20EF8BFF">
            <w:pPr>
              <w:spacing w:line="240" w:lineRule="auto"/>
              <w:jc w:val="center"/>
              <w:rPr>
                <w:color w:val="000000"/>
                <w:sz w:val="21"/>
              </w:rPr>
            </w:pPr>
            <w:r>
              <w:rPr>
                <w:color w:val="000000"/>
                <w:sz w:val="21"/>
              </w:rPr>
              <w:t>异戊烷（制冷剂）</w:t>
            </w:r>
          </w:p>
        </w:tc>
        <w:tc>
          <w:tcPr>
            <w:tcW w:w="681" w:type="pct"/>
            <w:vAlign w:val="center"/>
          </w:tcPr>
          <w:p w14:paraId="3AB28720">
            <w:pPr>
              <w:spacing w:line="240" w:lineRule="auto"/>
              <w:jc w:val="center"/>
              <w:rPr>
                <w:color w:val="000000"/>
                <w:sz w:val="21"/>
              </w:rPr>
            </w:pPr>
            <w:r>
              <w:rPr>
                <w:color w:val="000000"/>
                <w:sz w:val="21"/>
              </w:rPr>
              <w:t>t/a</w:t>
            </w:r>
          </w:p>
        </w:tc>
        <w:tc>
          <w:tcPr>
            <w:tcW w:w="930" w:type="pct"/>
            <w:vAlign w:val="center"/>
          </w:tcPr>
          <w:p w14:paraId="0B02392B">
            <w:pPr>
              <w:spacing w:line="240" w:lineRule="auto"/>
              <w:jc w:val="center"/>
              <w:rPr>
                <w:color w:val="000000"/>
                <w:sz w:val="21"/>
              </w:rPr>
            </w:pPr>
            <w:r>
              <w:rPr>
                <w:color w:val="000000"/>
                <w:sz w:val="21"/>
              </w:rPr>
              <w:t>25</w:t>
            </w:r>
          </w:p>
        </w:tc>
        <w:tc>
          <w:tcPr>
            <w:tcW w:w="942" w:type="pct"/>
            <w:vAlign w:val="center"/>
          </w:tcPr>
          <w:p w14:paraId="253ADD23">
            <w:pPr>
              <w:spacing w:line="240" w:lineRule="auto"/>
              <w:jc w:val="center"/>
              <w:rPr>
                <w:color w:val="000000"/>
                <w:sz w:val="21"/>
              </w:rPr>
            </w:pPr>
            <w:r>
              <w:rPr>
                <w:color w:val="000000"/>
                <w:sz w:val="21"/>
              </w:rPr>
              <w:t>工业级（外购）</w:t>
            </w:r>
          </w:p>
        </w:tc>
        <w:tc>
          <w:tcPr>
            <w:tcW w:w="966" w:type="pct"/>
            <w:tcBorders>
              <w:left w:val="single" w:color="auto" w:sz="4" w:space="0"/>
            </w:tcBorders>
            <w:vAlign w:val="center"/>
          </w:tcPr>
          <w:p w14:paraId="2475902D">
            <w:pPr>
              <w:spacing w:line="240" w:lineRule="auto"/>
              <w:jc w:val="center"/>
              <w:rPr>
                <w:color w:val="000000"/>
                <w:sz w:val="21"/>
              </w:rPr>
            </w:pPr>
          </w:p>
        </w:tc>
      </w:tr>
      <w:tr w14:paraId="242D0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392" w:type="pct"/>
            <w:vAlign w:val="center"/>
          </w:tcPr>
          <w:p w14:paraId="01C08B29">
            <w:pPr>
              <w:spacing w:line="240" w:lineRule="auto"/>
              <w:jc w:val="center"/>
              <w:rPr>
                <w:color w:val="000000"/>
                <w:sz w:val="21"/>
              </w:rPr>
            </w:pPr>
            <w:r>
              <w:rPr>
                <w:color w:val="000000"/>
                <w:sz w:val="21"/>
              </w:rPr>
              <w:t>7</w:t>
            </w:r>
          </w:p>
        </w:tc>
        <w:tc>
          <w:tcPr>
            <w:tcW w:w="1086" w:type="pct"/>
            <w:vAlign w:val="center"/>
          </w:tcPr>
          <w:p w14:paraId="0F3C8620">
            <w:pPr>
              <w:spacing w:line="240" w:lineRule="auto"/>
              <w:jc w:val="center"/>
              <w:rPr>
                <w:color w:val="000000"/>
                <w:sz w:val="21"/>
              </w:rPr>
            </w:pPr>
            <w:r>
              <w:rPr>
                <w:color w:val="000000"/>
                <w:sz w:val="21"/>
              </w:rPr>
              <w:t>液氮（制冷剂）</w:t>
            </w:r>
          </w:p>
        </w:tc>
        <w:tc>
          <w:tcPr>
            <w:tcW w:w="681" w:type="pct"/>
            <w:vAlign w:val="center"/>
          </w:tcPr>
          <w:p w14:paraId="321875EF">
            <w:pPr>
              <w:spacing w:line="240" w:lineRule="auto"/>
              <w:jc w:val="center"/>
              <w:rPr>
                <w:color w:val="000000"/>
                <w:sz w:val="21"/>
              </w:rPr>
            </w:pPr>
            <w:r>
              <w:rPr>
                <w:color w:val="000000"/>
                <w:sz w:val="21"/>
              </w:rPr>
              <w:t>m</w:t>
            </w:r>
            <w:r>
              <w:rPr>
                <w:color w:val="000000"/>
                <w:sz w:val="21"/>
                <w:vertAlign w:val="superscript"/>
              </w:rPr>
              <w:t>3</w:t>
            </w:r>
            <w:r>
              <w:rPr>
                <w:color w:val="000000"/>
                <w:sz w:val="21"/>
              </w:rPr>
              <w:t>/a</w:t>
            </w:r>
          </w:p>
        </w:tc>
        <w:tc>
          <w:tcPr>
            <w:tcW w:w="930" w:type="pct"/>
            <w:vAlign w:val="center"/>
          </w:tcPr>
          <w:p w14:paraId="3A61E80C">
            <w:pPr>
              <w:spacing w:line="240" w:lineRule="auto"/>
              <w:jc w:val="center"/>
              <w:rPr>
                <w:color w:val="000000"/>
                <w:sz w:val="21"/>
              </w:rPr>
            </w:pPr>
            <w:r>
              <w:rPr>
                <w:color w:val="000000"/>
                <w:sz w:val="21"/>
              </w:rPr>
              <w:t>4.8×10</w:t>
            </w:r>
            <w:r>
              <w:rPr>
                <w:color w:val="000000"/>
                <w:sz w:val="21"/>
                <w:vertAlign w:val="superscript"/>
              </w:rPr>
              <w:t>4</w:t>
            </w:r>
          </w:p>
        </w:tc>
        <w:tc>
          <w:tcPr>
            <w:tcW w:w="942" w:type="pct"/>
            <w:vAlign w:val="center"/>
          </w:tcPr>
          <w:p w14:paraId="79731A69">
            <w:pPr>
              <w:spacing w:line="240" w:lineRule="auto"/>
              <w:jc w:val="center"/>
              <w:rPr>
                <w:color w:val="000000"/>
                <w:sz w:val="21"/>
              </w:rPr>
            </w:pPr>
          </w:p>
        </w:tc>
        <w:tc>
          <w:tcPr>
            <w:tcW w:w="966" w:type="pct"/>
            <w:tcBorders>
              <w:left w:val="single" w:color="auto" w:sz="4" w:space="0"/>
            </w:tcBorders>
            <w:vAlign w:val="center"/>
          </w:tcPr>
          <w:p w14:paraId="792B72AF">
            <w:pPr>
              <w:spacing w:line="240" w:lineRule="auto"/>
              <w:jc w:val="center"/>
              <w:rPr>
                <w:color w:val="000000"/>
                <w:sz w:val="21"/>
              </w:rPr>
            </w:pPr>
          </w:p>
        </w:tc>
      </w:tr>
      <w:tr w14:paraId="307238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392" w:type="pct"/>
            <w:vAlign w:val="center"/>
          </w:tcPr>
          <w:p w14:paraId="35E1AC10">
            <w:pPr>
              <w:spacing w:line="240" w:lineRule="auto"/>
              <w:jc w:val="center"/>
              <w:rPr>
                <w:color w:val="000000"/>
                <w:sz w:val="21"/>
              </w:rPr>
            </w:pPr>
            <w:r>
              <w:rPr>
                <w:color w:val="000000"/>
                <w:sz w:val="21"/>
              </w:rPr>
              <w:t>三</w:t>
            </w:r>
          </w:p>
        </w:tc>
        <w:tc>
          <w:tcPr>
            <w:tcW w:w="1086" w:type="pct"/>
            <w:vAlign w:val="center"/>
          </w:tcPr>
          <w:p w14:paraId="6AF2C048">
            <w:pPr>
              <w:spacing w:line="240" w:lineRule="auto"/>
              <w:jc w:val="center"/>
              <w:rPr>
                <w:color w:val="000000"/>
                <w:sz w:val="21"/>
              </w:rPr>
            </w:pPr>
            <w:r>
              <w:rPr>
                <w:color w:val="000000"/>
                <w:sz w:val="21"/>
              </w:rPr>
              <w:t>公用介质消耗</w:t>
            </w:r>
          </w:p>
        </w:tc>
        <w:tc>
          <w:tcPr>
            <w:tcW w:w="681" w:type="pct"/>
            <w:vAlign w:val="center"/>
          </w:tcPr>
          <w:p w14:paraId="678859D8">
            <w:pPr>
              <w:spacing w:line="240" w:lineRule="auto"/>
              <w:jc w:val="center"/>
              <w:rPr>
                <w:color w:val="000000"/>
                <w:sz w:val="21"/>
              </w:rPr>
            </w:pPr>
          </w:p>
        </w:tc>
        <w:tc>
          <w:tcPr>
            <w:tcW w:w="930" w:type="pct"/>
            <w:vAlign w:val="center"/>
          </w:tcPr>
          <w:p w14:paraId="5EFBE890">
            <w:pPr>
              <w:spacing w:line="240" w:lineRule="auto"/>
              <w:jc w:val="center"/>
              <w:rPr>
                <w:color w:val="000000"/>
                <w:sz w:val="21"/>
              </w:rPr>
            </w:pPr>
          </w:p>
        </w:tc>
        <w:tc>
          <w:tcPr>
            <w:tcW w:w="942" w:type="pct"/>
            <w:vAlign w:val="center"/>
          </w:tcPr>
          <w:p w14:paraId="144E34A3">
            <w:pPr>
              <w:spacing w:line="240" w:lineRule="auto"/>
              <w:jc w:val="center"/>
              <w:rPr>
                <w:color w:val="000000"/>
                <w:sz w:val="21"/>
              </w:rPr>
            </w:pPr>
          </w:p>
        </w:tc>
        <w:tc>
          <w:tcPr>
            <w:tcW w:w="966" w:type="pct"/>
            <w:tcBorders>
              <w:left w:val="single" w:color="auto" w:sz="4" w:space="0"/>
            </w:tcBorders>
            <w:vAlign w:val="center"/>
          </w:tcPr>
          <w:p w14:paraId="5279B625">
            <w:pPr>
              <w:spacing w:line="240" w:lineRule="auto"/>
              <w:jc w:val="center"/>
              <w:rPr>
                <w:color w:val="000000"/>
                <w:sz w:val="21"/>
              </w:rPr>
            </w:pPr>
          </w:p>
        </w:tc>
      </w:tr>
      <w:tr w14:paraId="4FD30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392" w:type="pct"/>
            <w:vAlign w:val="center"/>
          </w:tcPr>
          <w:p w14:paraId="24AC43E9">
            <w:pPr>
              <w:spacing w:line="240" w:lineRule="auto"/>
              <w:jc w:val="center"/>
              <w:rPr>
                <w:color w:val="000000"/>
                <w:sz w:val="21"/>
              </w:rPr>
            </w:pPr>
            <w:r>
              <w:rPr>
                <w:color w:val="000000"/>
                <w:sz w:val="21"/>
              </w:rPr>
              <w:t>1</w:t>
            </w:r>
          </w:p>
        </w:tc>
        <w:tc>
          <w:tcPr>
            <w:tcW w:w="1086" w:type="pct"/>
            <w:vAlign w:val="center"/>
          </w:tcPr>
          <w:p w14:paraId="52B58183">
            <w:pPr>
              <w:spacing w:line="240" w:lineRule="auto"/>
              <w:jc w:val="center"/>
              <w:rPr>
                <w:color w:val="000000"/>
                <w:sz w:val="21"/>
              </w:rPr>
            </w:pPr>
            <w:r>
              <w:rPr>
                <w:color w:val="000000"/>
                <w:sz w:val="21"/>
              </w:rPr>
              <w:t>水</w:t>
            </w:r>
          </w:p>
        </w:tc>
        <w:tc>
          <w:tcPr>
            <w:tcW w:w="681" w:type="pct"/>
            <w:vAlign w:val="center"/>
          </w:tcPr>
          <w:p w14:paraId="1C55FD1A">
            <w:pPr>
              <w:spacing w:line="240" w:lineRule="auto"/>
              <w:jc w:val="center"/>
              <w:rPr>
                <w:color w:val="000000"/>
                <w:sz w:val="21"/>
              </w:rPr>
            </w:pPr>
            <w:r>
              <w:rPr>
                <w:color w:val="000000"/>
                <w:sz w:val="21"/>
              </w:rPr>
              <w:t>m</w:t>
            </w:r>
            <w:r>
              <w:rPr>
                <w:color w:val="000000"/>
                <w:sz w:val="21"/>
                <w:vertAlign w:val="superscript"/>
              </w:rPr>
              <w:t>3</w:t>
            </w:r>
          </w:p>
        </w:tc>
        <w:tc>
          <w:tcPr>
            <w:tcW w:w="930" w:type="pct"/>
            <w:vAlign w:val="center"/>
          </w:tcPr>
          <w:p w14:paraId="476800A7">
            <w:pPr>
              <w:spacing w:line="240" w:lineRule="auto"/>
              <w:jc w:val="center"/>
              <w:rPr>
                <w:color w:val="000000"/>
                <w:sz w:val="21"/>
              </w:rPr>
            </w:pPr>
            <w:r>
              <w:rPr>
                <w:color w:val="000000"/>
                <w:sz w:val="21"/>
              </w:rPr>
              <w:t>23935.6</w:t>
            </w:r>
          </w:p>
        </w:tc>
        <w:tc>
          <w:tcPr>
            <w:tcW w:w="942" w:type="pct"/>
            <w:vAlign w:val="center"/>
          </w:tcPr>
          <w:p w14:paraId="44E567CF">
            <w:pPr>
              <w:spacing w:line="240" w:lineRule="auto"/>
              <w:jc w:val="center"/>
              <w:rPr>
                <w:color w:val="000000"/>
                <w:sz w:val="21"/>
              </w:rPr>
            </w:pPr>
          </w:p>
        </w:tc>
        <w:tc>
          <w:tcPr>
            <w:tcW w:w="966" w:type="pct"/>
            <w:tcBorders>
              <w:left w:val="single" w:color="auto" w:sz="4" w:space="0"/>
            </w:tcBorders>
            <w:vAlign w:val="center"/>
          </w:tcPr>
          <w:p w14:paraId="39AF4144">
            <w:pPr>
              <w:spacing w:line="240" w:lineRule="auto"/>
              <w:jc w:val="center"/>
              <w:rPr>
                <w:color w:val="000000"/>
                <w:sz w:val="21"/>
              </w:rPr>
            </w:pPr>
          </w:p>
        </w:tc>
      </w:tr>
      <w:tr w14:paraId="13253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392" w:type="pct"/>
            <w:vAlign w:val="center"/>
          </w:tcPr>
          <w:p w14:paraId="17CB7876">
            <w:pPr>
              <w:spacing w:line="240" w:lineRule="auto"/>
              <w:jc w:val="center"/>
              <w:rPr>
                <w:color w:val="000000"/>
                <w:sz w:val="21"/>
              </w:rPr>
            </w:pPr>
            <w:r>
              <w:rPr>
                <w:color w:val="000000"/>
                <w:sz w:val="21"/>
              </w:rPr>
              <w:t>2</w:t>
            </w:r>
          </w:p>
        </w:tc>
        <w:tc>
          <w:tcPr>
            <w:tcW w:w="1086" w:type="pct"/>
            <w:vAlign w:val="center"/>
          </w:tcPr>
          <w:p w14:paraId="7D4E0F6E">
            <w:pPr>
              <w:spacing w:line="240" w:lineRule="auto"/>
              <w:jc w:val="center"/>
              <w:rPr>
                <w:color w:val="000000"/>
                <w:sz w:val="21"/>
              </w:rPr>
            </w:pPr>
            <w:r>
              <w:rPr>
                <w:color w:val="000000"/>
                <w:sz w:val="21"/>
              </w:rPr>
              <w:t>脱盐水</w:t>
            </w:r>
          </w:p>
        </w:tc>
        <w:tc>
          <w:tcPr>
            <w:tcW w:w="681" w:type="pct"/>
            <w:vAlign w:val="center"/>
          </w:tcPr>
          <w:p w14:paraId="3C464553">
            <w:pPr>
              <w:spacing w:line="240" w:lineRule="auto"/>
              <w:jc w:val="center"/>
              <w:rPr>
                <w:color w:val="000000"/>
                <w:sz w:val="21"/>
              </w:rPr>
            </w:pPr>
            <w:r>
              <w:rPr>
                <w:color w:val="000000"/>
                <w:sz w:val="21"/>
              </w:rPr>
              <w:t>m</w:t>
            </w:r>
            <w:r>
              <w:rPr>
                <w:color w:val="000000"/>
                <w:sz w:val="21"/>
                <w:vertAlign w:val="superscript"/>
              </w:rPr>
              <w:t>3</w:t>
            </w:r>
          </w:p>
        </w:tc>
        <w:tc>
          <w:tcPr>
            <w:tcW w:w="930" w:type="pct"/>
            <w:vAlign w:val="center"/>
          </w:tcPr>
          <w:p w14:paraId="739A5A12">
            <w:pPr>
              <w:spacing w:line="240" w:lineRule="auto"/>
              <w:jc w:val="center"/>
              <w:rPr>
                <w:color w:val="000000"/>
                <w:sz w:val="21"/>
              </w:rPr>
            </w:pPr>
            <w:r>
              <w:rPr>
                <w:color w:val="000000"/>
                <w:sz w:val="21"/>
              </w:rPr>
              <w:t>730</w:t>
            </w:r>
          </w:p>
        </w:tc>
        <w:tc>
          <w:tcPr>
            <w:tcW w:w="942" w:type="pct"/>
            <w:vAlign w:val="center"/>
          </w:tcPr>
          <w:p w14:paraId="20C9C0D4">
            <w:pPr>
              <w:spacing w:line="240" w:lineRule="auto"/>
              <w:jc w:val="center"/>
              <w:rPr>
                <w:color w:val="000000"/>
                <w:sz w:val="21"/>
              </w:rPr>
            </w:pPr>
            <w:r>
              <w:rPr>
                <w:color w:val="000000"/>
                <w:sz w:val="21"/>
              </w:rPr>
              <w:t>自制</w:t>
            </w:r>
          </w:p>
        </w:tc>
        <w:tc>
          <w:tcPr>
            <w:tcW w:w="966" w:type="pct"/>
            <w:tcBorders>
              <w:left w:val="single" w:color="auto" w:sz="4" w:space="0"/>
            </w:tcBorders>
            <w:vAlign w:val="center"/>
          </w:tcPr>
          <w:p w14:paraId="3684C678">
            <w:pPr>
              <w:spacing w:line="240" w:lineRule="auto"/>
              <w:jc w:val="center"/>
              <w:rPr>
                <w:color w:val="000000"/>
                <w:sz w:val="21"/>
              </w:rPr>
            </w:pPr>
          </w:p>
        </w:tc>
      </w:tr>
      <w:tr w14:paraId="4F553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392" w:type="pct"/>
            <w:vAlign w:val="center"/>
          </w:tcPr>
          <w:p w14:paraId="303F5C41">
            <w:pPr>
              <w:spacing w:line="240" w:lineRule="auto"/>
              <w:jc w:val="center"/>
              <w:rPr>
                <w:color w:val="000000"/>
                <w:sz w:val="21"/>
              </w:rPr>
            </w:pPr>
            <w:r>
              <w:rPr>
                <w:color w:val="000000"/>
                <w:sz w:val="21"/>
              </w:rPr>
              <w:t>3</w:t>
            </w:r>
          </w:p>
        </w:tc>
        <w:tc>
          <w:tcPr>
            <w:tcW w:w="1086" w:type="pct"/>
            <w:vAlign w:val="center"/>
          </w:tcPr>
          <w:p w14:paraId="0E40A7A5">
            <w:pPr>
              <w:spacing w:line="240" w:lineRule="auto"/>
              <w:jc w:val="center"/>
              <w:rPr>
                <w:color w:val="000000"/>
                <w:sz w:val="21"/>
              </w:rPr>
            </w:pPr>
            <w:r>
              <w:rPr>
                <w:color w:val="000000"/>
                <w:sz w:val="21"/>
              </w:rPr>
              <w:t>电</w:t>
            </w:r>
          </w:p>
        </w:tc>
        <w:tc>
          <w:tcPr>
            <w:tcW w:w="681" w:type="pct"/>
            <w:vAlign w:val="center"/>
          </w:tcPr>
          <w:p w14:paraId="63A62A59">
            <w:pPr>
              <w:spacing w:line="240" w:lineRule="auto"/>
              <w:jc w:val="center"/>
              <w:rPr>
                <w:color w:val="000000"/>
                <w:sz w:val="21"/>
              </w:rPr>
            </w:pPr>
            <w:r>
              <w:rPr>
                <w:color w:val="000000"/>
                <w:sz w:val="21"/>
              </w:rPr>
              <w:t>10</w:t>
            </w:r>
            <w:r>
              <w:rPr>
                <w:color w:val="000000"/>
                <w:sz w:val="21"/>
                <w:vertAlign w:val="superscript"/>
              </w:rPr>
              <w:t>7</w:t>
            </w:r>
            <w:r>
              <w:rPr>
                <w:color w:val="000000"/>
                <w:sz w:val="21"/>
              </w:rPr>
              <w:t>kWh</w:t>
            </w:r>
          </w:p>
        </w:tc>
        <w:tc>
          <w:tcPr>
            <w:tcW w:w="930" w:type="pct"/>
            <w:vAlign w:val="center"/>
          </w:tcPr>
          <w:p w14:paraId="54615445">
            <w:pPr>
              <w:spacing w:line="240" w:lineRule="auto"/>
              <w:jc w:val="center"/>
              <w:rPr>
                <w:color w:val="000000"/>
                <w:sz w:val="21"/>
              </w:rPr>
            </w:pPr>
            <w:r>
              <w:rPr>
                <w:color w:val="000000"/>
                <w:sz w:val="21"/>
              </w:rPr>
              <w:t>8.6</w:t>
            </w:r>
          </w:p>
        </w:tc>
        <w:tc>
          <w:tcPr>
            <w:tcW w:w="942" w:type="pct"/>
            <w:vAlign w:val="center"/>
          </w:tcPr>
          <w:p w14:paraId="04D736FA">
            <w:pPr>
              <w:spacing w:line="240" w:lineRule="auto"/>
              <w:ind w:firstLine="420"/>
              <w:jc w:val="center"/>
              <w:rPr>
                <w:color w:val="000000"/>
                <w:sz w:val="21"/>
              </w:rPr>
            </w:pPr>
          </w:p>
        </w:tc>
        <w:tc>
          <w:tcPr>
            <w:tcW w:w="966" w:type="pct"/>
            <w:tcBorders>
              <w:left w:val="single" w:color="auto" w:sz="4" w:space="0"/>
            </w:tcBorders>
            <w:vAlign w:val="center"/>
          </w:tcPr>
          <w:p w14:paraId="69F3BEA8">
            <w:pPr>
              <w:spacing w:line="240" w:lineRule="auto"/>
              <w:ind w:firstLine="420"/>
              <w:jc w:val="center"/>
              <w:rPr>
                <w:color w:val="000000"/>
                <w:sz w:val="21"/>
              </w:rPr>
            </w:pPr>
          </w:p>
        </w:tc>
      </w:tr>
      <w:tr w14:paraId="43706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392" w:type="pct"/>
            <w:vAlign w:val="center"/>
          </w:tcPr>
          <w:p w14:paraId="22A0F947">
            <w:pPr>
              <w:spacing w:line="240" w:lineRule="auto"/>
              <w:jc w:val="center"/>
              <w:rPr>
                <w:color w:val="000000"/>
                <w:sz w:val="21"/>
              </w:rPr>
            </w:pPr>
            <w:r>
              <w:rPr>
                <w:color w:val="000000"/>
                <w:sz w:val="21"/>
              </w:rPr>
              <w:t>4</w:t>
            </w:r>
          </w:p>
        </w:tc>
        <w:tc>
          <w:tcPr>
            <w:tcW w:w="1086" w:type="pct"/>
            <w:vAlign w:val="center"/>
          </w:tcPr>
          <w:p w14:paraId="1259F943">
            <w:pPr>
              <w:spacing w:line="240" w:lineRule="auto"/>
              <w:jc w:val="center"/>
              <w:rPr>
                <w:color w:val="000000"/>
                <w:sz w:val="21"/>
              </w:rPr>
            </w:pPr>
            <w:r>
              <w:rPr>
                <w:color w:val="000000"/>
                <w:sz w:val="21"/>
              </w:rPr>
              <w:t>热媒（导热油）</w:t>
            </w:r>
          </w:p>
        </w:tc>
        <w:tc>
          <w:tcPr>
            <w:tcW w:w="681" w:type="pct"/>
            <w:vAlign w:val="center"/>
          </w:tcPr>
          <w:p w14:paraId="2C0BCD98">
            <w:pPr>
              <w:spacing w:line="240" w:lineRule="auto"/>
              <w:jc w:val="center"/>
              <w:rPr>
                <w:color w:val="000000"/>
                <w:sz w:val="21"/>
              </w:rPr>
            </w:pPr>
            <w:r>
              <w:rPr>
                <w:color w:val="000000"/>
                <w:sz w:val="21"/>
              </w:rPr>
              <w:t>t/a</w:t>
            </w:r>
          </w:p>
        </w:tc>
        <w:tc>
          <w:tcPr>
            <w:tcW w:w="930" w:type="pct"/>
            <w:vAlign w:val="center"/>
          </w:tcPr>
          <w:p w14:paraId="0B632A2C">
            <w:pPr>
              <w:spacing w:line="240" w:lineRule="auto"/>
              <w:jc w:val="center"/>
              <w:rPr>
                <w:color w:val="000000"/>
                <w:sz w:val="21"/>
              </w:rPr>
            </w:pPr>
            <w:r>
              <w:rPr>
                <w:color w:val="000000"/>
                <w:sz w:val="21"/>
              </w:rPr>
              <w:t>2</w:t>
            </w:r>
          </w:p>
        </w:tc>
        <w:tc>
          <w:tcPr>
            <w:tcW w:w="942" w:type="pct"/>
            <w:vAlign w:val="center"/>
          </w:tcPr>
          <w:p w14:paraId="71971381">
            <w:pPr>
              <w:spacing w:line="240" w:lineRule="auto"/>
              <w:jc w:val="center"/>
              <w:rPr>
                <w:color w:val="000000"/>
                <w:sz w:val="21"/>
              </w:rPr>
            </w:pPr>
            <w:r>
              <w:rPr>
                <w:color w:val="000000"/>
                <w:sz w:val="21"/>
              </w:rPr>
              <w:t>（外购）</w:t>
            </w:r>
          </w:p>
        </w:tc>
        <w:tc>
          <w:tcPr>
            <w:tcW w:w="966" w:type="pct"/>
            <w:tcBorders>
              <w:left w:val="single" w:color="auto" w:sz="4" w:space="0"/>
            </w:tcBorders>
            <w:vAlign w:val="center"/>
          </w:tcPr>
          <w:p w14:paraId="278399EB">
            <w:pPr>
              <w:spacing w:line="240" w:lineRule="auto"/>
              <w:jc w:val="center"/>
              <w:rPr>
                <w:color w:val="000000"/>
                <w:sz w:val="21"/>
              </w:rPr>
            </w:pPr>
            <w:r>
              <w:rPr>
                <w:color w:val="000000"/>
                <w:sz w:val="21"/>
              </w:rPr>
              <w:t>1次性加入21t</w:t>
            </w:r>
          </w:p>
        </w:tc>
      </w:tr>
    </w:tbl>
    <w:p w14:paraId="6521784C">
      <w:pPr>
        <w:pStyle w:val="771"/>
        <w:rPr>
          <w:b/>
          <w:bCs w:val="0"/>
          <w:color w:val="000000"/>
        </w:rPr>
      </w:pPr>
      <w:r>
        <w:rPr>
          <w:b/>
          <w:bCs w:val="0"/>
          <w:color w:val="000000"/>
        </w:rPr>
        <w:t>2.2.8平面布置</w:t>
      </w:r>
    </w:p>
    <w:p w14:paraId="63AAA40D">
      <w:pPr>
        <w:pStyle w:val="68"/>
        <w:spacing w:before="0" w:beforeAutospacing="0" w:after="0" w:afterAutospacing="0" w:line="360" w:lineRule="auto"/>
        <w:ind w:firstLine="480" w:firstLineChars="200"/>
        <w:rPr>
          <w:rFonts w:ascii="Times New Roman" w:hAnsi="Times New Roman"/>
          <w:bCs/>
          <w:color w:val="000000"/>
        </w:rPr>
      </w:pPr>
      <w:r>
        <w:rPr>
          <w:rFonts w:ascii="Times New Roman" w:hAnsi="Times New Roman"/>
          <w:bCs/>
          <w:color w:val="000000"/>
        </w:rPr>
        <w:t>LNG工厂位于园区中部扩展区内，其西侧与聚立信生物农药项目和重庆新联峰实业有限公司隔路相对、南侧为华峰氨纶厂区、北侧为龙冉能源LNG厂区，东侧为园区规划用地。</w:t>
      </w:r>
    </w:p>
    <w:p w14:paraId="746ECBA0">
      <w:pPr>
        <w:pStyle w:val="68"/>
        <w:spacing w:before="0" w:beforeAutospacing="0" w:after="0" w:afterAutospacing="0" w:line="360" w:lineRule="auto"/>
        <w:ind w:firstLine="480" w:firstLineChars="200"/>
        <w:rPr>
          <w:rFonts w:ascii="Times New Roman" w:hAnsi="Times New Roman"/>
          <w:color w:val="000000"/>
        </w:rPr>
      </w:pPr>
      <w:r>
        <w:rPr>
          <w:rFonts w:ascii="Times New Roman" w:hAnsi="Times New Roman"/>
          <w:bCs/>
          <w:color w:val="000000"/>
        </w:rPr>
        <w:t>现有LNG工厂生产区布置厂区中北部，西侧为空压站、循环水场及消防水泵站，再往西为中央控制室、变电所；综合楼位于厂区西北角，装卸区布置在厂区西南侧，紧邻园区公路；LNG储罐布置在装卸区东侧；厂区东侧为二期预留用地。火炬则布置厂区东北侧约181m。</w:t>
      </w:r>
    </w:p>
    <w:p w14:paraId="5FE92D3B">
      <w:pPr>
        <w:pStyle w:val="770"/>
        <w:rPr>
          <w:bCs w:val="0"/>
          <w:color w:val="000000"/>
        </w:rPr>
      </w:pPr>
      <w:bookmarkStart w:id="199" w:name="_Toc11941"/>
      <w:r>
        <w:rPr>
          <w:bCs w:val="0"/>
          <w:color w:val="000000"/>
        </w:rPr>
        <w:t>2.3现有工程生产工艺及产排污情况</w:t>
      </w:r>
      <w:bookmarkEnd w:id="199"/>
    </w:p>
    <w:p w14:paraId="691D84E7">
      <w:pPr>
        <w:pStyle w:val="771"/>
        <w:rPr>
          <w:b/>
          <w:bCs w:val="0"/>
          <w:color w:val="000000"/>
        </w:rPr>
      </w:pPr>
      <w:r>
        <w:rPr>
          <w:b/>
          <w:bCs w:val="0"/>
          <w:color w:val="000000"/>
        </w:rPr>
        <w:t>2.3.1生产工艺</w:t>
      </w:r>
    </w:p>
    <w:p w14:paraId="10BE12A8">
      <w:pPr>
        <w:ind w:firstLine="480" w:firstLineChars="200"/>
        <w:rPr>
          <w:color w:val="000000"/>
          <w:szCs w:val="24"/>
        </w:rPr>
      </w:pPr>
      <w:r>
        <w:rPr>
          <w:color w:val="000000"/>
          <w:szCs w:val="24"/>
        </w:rPr>
        <w:t>（1）计量、调压工序</w:t>
      </w:r>
    </w:p>
    <w:p w14:paraId="23E1307A">
      <w:pPr>
        <w:ind w:firstLine="480" w:firstLineChars="200"/>
        <w:rPr>
          <w:color w:val="000000"/>
          <w:szCs w:val="24"/>
        </w:rPr>
      </w:pPr>
      <w:r>
        <w:rPr>
          <w:color w:val="000000"/>
          <w:szCs w:val="24"/>
        </w:rPr>
        <w:t>对于液化天然气工程而言，原料天然气进气压力高低与后续制冷系统等的设备投资和能耗有着密切联系，进气压力越高，整个工艺装置的投资和能耗就越低，因此，为保证设备稳定运行和经济性，原料气气压需稳定在5.0Mpa进入生产系统。</w:t>
      </w:r>
    </w:p>
    <w:p w14:paraId="1BDE02B6">
      <w:pPr>
        <w:ind w:firstLine="480" w:firstLineChars="200"/>
        <w:rPr>
          <w:color w:val="000000"/>
          <w:szCs w:val="24"/>
        </w:rPr>
      </w:pPr>
      <w:r>
        <w:rPr>
          <w:color w:val="000000"/>
          <w:szCs w:val="24"/>
        </w:rPr>
        <w:t>原料气以3.5MPa自界区外进入装置，首先经过原料气过滤器和原料气压缩机吸入罐，然后进入压缩机压缩至5.0Mpa。原料气过滤器的作用是去除原料气中的杂质，吸入罐的作用</w:t>
      </w:r>
      <w:r>
        <w:rPr>
          <w:rFonts w:hint="eastAsia"/>
          <w:color w:val="000000"/>
          <w:szCs w:val="24"/>
          <w:lang w:eastAsia="zh-CN"/>
        </w:rPr>
        <w:t>是</w:t>
      </w:r>
      <w:r>
        <w:rPr>
          <w:color w:val="000000"/>
          <w:szCs w:val="24"/>
        </w:rPr>
        <w:t>脱出原料气的污水，避免杂质带入净化单元，污染吸收剂。过滤、调压后的天然气进入净化工序。</w:t>
      </w:r>
    </w:p>
    <w:p w14:paraId="4528D497">
      <w:pPr>
        <w:jc w:val="center"/>
        <w:rPr>
          <w:color w:val="000000"/>
          <w:szCs w:val="24"/>
        </w:rPr>
      </w:pPr>
      <w:r>
        <w:rPr>
          <w:color w:val="000000"/>
          <w:szCs w:val="24"/>
        </w:rPr>
        <w:drawing>
          <wp:inline distT="0" distB="0" distL="0" distR="0">
            <wp:extent cx="4914900" cy="1876425"/>
            <wp:effectExtent l="19050" t="0" r="0" b="0"/>
            <wp:docPr id="1" name="图片 15" descr="C:\Users\ADMINI~1\AppData\Local\Temp\ksohtml\wps78CC.tmp.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C:\Users\ADMINI~1\AppData\Local\Temp\ksohtml\wps78CC.tmp.emf"/>
                    <pic:cNvPicPr>
                      <a:picLocks noChangeAspect="1" noChangeArrowheads="1"/>
                    </pic:cNvPicPr>
                  </pic:nvPicPr>
                  <pic:blipFill>
                    <a:blip r:embed="rId18"/>
                    <a:srcRect/>
                    <a:stretch>
                      <a:fillRect/>
                    </a:stretch>
                  </pic:blipFill>
                  <pic:spPr>
                    <a:xfrm>
                      <a:off x="0" y="0"/>
                      <a:ext cx="4914900" cy="1876425"/>
                    </a:xfrm>
                    <a:prstGeom prst="rect">
                      <a:avLst/>
                    </a:prstGeom>
                    <a:noFill/>
                    <a:ln w="9525">
                      <a:noFill/>
                      <a:miter lim="800000"/>
                      <a:headEnd/>
                      <a:tailEnd/>
                    </a:ln>
                  </pic:spPr>
                </pic:pic>
              </a:graphicData>
            </a:graphic>
          </wp:inline>
        </w:drawing>
      </w:r>
    </w:p>
    <w:p w14:paraId="36247191">
      <w:pPr>
        <w:ind w:firstLine="480" w:firstLineChars="200"/>
        <w:jc w:val="center"/>
        <w:rPr>
          <w:color w:val="000000"/>
          <w:szCs w:val="24"/>
        </w:rPr>
      </w:pPr>
      <w:r>
        <w:rPr>
          <w:color w:val="000000"/>
          <w:szCs w:val="24"/>
        </w:rPr>
        <w:t>图2.3   生产工艺流程及产污节点</w:t>
      </w:r>
    </w:p>
    <w:p w14:paraId="42160707">
      <w:pPr>
        <w:ind w:firstLine="480" w:firstLineChars="200"/>
        <w:jc w:val="both"/>
        <w:rPr>
          <w:color w:val="000000"/>
          <w:szCs w:val="24"/>
        </w:rPr>
      </w:pPr>
      <w:r>
        <w:rPr>
          <w:color w:val="000000"/>
          <w:szCs w:val="24"/>
        </w:rPr>
        <w:t>（2）净化单元</w:t>
      </w:r>
    </w:p>
    <w:p w14:paraId="2CD698CB">
      <w:pPr>
        <w:ind w:firstLine="520"/>
        <w:rPr>
          <w:color w:val="000000"/>
          <w:szCs w:val="24"/>
        </w:rPr>
      </w:pPr>
      <w:bookmarkStart w:id="200" w:name="_Toc405281200"/>
      <w:r>
        <w:rPr>
          <w:color w:val="000000"/>
          <w:szCs w:val="24"/>
        </w:rPr>
        <w:t>①</w:t>
      </w:r>
      <w:bookmarkEnd w:id="200"/>
      <w:r>
        <w:rPr>
          <w:color w:val="000000"/>
          <w:szCs w:val="24"/>
        </w:rPr>
        <w:t xml:space="preserve"> 酸性气体脱除（脱碳、脱硫）</w:t>
      </w:r>
    </w:p>
    <w:p w14:paraId="021ABDA9">
      <w:pPr>
        <w:jc w:val="center"/>
        <w:rPr>
          <w:b/>
          <w:color w:val="000000"/>
          <w:szCs w:val="24"/>
        </w:rPr>
      </w:pPr>
      <w:bookmarkStart w:id="201" w:name="_Toc405281201"/>
      <w:r>
        <w:rPr>
          <w:b/>
          <w:color w:val="000000"/>
          <w:szCs w:val="24"/>
        </w:rPr>
        <w:drawing>
          <wp:inline distT="0" distB="0" distL="0" distR="0">
            <wp:extent cx="4819650" cy="3209925"/>
            <wp:effectExtent l="19050" t="0" r="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noChangeArrowheads="1"/>
                    </pic:cNvPicPr>
                  </pic:nvPicPr>
                  <pic:blipFill>
                    <a:blip r:embed="rId19"/>
                    <a:srcRect l="7216" t="7143" r="5843" b="6888"/>
                    <a:stretch>
                      <a:fillRect/>
                    </a:stretch>
                  </pic:blipFill>
                  <pic:spPr>
                    <a:xfrm>
                      <a:off x="0" y="0"/>
                      <a:ext cx="4819650" cy="3209925"/>
                    </a:xfrm>
                    <a:prstGeom prst="rect">
                      <a:avLst/>
                    </a:prstGeom>
                    <a:noFill/>
                    <a:ln w="9525">
                      <a:noFill/>
                      <a:miter lim="800000"/>
                      <a:headEnd/>
                      <a:tailEnd/>
                    </a:ln>
                  </pic:spPr>
                </pic:pic>
              </a:graphicData>
            </a:graphic>
          </wp:inline>
        </w:drawing>
      </w:r>
    </w:p>
    <w:p w14:paraId="291D57D4">
      <w:pPr>
        <w:jc w:val="center"/>
        <w:rPr>
          <w:bCs/>
          <w:color w:val="000000"/>
          <w:szCs w:val="24"/>
        </w:rPr>
      </w:pPr>
      <w:r>
        <w:rPr>
          <w:color w:val="000000"/>
          <w:szCs w:val="24"/>
        </w:rPr>
        <w:t>图2.4 脱酸工艺流程及产污节点图</w:t>
      </w:r>
    </w:p>
    <w:p w14:paraId="19924B2F">
      <w:pPr>
        <w:ind w:firstLine="520"/>
        <w:rPr>
          <w:color w:val="000000"/>
          <w:szCs w:val="24"/>
        </w:rPr>
      </w:pPr>
      <w:r>
        <w:rPr>
          <w:color w:val="000000"/>
          <w:szCs w:val="24"/>
        </w:rPr>
        <w:t>为防止天然气中CO</w:t>
      </w:r>
      <w:r>
        <w:rPr>
          <w:color w:val="000000"/>
          <w:szCs w:val="24"/>
          <w:vertAlign w:val="subscript"/>
        </w:rPr>
        <w:t>2</w:t>
      </w:r>
      <w:r>
        <w:rPr>
          <w:color w:val="000000"/>
          <w:szCs w:val="24"/>
        </w:rPr>
        <w:t>在低温下形成干冰堵塞管道，H</w:t>
      </w:r>
      <w:r>
        <w:rPr>
          <w:color w:val="000000"/>
          <w:szCs w:val="24"/>
          <w:vertAlign w:val="subscript"/>
        </w:rPr>
        <w:t>2</w:t>
      </w:r>
      <w:r>
        <w:rPr>
          <w:color w:val="000000"/>
          <w:szCs w:val="24"/>
        </w:rPr>
        <w:t>S对设备和管道的腐蚀，在天然气液化前必须将原料气中的CO</w:t>
      </w:r>
      <w:r>
        <w:rPr>
          <w:color w:val="000000"/>
          <w:szCs w:val="24"/>
          <w:vertAlign w:val="subscript"/>
        </w:rPr>
        <w:t>2</w:t>
      </w:r>
      <w:r>
        <w:rPr>
          <w:color w:val="000000"/>
          <w:szCs w:val="24"/>
        </w:rPr>
        <w:t>和H</w:t>
      </w:r>
      <w:r>
        <w:rPr>
          <w:color w:val="000000"/>
          <w:szCs w:val="24"/>
          <w:vertAlign w:val="subscript"/>
        </w:rPr>
        <w:t>2</w:t>
      </w:r>
      <w:r>
        <w:rPr>
          <w:color w:val="000000"/>
          <w:szCs w:val="24"/>
        </w:rPr>
        <w:t>S脱除。必须达到如下指标：CO</w:t>
      </w:r>
      <w:r>
        <w:rPr>
          <w:color w:val="000000"/>
          <w:szCs w:val="24"/>
          <w:vertAlign w:val="subscript"/>
        </w:rPr>
        <w:t>2</w:t>
      </w:r>
      <w:r>
        <w:rPr>
          <w:color w:val="000000"/>
          <w:szCs w:val="24"/>
        </w:rPr>
        <w:t>&lt;50ppm，H</w:t>
      </w:r>
      <w:r>
        <w:rPr>
          <w:color w:val="000000"/>
          <w:szCs w:val="24"/>
          <w:vertAlign w:val="subscript"/>
        </w:rPr>
        <w:t>2</w:t>
      </w:r>
      <w:r>
        <w:rPr>
          <w:color w:val="000000"/>
          <w:szCs w:val="24"/>
        </w:rPr>
        <w:t>S&lt;3.5ppm。项目采用MDEA法（N-甲基二乙醇胺法）对原料气进行脱碳。MDEA（N-甲基二乙醇胺），是一种叔胺类物质，分子式为CH</w:t>
      </w:r>
      <w:r>
        <w:rPr>
          <w:color w:val="000000"/>
          <w:szCs w:val="24"/>
          <w:vertAlign w:val="subscript"/>
        </w:rPr>
        <w:t>3</w:t>
      </w:r>
      <w:r>
        <w:rPr>
          <w:color w:val="000000"/>
          <w:szCs w:val="24"/>
        </w:rPr>
        <w:t>N(CH</w:t>
      </w:r>
      <w:r>
        <w:rPr>
          <w:color w:val="000000"/>
          <w:szCs w:val="24"/>
          <w:vertAlign w:val="subscript"/>
        </w:rPr>
        <w:t>2</w:t>
      </w:r>
      <w:r>
        <w:rPr>
          <w:color w:val="000000"/>
          <w:szCs w:val="24"/>
        </w:rPr>
        <w:t>CH</w:t>
      </w:r>
      <w:r>
        <w:rPr>
          <w:color w:val="000000"/>
          <w:szCs w:val="24"/>
          <w:vertAlign w:val="subscript"/>
        </w:rPr>
        <w:t>2</w:t>
      </w:r>
      <w:r>
        <w:rPr>
          <w:color w:val="000000"/>
          <w:szCs w:val="24"/>
        </w:rPr>
        <w:t>OH)</w:t>
      </w:r>
      <w:r>
        <w:rPr>
          <w:color w:val="000000"/>
          <w:szCs w:val="24"/>
          <w:vertAlign w:val="subscript"/>
        </w:rPr>
        <w:t>2</w:t>
      </w:r>
      <w:r>
        <w:rPr>
          <w:color w:val="000000"/>
          <w:szCs w:val="24"/>
        </w:rPr>
        <w:t>，分子量为119.16，比重1.0418，沸点247℃，凝固点-48℃，能全部溶于水中。</w:t>
      </w:r>
    </w:p>
    <w:bookmarkEnd w:id="201"/>
    <w:p w14:paraId="3A59D4F5">
      <w:pPr>
        <w:ind w:firstLine="520"/>
        <w:rPr>
          <w:color w:val="000000"/>
          <w:szCs w:val="24"/>
        </w:rPr>
      </w:pPr>
      <w:r>
        <w:rPr>
          <w:color w:val="000000"/>
          <w:szCs w:val="24"/>
        </w:rPr>
        <w:t>过滤压缩后的原料气进入胺洗塔底部。胺液由塔顶流下，在填料中与原料气接触，吸收原料气中的酸性气体，将原料气中的CO</w:t>
      </w:r>
      <w:r>
        <w:rPr>
          <w:color w:val="000000"/>
          <w:szCs w:val="24"/>
          <w:vertAlign w:val="subscript"/>
        </w:rPr>
        <w:t>2</w:t>
      </w:r>
      <w:r>
        <w:rPr>
          <w:color w:val="000000"/>
          <w:szCs w:val="24"/>
        </w:rPr>
        <w:t>浓度降低到50ppm（摩尔比）以下。胺洗塔的塔顶天然气为含饱和水的净化气，经分离（分液罐，去除携带的胺液）后进入脱水工序。分离出来的胺液则排至胺闪蒸罐。</w:t>
      </w:r>
    </w:p>
    <w:p w14:paraId="2E919F2A">
      <w:pPr>
        <w:ind w:firstLine="520"/>
        <w:rPr>
          <w:color w:val="000000"/>
          <w:szCs w:val="24"/>
        </w:rPr>
      </w:pPr>
      <w:r>
        <w:rPr>
          <w:color w:val="000000"/>
          <w:szCs w:val="24"/>
        </w:rPr>
        <w:t>胺液再生系统：含酸性气体的富胺液离开胺洗塔底部降压后进入胺闪蒸罐，富含CO</w:t>
      </w:r>
      <w:r>
        <w:rPr>
          <w:color w:val="000000"/>
          <w:szCs w:val="24"/>
          <w:vertAlign w:val="subscript"/>
        </w:rPr>
        <w:t>2</w:t>
      </w:r>
      <w:r>
        <w:rPr>
          <w:color w:val="000000"/>
          <w:szCs w:val="24"/>
        </w:rPr>
        <w:t>等的闪蒸气排放到火炬总管。胺液经过闪蒸有助于脱除其中溶解的任何烃类物质。富胺液在经过滤器、换热、降压后进入汽提塔再生，汽提塔出来的气体经水冷却系统，经冷凝后气液两相混合物进入回流罐分离出气相和液相。气相通过硫化物吸附床吸附H</w:t>
      </w:r>
      <w:r>
        <w:rPr>
          <w:color w:val="000000"/>
          <w:szCs w:val="24"/>
          <w:vertAlign w:val="subscript"/>
        </w:rPr>
        <w:t>2</w:t>
      </w:r>
      <w:r>
        <w:rPr>
          <w:color w:val="000000"/>
          <w:szCs w:val="24"/>
        </w:rPr>
        <w:t>S后，经15m高的排气筒排放。液相则回流至汽提塔顶部。汽提完成后的贫胺液经冷却、分离进入胺洗塔循环使用。</w:t>
      </w:r>
    </w:p>
    <w:p w14:paraId="2C1B147E">
      <w:pPr>
        <w:ind w:firstLine="520"/>
        <w:rPr>
          <w:color w:val="000000"/>
          <w:szCs w:val="24"/>
        </w:rPr>
      </w:pPr>
      <w:r>
        <w:rPr>
          <w:color w:val="000000"/>
          <w:szCs w:val="24"/>
        </w:rPr>
        <w:t>② 脱水单元</w:t>
      </w:r>
    </w:p>
    <w:p w14:paraId="14D861D2">
      <w:pPr>
        <w:jc w:val="center"/>
        <w:rPr>
          <w:b/>
          <w:color w:val="000000"/>
          <w:szCs w:val="24"/>
        </w:rPr>
      </w:pPr>
      <w:r>
        <w:rPr>
          <w:b/>
          <w:color w:val="000000"/>
          <w:szCs w:val="24"/>
        </w:rPr>
        <w:drawing>
          <wp:inline distT="0" distB="0" distL="0" distR="0">
            <wp:extent cx="3724275" cy="2343150"/>
            <wp:effectExtent l="19050" t="0" r="9525" b="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noChangeArrowheads="1"/>
                    </pic:cNvPicPr>
                  </pic:nvPicPr>
                  <pic:blipFill>
                    <a:blip r:embed="rId20"/>
                    <a:srcRect l="3264" t="4703" r="6186" b="13367"/>
                    <a:stretch>
                      <a:fillRect/>
                    </a:stretch>
                  </pic:blipFill>
                  <pic:spPr>
                    <a:xfrm>
                      <a:off x="0" y="0"/>
                      <a:ext cx="3724275" cy="2343150"/>
                    </a:xfrm>
                    <a:prstGeom prst="rect">
                      <a:avLst/>
                    </a:prstGeom>
                    <a:noFill/>
                    <a:ln w="9525">
                      <a:noFill/>
                      <a:miter lim="800000"/>
                      <a:headEnd/>
                      <a:tailEnd/>
                    </a:ln>
                  </pic:spPr>
                </pic:pic>
              </a:graphicData>
            </a:graphic>
          </wp:inline>
        </w:drawing>
      </w:r>
    </w:p>
    <w:p w14:paraId="1639A30A">
      <w:pPr>
        <w:jc w:val="center"/>
        <w:rPr>
          <w:b/>
          <w:color w:val="000000"/>
          <w:szCs w:val="24"/>
        </w:rPr>
      </w:pPr>
      <w:r>
        <w:rPr>
          <w:color w:val="000000"/>
          <w:szCs w:val="24"/>
        </w:rPr>
        <w:t>图2.5 脱水工艺流程及产污节点图</w:t>
      </w:r>
    </w:p>
    <w:p w14:paraId="1181574F">
      <w:pPr>
        <w:ind w:firstLine="520"/>
        <w:rPr>
          <w:color w:val="000000"/>
          <w:szCs w:val="24"/>
        </w:rPr>
      </w:pPr>
      <w:r>
        <w:rPr>
          <w:color w:val="000000"/>
          <w:szCs w:val="24"/>
        </w:rPr>
        <w:t>本工序采用4A分子筛吸附脱水。</w:t>
      </w:r>
    </w:p>
    <w:p w14:paraId="67AB13F2">
      <w:pPr>
        <w:ind w:firstLine="520"/>
        <w:rPr>
          <w:color w:val="000000"/>
          <w:szCs w:val="24"/>
        </w:rPr>
      </w:pPr>
      <w:r>
        <w:rPr>
          <w:color w:val="000000"/>
          <w:szCs w:val="24"/>
        </w:rPr>
        <w:t>离开胺洗系统的净化气是处于水饱和态的天然气气体，若未经彻底干燥，进入液化单元则会造成冷箱冻堵。装置中设置了两台干燥器采用分子筛将进气中的水分降至1ppmv以下。</w:t>
      </w:r>
    </w:p>
    <w:p w14:paraId="3F4C7998">
      <w:pPr>
        <w:ind w:firstLine="520"/>
        <w:rPr>
          <w:color w:val="000000"/>
          <w:szCs w:val="24"/>
        </w:rPr>
      </w:pPr>
      <w:r>
        <w:rPr>
          <w:color w:val="000000"/>
          <w:szCs w:val="24"/>
        </w:rPr>
        <w:t>该工序采用分子筛吸附脱水两塔工艺，脱碳后的天然气进入干燥单元，干燥单元主要由两台分子筛吸附塔组成，其中一台处于工作状态，另一台处于再生状态，两台吸附塔内都装填有脱水分子筛，天然气通过正处于工作状态的吸附塔，天然气中的</w:t>
      </w:r>
      <w:r>
        <w:rPr>
          <w:rFonts w:hint="eastAsia"/>
          <w:color w:val="000000"/>
          <w:szCs w:val="24"/>
        </w:rPr>
        <w:t>水分</w:t>
      </w:r>
      <w:r>
        <w:rPr>
          <w:color w:val="000000"/>
          <w:szCs w:val="24"/>
        </w:rPr>
        <w:t>被全部脱除。</w:t>
      </w:r>
    </w:p>
    <w:p w14:paraId="76408EEE">
      <w:pPr>
        <w:ind w:firstLine="520"/>
        <w:rPr>
          <w:color w:val="000000"/>
          <w:szCs w:val="24"/>
        </w:rPr>
      </w:pPr>
      <w:r>
        <w:rPr>
          <w:color w:val="000000"/>
          <w:szCs w:val="24"/>
        </w:rPr>
        <w:t>分子筛吸附脱水塔再生工艺流程：每台吸附塔的工作时间约12小时，完成吸附工作步骤的吸附塔，停止引入原料气，切换到再生状态，通过引入再生气（已干燥的天然气）对完成吸附工作步骤的吸附塔进行再生。再生气通过导热油加热升温后，逆着吸附步骤天然气流动的方向，进入吸附塔，提高该吸附塔的温度，分子筛吸附的水分被带出；完成</w:t>
      </w:r>
      <w:r>
        <w:rPr>
          <w:rFonts w:hint="eastAsia"/>
          <w:color w:val="000000"/>
          <w:szCs w:val="24"/>
        </w:rPr>
        <w:t>水分</w:t>
      </w:r>
      <w:r>
        <w:rPr>
          <w:color w:val="000000"/>
          <w:szCs w:val="24"/>
        </w:rPr>
        <w:t>解吸后，该吸附塔随即引入未经加热的再生气，吸附塔被冷却；出吸附塔的含水再生气被再生气冷却器降温、气液分离后，冷凝水进入胺闪蒸罐，天然气重新送回原料过滤器继续进行净化。</w:t>
      </w:r>
    </w:p>
    <w:p w14:paraId="421693FF">
      <w:pPr>
        <w:ind w:firstLine="520"/>
        <w:rPr>
          <w:color w:val="000000"/>
          <w:szCs w:val="24"/>
        </w:rPr>
      </w:pPr>
      <w:r>
        <w:rPr>
          <w:color w:val="000000"/>
          <w:szCs w:val="24"/>
        </w:rPr>
        <w:t>两干燥床的切换由专用切换阀来完成。正常运行中切换阀由DCS来控制。在正常操作中，阀门操作的时间和顺序通过DCS控制，不需要操作人员干预。</w:t>
      </w:r>
    </w:p>
    <w:p w14:paraId="17D56528">
      <w:pPr>
        <w:ind w:firstLine="520"/>
        <w:rPr>
          <w:color w:val="000000"/>
          <w:szCs w:val="24"/>
        </w:rPr>
      </w:pPr>
      <w:bookmarkStart w:id="202" w:name="_Toc405281203"/>
      <w:r>
        <w:rPr>
          <w:color w:val="000000"/>
          <w:szCs w:val="24"/>
        </w:rPr>
        <w:t>③ 脱汞</w:t>
      </w:r>
      <w:bookmarkEnd w:id="202"/>
      <w:r>
        <w:rPr>
          <w:color w:val="000000"/>
          <w:szCs w:val="24"/>
        </w:rPr>
        <w:t>单元</w:t>
      </w:r>
    </w:p>
    <w:p w14:paraId="3704CAF1">
      <w:pPr>
        <w:jc w:val="center"/>
        <w:rPr>
          <w:b/>
          <w:color w:val="000000"/>
          <w:szCs w:val="24"/>
        </w:rPr>
      </w:pPr>
      <w:r>
        <w:rPr>
          <w:b/>
          <w:color w:val="000000"/>
          <w:szCs w:val="24"/>
        </w:rPr>
        <w:drawing>
          <wp:inline distT="0" distB="0" distL="0" distR="0">
            <wp:extent cx="2933700" cy="1285875"/>
            <wp:effectExtent l="19050" t="0" r="0" b="0"/>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pic:cNvPicPr>
                      <a:picLocks noChangeAspect="1" noChangeArrowheads="1"/>
                    </pic:cNvPicPr>
                  </pic:nvPicPr>
                  <pic:blipFill>
                    <a:blip r:embed="rId21"/>
                    <a:srcRect/>
                    <a:stretch>
                      <a:fillRect/>
                    </a:stretch>
                  </pic:blipFill>
                  <pic:spPr>
                    <a:xfrm>
                      <a:off x="0" y="0"/>
                      <a:ext cx="2933700" cy="1285875"/>
                    </a:xfrm>
                    <a:prstGeom prst="rect">
                      <a:avLst/>
                    </a:prstGeom>
                    <a:noFill/>
                    <a:ln w="9525">
                      <a:noFill/>
                      <a:miter lim="800000"/>
                      <a:headEnd/>
                      <a:tailEnd/>
                    </a:ln>
                    <a:effectLst/>
                  </pic:spPr>
                </pic:pic>
              </a:graphicData>
            </a:graphic>
          </wp:inline>
        </w:drawing>
      </w:r>
    </w:p>
    <w:p w14:paraId="15E447EA">
      <w:pPr>
        <w:jc w:val="center"/>
        <w:rPr>
          <w:color w:val="000000"/>
          <w:szCs w:val="24"/>
        </w:rPr>
      </w:pPr>
      <w:r>
        <w:rPr>
          <w:color w:val="000000"/>
          <w:szCs w:val="24"/>
        </w:rPr>
        <w:t>图2.6  脱水工艺流程及产污节点图</w:t>
      </w:r>
    </w:p>
    <w:p w14:paraId="59151562">
      <w:pPr>
        <w:ind w:firstLine="520"/>
        <w:rPr>
          <w:color w:val="000000"/>
          <w:szCs w:val="24"/>
        </w:rPr>
      </w:pPr>
      <w:r>
        <w:rPr>
          <w:color w:val="000000"/>
          <w:szCs w:val="24"/>
        </w:rPr>
        <w:t>天然气脱汞原理是汞与浸硫</w:t>
      </w:r>
      <w:r>
        <w:rPr>
          <w:rFonts w:hint="eastAsia"/>
          <w:color w:val="000000"/>
          <w:szCs w:val="24"/>
        </w:rPr>
        <w:t>活性炭</w:t>
      </w:r>
      <w:r>
        <w:rPr>
          <w:color w:val="000000"/>
          <w:szCs w:val="24"/>
        </w:rPr>
        <w:t>中的硫在固定床中反应生成硫化汞实现脱除，该脱除过程可不受C</w:t>
      </w:r>
      <w:r>
        <w:rPr>
          <w:color w:val="000000"/>
          <w:szCs w:val="24"/>
          <w:vertAlign w:val="subscript"/>
        </w:rPr>
        <w:t>5+</w:t>
      </w:r>
      <w:r>
        <w:rPr>
          <w:color w:val="000000"/>
          <w:szCs w:val="24"/>
        </w:rPr>
        <w:t>烃以及水的影响。</w:t>
      </w:r>
    </w:p>
    <w:p w14:paraId="55265370">
      <w:pPr>
        <w:ind w:firstLine="520"/>
        <w:rPr>
          <w:color w:val="000000"/>
          <w:szCs w:val="24"/>
        </w:rPr>
      </w:pPr>
      <w:r>
        <w:rPr>
          <w:color w:val="000000"/>
          <w:szCs w:val="24"/>
        </w:rPr>
        <w:t>活性炭浸硫后，</w:t>
      </w:r>
      <w:r>
        <w:rPr>
          <w:rFonts w:hint="eastAsia"/>
          <w:color w:val="000000"/>
          <w:szCs w:val="24"/>
        </w:rPr>
        <w:t>活性炭</w:t>
      </w:r>
      <w:r>
        <w:rPr>
          <w:color w:val="000000"/>
          <w:szCs w:val="24"/>
        </w:rPr>
        <w:t>表面形成了C-S键，对吸附汞有很大的作用。浸硫</w:t>
      </w:r>
      <w:r>
        <w:rPr>
          <w:rFonts w:hint="eastAsia"/>
          <w:color w:val="000000"/>
          <w:szCs w:val="24"/>
        </w:rPr>
        <w:t>活性炭</w:t>
      </w:r>
      <w:r>
        <w:rPr>
          <w:color w:val="000000"/>
          <w:szCs w:val="24"/>
        </w:rPr>
        <w:t>对汞的吸附过程包括物理吸附和化学吸附两个过程的叠加。</w:t>
      </w:r>
    </w:p>
    <w:p w14:paraId="001962F7">
      <w:pPr>
        <w:ind w:firstLine="520"/>
        <w:rPr>
          <w:color w:val="000000"/>
          <w:szCs w:val="24"/>
        </w:rPr>
      </w:pPr>
      <w:r>
        <w:rPr>
          <w:color w:val="000000"/>
          <w:szCs w:val="24"/>
        </w:rPr>
        <w:t>脱水后的天然气进入脱汞反应器，将其中可能携带的汞脱除到0.01μg/Nm</w:t>
      </w:r>
      <w:r>
        <w:rPr>
          <w:color w:val="000000"/>
          <w:szCs w:val="24"/>
          <w:vertAlign w:val="superscript"/>
        </w:rPr>
        <w:t>3</w:t>
      </w:r>
      <w:r>
        <w:rPr>
          <w:color w:val="000000"/>
          <w:szCs w:val="24"/>
        </w:rPr>
        <w:t>以下。若原料气中含汞超标，会快速腐蚀铝制冷箱，必须去除。最后原料气脱汞后过滤器，脱除夹带的固体颗粒后进入液化单元。过滤器为一开一备，100％负荷工况下可以在线更换滤芯。脱汞床型按原料气中的汞含量最高为200μg/Nm</w:t>
      </w:r>
      <w:r>
        <w:rPr>
          <w:color w:val="000000"/>
          <w:szCs w:val="24"/>
          <w:vertAlign w:val="superscript"/>
        </w:rPr>
        <w:t>3</w:t>
      </w:r>
      <w:r>
        <w:rPr>
          <w:color w:val="000000"/>
          <w:szCs w:val="24"/>
        </w:rPr>
        <w:t>进行设计（床层寿命为5年）。</w:t>
      </w:r>
    </w:p>
    <w:p w14:paraId="0B3A222B">
      <w:pPr>
        <w:ind w:firstLine="520"/>
        <w:rPr>
          <w:color w:val="000000"/>
          <w:szCs w:val="24"/>
        </w:rPr>
      </w:pPr>
      <w:r>
        <w:rPr>
          <w:color w:val="000000"/>
          <w:szCs w:val="24"/>
        </w:rPr>
        <w:t>（3）液化单元</w:t>
      </w:r>
    </w:p>
    <w:p w14:paraId="183D60E2">
      <w:pPr>
        <w:ind w:firstLine="520"/>
        <w:rPr>
          <w:color w:val="000000"/>
          <w:szCs w:val="24"/>
        </w:rPr>
      </w:pPr>
      <w:r>
        <w:rPr>
          <w:color w:val="000000"/>
          <w:szCs w:val="24"/>
        </w:rPr>
        <w:t>液化单元采用中石化公司的低能耗液化技术（LEP）工艺，对净化后的原料气进行液化，产出LNG产品。</w:t>
      </w:r>
    </w:p>
    <w:p w14:paraId="5F43ACCF">
      <w:pPr>
        <w:ind w:firstLine="520"/>
        <w:rPr>
          <w:color w:val="000000"/>
          <w:szCs w:val="24"/>
        </w:rPr>
      </w:pPr>
      <w:bookmarkStart w:id="203" w:name="_Toc405281204"/>
      <w:r>
        <w:rPr>
          <w:color w:val="000000"/>
          <w:szCs w:val="24"/>
        </w:rPr>
        <w:t>① 天然气液化</w:t>
      </w:r>
      <w:bookmarkEnd w:id="203"/>
    </w:p>
    <w:p w14:paraId="26DFE66B">
      <w:pPr>
        <w:jc w:val="center"/>
        <w:rPr>
          <w:b/>
          <w:color w:val="000000"/>
          <w:szCs w:val="24"/>
        </w:rPr>
      </w:pPr>
      <w:r>
        <w:rPr>
          <w:b/>
          <w:color w:val="000000"/>
          <w:szCs w:val="24"/>
        </w:rPr>
        <w:drawing>
          <wp:inline distT="0" distB="0" distL="0" distR="0">
            <wp:extent cx="2962275" cy="981075"/>
            <wp:effectExtent l="19050" t="0" r="9525"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noChangeArrowheads="1"/>
                    </pic:cNvPicPr>
                  </pic:nvPicPr>
                  <pic:blipFill>
                    <a:blip r:embed="rId22"/>
                    <a:srcRect l="4811" t="17567"/>
                    <a:stretch>
                      <a:fillRect/>
                    </a:stretch>
                  </pic:blipFill>
                  <pic:spPr>
                    <a:xfrm>
                      <a:off x="0" y="0"/>
                      <a:ext cx="2962275" cy="981075"/>
                    </a:xfrm>
                    <a:prstGeom prst="rect">
                      <a:avLst/>
                    </a:prstGeom>
                    <a:noFill/>
                    <a:ln w="9525">
                      <a:noFill/>
                      <a:miter lim="800000"/>
                      <a:headEnd/>
                      <a:tailEnd/>
                    </a:ln>
                    <a:effectLst/>
                  </pic:spPr>
                </pic:pic>
              </a:graphicData>
            </a:graphic>
          </wp:inline>
        </w:drawing>
      </w:r>
    </w:p>
    <w:p w14:paraId="191D6B6B">
      <w:pPr>
        <w:jc w:val="center"/>
        <w:rPr>
          <w:color w:val="000000"/>
          <w:szCs w:val="24"/>
        </w:rPr>
      </w:pPr>
      <w:r>
        <w:rPr>
          <w:color w:val="000000"/>
          <w:szCs w:val="24"/>
        </w:rPr>
        <w:t>图2.7 天然气液化工艺流程及产污节点图</w:t>
      </w:r>
    </w:p>
    <w:p w14:paraId="62173743">
      <w:pPr>
        <w:ind w:firstLine="520"/>
        <w:rPr>
          <w:color w:val="000000"/>
          <w:szCs w:val="24"/>
        </w:rPr>
      </w:pPr>
      <w:r>
        <w:rPr>
          <w:color w:val="000000"/>
          <w:szCs w:val="24"/>
        </w:rPr>
        <w:t>预处理后的原料气进入冷箱，先后在五台冷剂换热器中被冷却、液化和过冷。</w:t>
      </w:r>
    </w:p>
    <w:p w14:paraId="14939742">
      <w:pPr>
        <w:ind w:firstLine="520"/>
        <w:rPr>
          <w:color w:val="000000"/>
          <w:szCs w:val="24"/>
        </w:rPr>
      </w:pPr>
      <w:r>
        <w:rPr>
          <w:color w:val="000000"/>
          <w:szCs w:val="24"/>
        </w:rPr>
        <w:t>原料气在冷剂换热器中被冷却到约-60℃，冷却后的原料气被引出冷箱进入重烃分离罐，冷凝下来的重烃组分从罐底抽出，作为副产品外售。</w:t>
      </w:r>
    </w:p>
    <w:p w14:paraId="637E1135">
      <w:pPr>
        <w:ind w:firstLine="520"/>
        <w:rPr>
          <w:color w:val="000000"/>
          <w:szCs w:val="24"/>
        </w:rPr>
      </w:pPr>
      <w:r>
        <w:rPr>
          <w:color w:val="000000"/>
          <w:szCs w:val="24"/>
        </w:rPr>
        <w:t>重烃分离罐顶部出来的原料气返回到冷箱，继续经冷剂换热器液化和过冷，温度降至-160℃后出冷箱，成为液化天然气。液化天然气的总流量由液化天然气产品管线上的调节阀来控制。调节阀后压力降至储罐压力，小部分液化天然气闪蒸为气相，产品最终温度降至-161.7℃。</w:t>
      </w:r>
    </w:p>
    <w:p w14:paraId="515C16D1">
      <w:pPr>
        <w:ind w:firstLine="520"/>
        <w:rPr>
          <w:color w:val="000000"/>
          <w:szCs w:val="24"/>
        </w:rPr>
      </w:pPr>
      <w:r>
        <w:rPr>
          <w:color w:val="000000"/>
          <w:szCs w:val="24"/>
        </w:rPr>
        <w:t>液化天然气产品调节阀由流量控制，同时也受温度串级控制，这样可以合理控制液化天然气产品流量，避免产品流量超过制冷系统的液化能力。</w:t>
      </w:r>
    </w:p>
    <w:p w14:paraId="7211A78F">
      <w:pPr>
        <w:ind w:firstLine="520"/>
        <w:rPr>
          <w:color w:val="000000"/>
          <w:szCs w:val="24"/>
        </w:rPr>
      </w:pPr>
      <w:r>
        <w:rPr>
          <w:color w:val="000000"/>
          <w:szCs w:val="24"/>
        </w:rPr>
        <w:t>来自LNG储罐的BOG尾气流股在经压缩和换热后，进入冷箱中重新液化，以分离多余的氮气（避免氮气在系统中积聚）和回收LNG，BOG尾气冷却到-150℃，然后减压到大约0.43MPa，进入氮气闪蒸罐。富氮气体从氮气闪蒸罐脱除后，经由冷剂换热器回热后进入燃料气系统。闪蒸罐底部的液化天然气送入液化天然气储罐。</w:t>
      </w:r>
    </w:p>
    <w:p w14:paraId="01D3E914">
      <w:pPr>
        <w:ind w:firstLine="520"/>
        <w:rPr>
          <w:color w:val="000000"/>
          <w:szCs w:val="24"/>
        </w:rPr>
      </w:pPr>
      <w:bookmarkStart w:id="204" w:name="_Toc405281205"/>
      <w:r>
        <w:rPr>
          <w:color w:val="000000"/>
          <w:szCs w:val="24"/>
        </w:rPr>
        <w:t>② 混合冷剂制冷</w:t>
      </w:r>
      <w:bookmarkEnd w:id="204"/>
    </w:p>
    <w:p w14:paraId="0B390301">
      <w:pPr>
        <w:ind w:firstLine="482"/>
        <w:rPr>
          <w:b/>
          <w:color w:val="000000"/>
          <w:szCs w:val="24"/>
        </w:rPr>
      </w:pPr>
      <w:r>
        <w:rPr>
          <w:b/>
          <w:color w:val="000000"/>
          <w:szCs w:val="24"/>
        </w:rPr>
        <w:drawing>
          <wp:inline distT="0" distB="0" distL="0" distR="0">
            <wp:extent cx="5162550" cy="3095625"/>
            <wp:effectExtent l="19050" t="0" r="0" b="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noChangeArrowheads="1"/>
                    </pic:cNvPicPr>
                  </pic:nvPicPr>
                  <pic:blipFill>
                    <a:blip r:embed="rId23"/>
                    <a:srcRect/>
                    <a:stretch>
                      <a:fillRect/>
                    </a:stretch>
                  </pic:blipFill>
                  <pic:spPr>
                    <a:xfrm>
                      <a:off x="0" y="0"/>
                      <a:ext cx="5162550" cy="3095625"/>
                    </a:xfrm>
                    <a:prstGeom prst="rect">
                      <a:avLst/>
                    </a:prstGeom>
                    <a:noFill/>
                    <a:ln w="9525">
                      <a:noFill/>
                      <a:miter lim="800000"/>
                      <a:headEnd/>
                      <a:tailEnd/>
                    </a:ln>
                    <a:effectLst/>
                  </pic:spPr>
                </pic:pic>
              </a:graphicData>
            </a:graphic>
          </wp:inline>
        </w:drawing>
      </w:r>
    </w:p>
    <w:p w14:paraId="31198696">
      <w:pPr>
        <w:jc w:val="center"/>
        <w:rPr>
          <w:color w:val="000000"/>
          <w:szCs w:val="24"/>
        </w:rPr>
      </w:pPr>
      <w:r>
        <w:rPr>
          <w:color w:val="000000"/>
          <w:szCs w:val="24"/>
        </w:rPr>
        <w:t>图2.8  制冷剂制冷流程及产污节点图</w:t>
      </w:r>
    </w:p>
    <w:p w14:paraId="591DC1B4">
      <w:pPr>
        <w:ind w:firstLine="520"/>
        <w:rPr>
          <w:color w:val="000000"/>
          <w:szCs w:val="24"/>
        </w:rPr>
      </w:pPr>
      <w:r>
        <w:rPr>
          <w:color w:val="000000"/>
          <w:szCs w:val="24"/>
        </w:rPr>
        <w:t>制冷系统采用了一个闭路制冷循环，冷剂经压缩、部分冷凝、过冷、节流膨胀，然后被加热从而提供冷量。用于制冷的冷剂为多组分混合物，由氮气和从C1至C5的碳氢化合物组成。混合冷剂压缩机采用三段压缩，由电机驱动。</w:t>
      </w:r>
    </w:p>
    <w:p w14:paraId="1CB3E6E1">
      <w:pPr>
        <w:rPr>
          <w:color w:val="000000"/>
          <w:szCs w:val="24"/>
        </w:rPr>
      </w:pPr>
      <w:r>
        <w:rPr>
          <w:color w:val="000000"/>
          <w:szCs w:val="24"/>
        </w:rPr>
        <w:t>（4）LNG储存单元、BOG压缩和LNG装车</w:t>
      </w:r>
    </w:p>
    <w:p w14:paraId="579C65BD">
      <w:pPr>
        <w:ind w:firstLine="520"/>
        <w:rPr>
          <w:color w:val="000000"/>
          <w:szCs w:val="24"/>
        </w:rPr>
      </w:pPr>
      <w:r>
        <w:rPr>
          <w:color w:val="000000"/>
          <w:szCs w:val="24"/>
        </w:rPr>
        <w:t>与液化单元处理能力相配套，LNG储存单元设有1座10000m</w:t>
      </w:r>
      <w:r>
        <w:rPr>
          <w:color w:val="000000"/>
          <w:szCs w:val="24"/>
          <w:vertAlign w:val="superscript"/>
        </w:rPr>
        <w:t>3</w:t>
      </w:r>
      <w:r>
        <w:rPr>
          <w:color w:val="000000"/>
          <w:szCs w:val="24"/>
        </w:rPr>
        <w:t>的LNG低温储罐。</w:t>
      </w:r>
    </w:p>
    <w:p w14:paraId="24B6946A">
      <w:pPr>
        <w:ind w:firstLine="520"/>
        <w:rPr>
          <w:color w:val="000000"/>
          <w:szCs w:val="24"/>
        </w:rPr>
      </w:pPr>
      <w:r>
        <w:rPr>
          <w:color w:val="000000"/>
          <w:szCs w:val="24"/>
        </w:rPr>
        <w:t>来自液化单元的LNG在-161.7℃，0.015MPaG进入LNG储罐；储罐的设计压力为-0.5～20kPaG，储罐的压力通过BOG压缩机压缩回收储罐内产生的蒸发气进行控制。</w:t>
      </w:r>
    </w:p>
    <w:p w14:paraId="5417E2F6">
      <w:pPr>
        <w:ind w:firstLine="520"/>
        <w:rPr>
          <w:color w:val="000000"/>
          <w:szCs w:val="24"/>
        </w:rPr>
      </w:pPr>
      <w:r>
        <w:rPr>
          <w:color w:val="000000"/>
          <w:szCs w:val="24"/>
        </w:rPr>
        <w:t>来自LNG储罐的BOG，与净化后的天然气在BOG换热器进行换热后，BOG温度由-163℃上升达到-30℃，经BOG压缩机压缩，增压(1.8MPaG)后返回冷箱进一步冷凝。BOG压缩机采用往复式压缩机，可通过逐级调节来实现流量控制，压缩机负荷由LNG储罐的压力来控制。</w:t>
      </w:r>
    </w:p>
    <w:p w14:paraId="09C79447">
      <w:pPr>
        <w:ind w:firstLine="520"/>
        <w:rPr>
          <w:color w:val="000000"/>
          <w:szCs w:val="24"/>
        </w:rPr>
      </w:pPr>
      <w:r>
        <w:rPr>
          <w:color w:val="000000"/>
          <w:szCs w:val="24"/>
        </w:rPr>
        <w:t>设有2台LNG装车泵和4个装车臂用于LNG槽车外运。每个装车位系统，设置支管循环管路及开关阀。无装车时，各支路循环线开关阀打开，通过各支路限流孔板控制循环流量，保持LNG管线的冷循环状态；有部分装车时，未使用的装车臂通过限流孔板维持一最小循环量，保持循环总管的循环量在各工况操作时恒定，以保证LNG及冷循环总管的低温状态。</w:t>
      </w:r>
    </w:p>
    <w:p w14:paraId="5BF615D9">
      <w:pPr>
        <w:ind w:firstLine="520"/>
        <w:rPr>
          <w:color w:val="000000"/>
          <w:szCs w:val="24"/>
        </w:rPr>
      </w:pPr>
      <w:r>
        <w:rPr>
          <w:color w:val="000000"/>
          <w:szCs w:val="24"/>
        </w:rPr>
        <w:t>（5）冷剂储存单元</w:t>
      </w:r>
    </w:p>
    <w:p w14:paraId="4B5DD0CE">
      <w:pPr>
        <w:ind w:firstLine="520"/>
        <w:rPr>
          <w:color w:val="000000"/>
          <w:szCs w:val="24"/>
        </w:rPr>
      </w:pPr>
      <w:r>
        <w:rPr>
          <w:color w:val="000000"/>
          <w:szCs w:val="24"/>
        </w:rPr>
        <w:t>冷剂储存单元在开车期间需要配制满足要求合适的冷剂配比，在运行过程中随时对混合冷剂进行补充、调整，满足不同工况需要。</w:t>
      </w:r>
    </w:p>
    <w:p w14:paraId="46E0E8D0">
      <w:pPr>
        <w:ind w:firstLine="520"/>
        <w:rPr>
          <w:color w:val="000000"/>
          <w:szCs w:val="24"/>
        </w:rPr>
      </w:pPr>
      <w:r>
        <w:rPr>
          <w:color w:val="000000"/>
          <w:szCs w:val="24"/>
        </w:rPr>
        <w:t>乙烯储存在乙烯补充罐。液态乙烯在乙烯汽化器中汽化并输送至混合冷剂压缩机一段吸入罐。可能存在的微量水和甲醇在乙烯干燥器中除去，固体颗粒在乙烯过滤器中除去。</w:t>
      </w:r>
    </w:p>
    <w:p w14:paraId="1342AB39">
      <w:pPr>
        <w:ind w:firstLine="520"/>
        <w:rPr>
          <w:color w:val="000000"/>
          <w:szCs w:val="24"/>
        </w:rPr>
      </w:pPr>
      <w:r>
        <w:rPr>
          <w:color w:val="000000"/>
          <w:szCs w:val="24"/>
        </w:rPr>
        <w:t>丙烷储存在丙烷储存罐。可能存在的微量水和甲醇在丙烷干燥器中除去，固体颗粒在丙烷过滤器中除去。</w:t>
      </w:r>
    </w:p>
    <w:p w14:paraId="4D84C3E7">
      <w:pPr>
        <w:ind w:firstLine="520"/>
        <w:rPr>
          <w:color w:val="000000"/>
          <w:szCs w:val="24"/>
        </w:rPr>
      </w:pPr>
      <w:r>
        <w:rPr>
          <w:color w:val="000000"/>
          <w:szCs w:val="24"/>
        </w:rPr>
        <w:t>异戊烷储存在异戊烷储存罐，该罐设有水包。可能存在的微量水和甲醇在异戊烷干燥器中除去，固体颗粒在异戊烷过滤器中除去。</w:t>
      </w:r>
    </w:p>
    <w:p w14:paraId="23971997">
      <w:pPr>
        <w:ind w:firstLine="520"/>
        <w:rPr>
          <w:color w:val="000000"/>
          <w:szCs w:val="24"/>
        </w:rPr>
      </w:pPr>
      <w:r>
        <w:rPr>
          <w:color w:val="000000"/>
          <w:szCs w:val="24"/>
        </w:rPr>
        <w:t>（6）热油系统</w:t>
      </w:r>
    </w:p>
    <w:p w14:paraId="01E7CA88">
      <w:pPr>
        <w:ind w:firstLine="520"/>
        <w:rPr>
          <w:color w:val="000000"/>
          <w:szCs w:val="24"/>
        </w:rPr>
      </w:pPr>
      <w:r>
        <w:rPr>
          <w:color w:val="000000"/>
          <w:szCs w:val="24"/>
        </w:rPr>
        <w:t>本装置采用热油系统提供工艺所需的热量，温度等级有两种。中温等级为150℃，用于再生塔再沸器，高温等级为330℃，用于加热再生气。热油采用导热油炉的方式进行，产生废气G6。</w:t>
      </w:r>
    </w:p>
    <w:p w14:paraId="323F0E64">
      <w:pPr>
        <w:ind w:firstLine="520"/>
        <w:rPr>
          <w:color w:val="000000"/>
          <w:szCs w:val="24"/>
        </w:rPr>
      </w:pPr>
      <w:r>
        <w:rPr>
          <w:color w:val="000000"/>
          <w:szCs w:val="24"/>
        </w:rPr>
        <w:t>（7）火炬系统</w:t>
      </w:r>
    </w:p>
    <w:p w14:paraId="35656348">
      <w:pPr>
        <w:ind w:firstLine="520"/>
        <w:rPr>
          <w:color w:val="000000"/>
          <w:szCs w:val="24"/>
        </w:rPr>
      </w:pPr>
      <w:r>
        <w:rPr>
          <w:color w:val="000000"/>
          <w:szCs w:val="24"/>
        </w:rPr>
        <w:t xml:space="preserve">火炬设施作为项目重要安全与环保设施之一，用于处理液化天然气装置在正常生产、事故、开停车及紧急状况下排放的可燃性气体，以保护设备和人身安全。 </w:t>
      </w:r>
    </w:p>
    <w:p w14:paraId="46699B9F">
      <w:pPr>
        <w:ind w:firstLine="520"/>
        <w:rPr>
          <w:color w:val="000000"/>
          <w:szCs w:val="24"/>
        </w:rPr>
      </w:pPr>
      <w:r>
        <w:rPr>
          <w:color w:val="000000"/>
          <w:szCs w:val="24"/>
        </w:rPr>
        <w:t>天然气液化单元和液化天然气贮存单元各种工况下有冷热火炬气排放，需新建相应的火炬设施进行处理，根据装置的火炬气排放条件，本项目建设了两套火炬设施，一套为热火炬，用于处理天然气液化单元排放的热火炬气（≥0℃），设计处理能力185t/h，一套为冷火炬，用于处理液化和贮存单元排放的冷火炬气（&lt;0℃），设计处理能力20t/h，两套火炬捆绑共架布置，总高80米。</w:t>
      </w:r>
    </w:p>
    <w:p w14:paraId="51138B2C">
      <w:pPr>
        <w:ind w:firstLine="520"/>
        <w:rPr>
          <w:color w:val="000000"/>
          <w:szCs w:val="24"/>
        </w:rPr>
      </w:pPr>
      <w:r>
        <w:rPr>
          <w:color w:val="000000"/>
          <w:szCs w:val="24"/>
        </w:rPr>
        <w:t>装置各单元排放的冷、热火炬气通过装置内分液罐分液后分别送至冷、热火炬设施燃烧处理。</w:t>
      </w:r>
    </w:p>
    <w:p w14:paraId="05503E2E">
      <w:pPr>
        <w:ind w:firstLine="520"/>
        <w:rPr>
          <w:color w:val="000000"/>
          <w:szCs w:val="24"/>
        </w:rPr>
      </w:pPr>
      <w:r>
        <w:rPr>
          <w:color w:val="000000"/>
          <w:szCs w:val="24"/>
        </w:rPr>
        <w:t>每套火炬配备两种点方式，一种为FFG点火，一种为高能高空点火，能实现就地、远传和自动点火三种点火模式；每套火炬配备三支长明灯，长明灯按“常明”设计，每支长明灯配备双支热电偶监视长明灯工作状态；每套火炬设有动态密封器，并设有连续的氮气密封吹扫，防止空气窜入火炬。</w:t>
      </w:r>
    </w:p>
    <w:p w14:paraId="05B2AACD">
      <w:pPr>
        <w:ind w:firstLine="520"/>
        <w:rPr>
          <w:color w:val="000000"/>
          <w:szCs w:val="24"/>
        </w:rPr>
      </w:pPr>
      <w:r>
        <w:rPr>
          <w:color w:val="000000"/>
          <w:szCs w:val="24"/>
        </w:rPr>
        <w:t>此环节将产生废气G7、分液罐废液W7和噪声。</w:t>
      </w:r>
    </w:p>
    <w:p w14:paraId="1F8D30BD">
      <w:pPr>
        <w:pStyle w:val="771"/>
        <w:rPr>
          <w:b/>
          <w:bCs w:val="0"/>
          <w:color w:val="000000"/>
        </w:rPr>
      </w:pPr>
      <w:r>
        <w:rPr>
          <w:b/>
          <w:bCs w:val="0"/>
          <w:color w:val="000000"/>
        </w:rPr>
        <w:t>2.3.2产排污情况</w:t>
      </w:r>
    </w:p>
    <w:p w14:paraId="2842831F">
      <w:pPr>
        <w:ind w:firstLine="480"/>
        <w:rPr>
          <w:color w:val="000000"/>
          <w:szCs w:val="24"/>
        </w:rPr>
      </w:pPr>
      <w:r>
        <w:rPr>
          <w:color w:val="000000"/>
          <w:szCs w:val="24"/>
        </w:rPr>
        <w:t>（1）废气</w:t>
      </w:r>
    </w:p>
    <w:p w14:paraId="3070BE89">
      <w:pPr>
        <w:ind w:firstLine="480"/>
        <w:rPr>
          <w:color w:val="000000"/>
          <w:szCs w:val="24"/>
        </w:rPr>
      </w:pPr>
      <w:r>
        <w:rPr>
          <w:color w:val="000000"/>
          <w:szCs w:val="24"/>
        </w:rPr>
        <w:t>项目废气主要为胺闪蒸罐废气G1、胺汽提塔排气G2、分子筛再生气G3、LNG储罐闪蒸汽G4和各冷剂储罐闪蒸汽G5，另外还包括了导热油炉废气G6、高架火炬烟气G7。其中胺闪蒸罐废气G1、LNG储罐闪蒸汽G4、各冷剂储罐闪蒸汽G5引至火炬燃烧，分子筛再生气G3与原料气一起进入净化单元进行净化。因此，外排的废气为胺汽提塔废气G2、导热油炉废气G6、火炬烟气G7以及少量无组织排放非甲烷总烃。</w:t>
      </w:r>
    </w:p>
    <w:p w14:paraId="475D2E68">
      <w:pPr>
        <w:ind w:firstLine="480"/>
        <w:rPr>
          <w:color w:val="000000"/>
          <w:szCs w:val="24"/>
        </w:rPr>
      </w:pPr>
      <w:r>
        <w:rPr>
          <w:color w:val="000000"/>
          <w:szCs w:val="24"/>
        </w:rPr>
        <w:t>① 胺汽提塔排气G2</w:t>
      </w:r>
    </w:p>
    <w:p w14:paraId="75D63588">
      <w:pPr>
        <w:ind w:firstLine="480"/>
        <w:rPr>
          <w:color w:val="000000"/>
          <w:szCs w:val="24"/>
        </w:rPr>
      </w:pPr>
      <w:r>
        <w:rPr>
          <w:color w:val="000000"/>
          <w:szCs w:val="24"/>
        </w:rPr>
        <w:t>该废气主要含CO</w:t>
      </w:r>
      <w:r>
        <w:rPr>
          <w:color w:val="000000"/>
          <w:szCs w:val="24"/>
          <w:vertAlign w:val="subscript"/>
        </w:rPr>
        <w:t>2</w:t>
      </w:r>
      <w:r>
        <w:rPr>
          <w:color w:val="000000"/>
          <w:szCs w:val="24"/>
        </w:rPr>
        <w:t>和少量H</w:t>
      </w:r>
      <w:r>
        <w:rPr>
          <w:color w:val="000000"/>
          <w:szCs w:val="24"/>
          <w:vertAlign w:val="subscript"/>
        </w:rPr>
        <w:t>2</w:t>
      </w:r>
      <w:r>
        <w:rPr>
          <w:color w:val="000000"/>
          <w:szCs w:val="24"/>
        </w:rPr>
        <w:t>S气体，通过硫化物吸附床吸附H</w:t>
      </w:r>
      <w:r>
        <w:rPr>
          <w:color w:val="000000"/>
          <w:szCs w:val="24"/>
          <w:vertAlign w:val="subscript"/>
        </w:rPr>
        <w:t>2</w:t>
      </w:r>
      <w:r>
        <w:rPr>
          <w:color w:val="000000"/>
          <w:szCs w:val="24"/>
        </w:rPr>
        <w:t>S后由15m高的烟囱直接排放。</w:t>
      </w:r>
    </w:p>
    <w:p w14:paraId="4AED1BCC">
      <w:pPr>
        <w:pStyle w:val="43"/>
        <w:spacing w:after="0" w:line="360" w:lineRule="auto"/>
        <w:ind w:left="0" w:leftChars="0" w:firstLine="480"/>
        <w:rPr>
          <w:color w:val="000000"/>
          <w:szCs w:val="24"/>
        </w:rPr>
      </w:pPr>
      <w:r>
        <w:rPr>
          <w:color w:val="000000"/>
          <w:szCs w:val="24"/>
        </w:rPr>
        <w:t>② 导热油炉废气G6</w:t>
      </w:r>
    </w:p>
    <w:p w14:paraId="7365BAB6">
      <w:pPr>
        <w:ind w:firstLine="480"/>
        <w:rPr>
          <w:color w:val="000000"/>
          <w:szCs w:val="24"/>
        </w:rPr>
      </w:pPr>
      <w:r>
        <w:rPr>
          <w:color w:val="000000"/>
          <w:szCs w:val="24"/>
        </w:rPr>
        <w:t>项目用热工艺装置用热负荷主要为再生用热，用热点为MDEA再生和分子筛再生，采用燃气导热油炉供热，为分子筛再生和MDEA再生提供的热量。根据2021年监测报告（CQGH2021AF0798），导热油炉废气排放口颗粒物最大排放速率为0.0261kg/h；SO</w:t>
      </w:r>
      <w:r>
        <w:rPr>
          <w:color w:val="000000"/>
          <w:szCs w:val="24"/>
          <w:vertAlign w:val="subscript"/>
        </w:rPr>
        <w:t>2</w:t>
      </w:r>
      <w:r>
        <w:rPr>
          <w:color w:val="000000"/>
          <w:szCs w:val="24"/>
        </w:rPr>
        <w:t>最大排放速率为0.0193kg/h；NOx最大排放速率为0.129kg/h，则颗粒物排放量为0.209t/a，SO</w:t>
      </w:r>
      <w:r>
        <w:rPr>
          <w:color w:val="000000"/>
          <w:szCs w:val="24"/>
          <w:vertAlign w:val="subscript"/>
        </w:rPr>
        <w:t>2</w:t>
      </w:r>
      <w:r>
        <w:rPr>
          <w:color w:val="000000"/>
          <w:szCs w:val="24"/>
        </w:rPr>
        <w:t>排放量为 0.154t/a,NOx排放量为1.032t/a。</w:t>
      </w:r>
    </w:p>
    <w:p w14:paraId="27AC3931">
      <w:pPr>
        <w:ind w:firstLine="480"/>
        <w:rPr>
          <w:color w:val="000000"/>
          <w:szCs w:val="24"/>
        </w:rPr>
      </w:pPr>
      <w:r>
        <w:rPr>
          <w:color w:val="000000"/>
          <w:szCs w:val="24"/>
        </w:rPr>
        <w:t>③ 高架火炬烟气G7</w:t>
      </w:r>
    </w:p>
    <w:p w14:paraId="0EDF1C6C">
      <w:pPr>
        <w:ind w:firstLine="480"/>
        <w:rPr>
          <w:color w:val="000000"/>
          <w:szCs w:val="24"/>
        </w:rPr>
      </w:pPr>
      <w:r>
        <w:rPr>
          <w:color w:val="000000"/>
          <w:szCs w:val="24"/>
        </w:rPr>
        <w:t>火炬排放的烟气，为正常排入的工艺废气以及非正常工况下排入的气体经火炬燃烧后排放的烟气，燃料气主要成分为酸性气体和烃类，燃烧后的烟气量约9000Nm</w:t>
      </w:r>
      <w:r>
        <w:rPr>
          <w:color w:val="000000"/>
          <w:szCs w:val="24"/>
          <w:vertAlign w:val="superscript"/>
        </w:rPr>
        <w:t>3</w:t>
      </w:r>
      <w:r>
        <w:rPr>
          <w:color w:val="000000"/>
          <w:szCs w:val="24"/>
        </w:rPr>
        <w:t>/d，经过燃烧后主要生成二氧化碳排入大气，颗粒物产生量约为0.06t/a，浓度20mg/m</w:t>
      </w:r>
      <w:r>
        <w:rPr>
          <w:color w:val="000000"/>
          <w:szCs w:val="24"/>
          <w:vertAlign w:val="superscript"/>
        </w:rPr>
        <w:t>3</w:t>
      </w:r>
      <w:r>
        <w:rPr>
          <w:color w:val="000000"/>
          <w:szCs w:val="24"/>
        </w:rPr>
        <w:t>；NO</w:t>
      </w:r>
      <w:r>
        <w:rPr>
          <w:rFonts w:hint="eastAsia"/>
          <w:color w:val="000000"/>
          <w:szCs w:val="24"/>
          <w:vertAlign w:val="subscript"/>
        </w:rPr>
        <w:t>X</w:t>
      </w:r>
      <w:r>
        <w:rPr>
          <w:color w:val="000000"/>
          <w:szCs w:val="24"/>
        </w:rPr>
        <w:t>产生量0.18t/a，浓度59.2mg/m</w:t>
      </w:r>
      <w:r>
        <w:rPr>
          <w:color w:val="000000"/>
          <w:szCs w:val="24"/>
          <w:vertAlign w:val="superscript"/>
        </w:rPr>
        <w:t>3</w:t>
      </w:r>
      <w:r>
        <w:rPr>
          <w:color w:val="000000"/>
          <w:szCs w:val="24"/>
        </w:rPr>
        <w:t>；SO</w:t>
      </w:r>
      <w:r>
        <w:rPr>
          <w:color w:val="000000"/>
          <w:szCs w:val="24"/>
          <w:vertAlign w:val="subscript"/>
        </w:rPr>
        <w:t>2</w:t>
      </w:r>
      <w:r>
        <w:rPr>
          <w:color w:val="000000"/>
          <w:szCs w:val="24"/>
        </w:rPr>
        <w:t>产生量0.03t/a，浓度8.79mg/m</w:t>
      </w:r>
      <w:r>
        <w:rPr>
          <w:color w:val="000000"/>
          <w:szCs w:val="24"/>
          <w:vertAlign w:val="superscript"/>
        </w:rPr>
        <w:t>3</w:t>
      </w:r>
      <w:r>
        <w:rPr>
          <w:color w:val="000000"/>
          <w:szCs w:val="24"/>
        </w:rPr>
        <w:t>。</w:t>
      </w:r>
    </w:p>
    <w:p w14:paraId="1B9131CD">
      <w:pPr>
        <w:ind w:firstLine="480"/>
        <w:rPr>
          <w:color w:val="000000"/>
          <w:szCs w:val="24"/>
        </w:rPr>
      </w:pPr>
      <w:r>
        <w:rPr>
          <w:color w:val="000000"/>
          <w:szCs w:val="24"/>
        </w:rPr>
        <w:t>④ 无组织排放废气</w:t>
      </w:r>
    </w:p>
    <w:p w14:paraId="2B2052DC">
      <w:pPr>
        <w:ind w:firstLine="480"/>
        <w:rPr>
          <w:color w:val="000000"/>
          <w:szCs w:val="24"/>
        </w:rPr>
      </w:pPr>
      <w:r>
        <w:rPr>
          <w:color w:val="000000"/>
          <w:szCs w:val="24"/>
        </w:rPr>
        <w:t>项目产品液化天然气、重烃和液化工序使用的混合冷剂，采用压力储罐，无组织排放的废气主要为工艺装置区管线阀门跑、冒等泄漏的天然气以及</w:t>
      </w:r>
      <w:r>
        <w:rPr>
          <w:color w:val="000000"/>
        </w:rPr>
        <w:t>液化天然气装车逸散气等</w:t>
      </w:r>
      <w:r>
        <w:rPr>
          <w:color w:val="000000"/>
          <w:szCs w:val="24"/>
        </w:rPr>
        <w:t>。根据原环评，其工艺装置区无组织排放的非甲烷总烃量为0.22kg/h（1.76t/a），装车区无组织排放的非甲烷总烃量为0.01kg/h（0.08t/a）。</w:t>
      </w:r>
    </w:p>
    <w:p w14:paraId="75A7F4D5">
      <w:pPr>
        <w:ind w:firstLine="480"/>
        <w:rPr>
          <w:color w:val="000000"/>
          <w:szCs w:val="24"/>
        </w:rPr>
      </w:pPr>
      <w:r>
        <w:rPr>
          <w:color w:val="000000"/>
          <w:szCs w:val="24"/>
        </w:rPr>
        <w:t>现有工程废气产生情况见表2.3.2-1。</w:t>
      </w:r>
    </w:p>
    <w:p w14:paraId="15D9E452">
      <w:pPr>
        <w:ind w:firstLine="1715" w:firstLineChars="817"/>
        <w:rPr>
          <w:color w:val="000000"/>
          <w:sz w:val="21"/>
        </w:rPr>
      </w:pPr>
      <w:r>
        <w:rPr>
          <w:color w:val="000000"/>
          <w:sz w:val="21"/>
        </w:rPr>
        <w:t>表2.3.2-1 现有工程废气产生情况及治理措施一览表</w:t>
      </w:r>
    </w:p>
    <w:tbl>
      <w:tblPr>
        <w:tblStyle w:val="73"/>
        <w:tblW w:w="4997"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1469"/>
        <w:gridCol w:w="944"/>
        <w:gridCol w:w="1544"/>
        <w:gridCol w:w="1544"/>
        <w:gridCol w:w="2147"/>
      </w:tblGrid>
      <w:tr w14:paraId="1D9ED8C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76" w:type="pct"/>
            <w:tcBorders>
              <w:tl2br w:val="nil"/>
              <w:tr2bl w:val="nil"/>
            </w:tcBorders>
            <w:vAlign w:val="center"/>
          </w:tcPr>
          <w:p w14:paraId="0D9EE849">
            <w:pPr>
              <w:spacing w:line="320" w:lineRule="exact"/>
              <w:jc w:val="center"/>
              <w:rPr>
                <w:color w:val="000000"/>
                <w:spacing w:val="24"/>
                <w:sz w:val="21"/>
              </w:rPr>
            </w:pPr>
            <w:r>
              <w:rPr>
                <w:color w:val="000000"/>
                <w:spacing w:val="24"/>
                <w:sz w:val="21"/>
              </w:rPr>
              <w:t>排放源</w:t>
            </w:r>
          </w:p>
        </w:tc>
        <w:tc>
          <w:tcPr>
            <w:tcW w:w="811" w:type="pct"/>
            <w:tcBorders>
              <w:tl2br w:val="nil"/>
              <w:tr2bl w:val="nil"/>
            </w:tcBorders>
            <w:vAlign w:val="center"/>
          </w:tcPr>
          <w:p w14:paraId="66CA3563">
            <w:pPr>
              <w:spacing w:line="320" w:lineRule="exact"/>
              <w:jc w:val="center"/>
              <w:rPr>
                <w:color w:val="000000"/>
                <w:spacing w:val="24"/>
                <w:sz w:val="21"/>
              </w:rPr>
            </w:pPr>
            <w:r>
              <w:rPr>
                <w:color w:val="000000"/>
                <w:spacing w:val="24"/>
                <w:sz w:val="21"/>
              </w:rPr>
              <w:t>主要</w:t>
            </w:r>
          </w:p>
          <w:p w14:paraId="16263031">
            <w:pPr>
              <w:spacing w:line="320" w:lineRule="exact"/>
              <w:jc w:val="center"/>
              <w:rPr>
                <w:color w:val="000000"/>
                <w:spacing w:val="24"/>
                <w:sz w:val="21"/>
              </w:rPr>
            </w:pPr>
            <w:r>
              <w:rPr>
                <w:color w:val="000000"/>
                <w:spacing w:val="24"/>
                <w:sz w:val="21"/>
              </w:rPr>
              <w:t>污染物</w:t>
            </w:r>
          </w:p>
        </w:tc>
        <w:tc>
          <w:tcPr>
            <w:tcW w:w="521" w:type="pct"/>
            <w:tcBorders>
              <w:tl2br w:val="nil"/>
              <w:tr2bl w:val="nil"/>
            </w:tcBorders>
            <w:vAlign w:val="center"/>
          </w:tcPr>
          <w:p w14:paraId="65117901">
            <w:pPr>
              <w:pStyle w:val="48"/>
              <w:pBdr>
                <w:bottom w:val="none" w:color="auto" w:sz="0" w:space="0"/>
              </w:pBdr>
              <w:tabs>
                <w:tab w:val="clear" w:pos="4153"/>
                <w:tab w:val="clear" w:pos="8306"/>
              </w:tabs>
              <w:spacing w:line="320" w:lineRule="exact"/>
              <w:rPr>
                <w:color w:val="000000"/>
                <w:spacing w:val="24"/>
                <w:sz w:val="21"/>
                <w:szCs w:val="21"/>
              </w:rPr>
            </w:pPr>
            <w:r>
              <w:rPr>
                <w:color w:val="000000"/>
                <w:spacing w:val="24"/>
                <w:sz w:val="21"/>
                <w:szCs w:val="21"/>
              </w:rPr>
              <w:t>排放特征</w:t>
            </w:r>
          </w:p>
        </w:tc>
        <w:tc>
          <w:tcPr>
            <w:tcW w:w="852" w:type="pct"/>
            <w:tcBorders>
              <w:tl2br w:val="nil"/>
              <w:tr2bl w:val="nil"/>
            </w:tcBorders>
            <w:vAlign w:val="center"/>
          </w:tcPr>
          <w:p w14:paraId="735CEB06">
            <w:pPr>
              <w:spacing w:line="320" w:lineRule="exact"/>
              <w:jc w:val="center"/>
              <w:rPr>
                <w:color w:val="000000"/>
                <w:spacing w:val="24"/>
                <w:sz w:val="21"/>
              </w:rPr>
            </w:pPr>
            <w:r>
              <w:rPr>
                <w:color w:val="000000"/>
                <w:spacing w:val="24"/>
                <w:sz w:val="21"/>
              </w:rPr>
              <w:t>排放速率kg/h</w:t>
            </w:r>
          </w:p>
        </w:tc>
        <w:tc>
          <w:tcPr>
            <w:tcW w:w="852" w:type="pct"/>
            <w:tcBorders>
              <w:tl2br w:val="nil"/>
              <w:tr2bl w:val="nil"/>
            </w:tcBorders>
            <w:vAlign w:val="center"/>
          </w:tcPr>
          <w:p w14:paraId="371818E1">
            <w:pPr>
              <w:spacing w:line="320" w:lineRule="exact"/>
              <w:jc w:val="center"/>
              <w:rPr>
                <w:color w:val="000000"/>
                <w:spacing w:val="24"/>
                <w:sz w:val="21"/>
              </w:rPr>
            </w:pPr>
            <w:r>
              <w:rPr>
                <w:color w:val="000000"/>
                <w:spacing w:val="24"/>
                <w:sz w:val="21"/>
              </w:rPr>
              <w:t>排放量</w:t>
            </w:r>
          </w:p>
          <w:p w14:paraId="29D1E3C1">
            <w:pPr>
              <w:spacing w:line="320" w:lineRule="exact"/>
              <w:jc w:val="center"/>
              <w:rPr>
                <w:color w:val="000000"/>
                <w:spacing w:val="24"/>
                <w:sz w:val="21"/>
              </w:rPr>
            </w:pPr>
            <w:r>
              <w:rPr>
                <w:color w:val="000000"/>
                <w:spacing w:val="24"/>
                <w:sz w:val="21"/>
              </w:rPr>
              <w:t>t/a</w:t>
            </w:r>
          </w:p>
        </w:tc>
        <w:tc>
          <w:tcPr>
            <w:tcW w:w="1185" w:type="pct"/>
            <w:tcBorders>
              <w:tl2br w:val="nil"/>
              <w:tr2bl w:val="nil"/>
            </w:tcBorders>
            <w:vAlign w:val="center"/>
          </w:tcPr>
          <w:p w14:paraId="62E7E0A7">
            <w:pPr>
              <w:spacing w:line="320" w:lineRule="exact"/>
              <w:jc w:val="center"/>
              <w:rPr>
                <w:color w:val="000000"/>
                <w:spacing w:val="24"/>
                <w:sz w:val="21"/>
              </w:rPr>
            </w:pPr>
            <w:r>
              <w:rPr>
                <w:color w:val="000000"/>
                <w:spacing w:val="24"/>
                <w:sz w:val="21"/>
              </w:rPr>
              <w:t>治理措施</w:t>
            </w:r>
          </w:p>
        </w:tc>
      </w:tr>
      <w:tr w14:paraId="2C929E5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76" w:type="pct"/>
            <w:tcBorders>
              <w:tl2br w:val="nil"/>
              <w:tr2bl w:val="nil"/>
            </w:tcBorders>
            <w:vAlign w:val="center"/>
          </w:tcPr>
          <w:p w14:paraId="1B724FBE">
            <w:pPr>
              <w:spacing w:line="320" w:lineRule="exact"/>
              <w:jc w:val="center"/>
              <w:rPr>
                <w:color w:val="000000"/>
                <w:spacing w:val="24"/>
                <w:sz w:val="21"/>
              </w:rPr>
            </w:pPr>
            <w:r>
              <w:rPr>
                <w:color w:val="000000"/>
                <w:spacing w:val="24"/>
                <w:sz w:val="21"/>
              </w:rPr>
              <w:t>胺闪蒸罐废气</w:t>
            </w:r>
          </w:p>
        </w:tc>
        <w:tc>
          <w:tcPr>
            <w:tcW w:w="811" w:type="pct"/>
            <w:tcBorders>
              <w:tl2br w:val="nil"/>
              <w:tr2bl w:val="nil"/>
            </w:tcBorders>
            <w:vAlign w:val="center"/>
          </w:tcPr>
          <w:p w14:paraId="591B47AE">
            <w:pPr>
              <w:spacing w:line="320" w:lineRule="exact"/>
              <w:jc w:val="center"/>
              <w:rPr>
                <w:color w:val="000000"/>
                <w:spacing w:val="24"/>
                <w:sz w:val="21"/>
              </w:rPr>
            </w:pPr>
            <w:r>
              <w:rPr>
                <w:color w:val="000000"/>
                <w:spacing w:val="24"/>
                <w:sz w:val="21"/>
              </w:rPr>
              <w:t>CO</w:t>
            </w:r>
            <w:r>
              <w:rPr>
                <w:color w:val="000000"/>
                <w:spacing w:val="24"/>
                <w:sz w:val="21"/>
                <w:vertAlign w:val="subscript"/>
              </w:rPr>
              <w:t>2</w:t>
            </w:r>
          </w:p>
          <w:p w14:paraId="35CA2B3F">
            <w:pPr>
              <w:spacing w:line="320" w:lineRule="exact"/>
              <w:jc w:val="center"/>
              <w:rPr>
                <w:color w:val="000000"/>
                <w:spacing w:val="24"/>
                <w:sz w:val="21"/>
              </w:rPr>
            </w:pPr>
            <w:r>
              <w:rPr>
                <w:color w:val="000000"/>
                <w:spacing w:val="24"/>
                <w:sz w:val="21"/>
              </w:rPr>
              <w:t>H</w:t>
            </w:r>
            <w:r>
              <w:rPr>
                <w:color w:val="000000"/>
                <w:spacing w:val="24"/>
                <w:sz w:val="21"/>
                <w:vertAlign w:val="subscript"/>
              </w:rPr>
              <w:t>2</w:t>
            </w:r>
            <w:r>
              <w:rPr>
                <w:color w:val="000000"/>
                <w:spacing w:val="24"/>
                <w:sz w:val="21"/>
              </w:rPr>
              <w:t>S</w:t>
            </w:r>
          </w:p>
        </w:tc>
        <w:tc>
          <w:tcPr>
            <w:tcW w:w="521" w:type="pct"/>
            <w:tcBorders>
              <w:tl2br w:val="nil"/>
              <w:tr2bl w:val="nil"/>
            </w:tcBorders>
            <w:vAlign w:val="center"/>
          </w:tcPr>
          <w:p w14:paraId="2299CD19">
            <w:pPr>
              <w:pStyle w:val="48"/>
              <w:pBdr>
                <w:bottom w:val="none" w:color="auto" w:sz="0" w:space="0"/>
              </w:pBdr>
              <w:tabs>
                <w:tab w:val="clear" w:pos="4153"/>
                <w:tab w:val="clear" w:pos="8306"/>
              </w:tabs>
              <w:spacing w:line="320" w:lineRule="exact"/>
              <w:rPr>
                <w:color w:val="000000"/>
                <w:spacing w:val="24"/>
                <w:sz w:val="21"/>
                <w:szCs w:val="21"/>
              </w:rPr>
            </w:pPr>
            <w:r>
              <w:rPr>
                <w:color w:val="000000"/>
                <w:spacing w:val="24"/>
                <w:sz w:val="21"/>
                <w:szCs w:val="21"/>
              </w:rPr>
              <w:t>连续</w:t>
            </w:r>
          </w:p>
        </w:tc>
        <w:tc>
          <w:tcPr>
            <w:tcW w:w="852" w:type="pct"/>
            <w:tcBorders>
              <w:tl2br w:val="nil"/>
              <w:tr2bl w:val="nil"/>
            </w:tcBorders>
            <w:vAlign w:val="center"/>
          </w:tcPr>
          <w:p w14:paraId="51E0748B">
            <w:pPr>
              <w:spacing w:line="320" w:lineRule="exact"/>
              <w:jc w:val="center"/>
              <w:rPr>
                <w:color w:val="000000"/>
                <w:spacing w:val="24"/>
                <w:sz w:val="21"/>
              </w:rPr>
            </w:pPr>
            <w:r>
              <w:rPr>
                <w:color w:val="000000"/>
                <w:spacing w:val="24"/>
                <w:sz w:val="21"/>
              </w:rPr>
              <w:t>/</w:t>
            </w:r>
          </w:p>
        </w:tc>
        <w:tc>
          <w:tcPr>
            <w:tcW w:w="852" w:type="pct"/>
            <w:tcBorders>
              <w:tl2br w:val="nil"/>
              <w:tr2bl w:val="nil"/>
            </w:tcBorders>
            <w:vAlign w:val="center"/>
          </w:tcPr>
          <w:p w14:paraId="48434C07">
            <w:pPr>
              <w:spacing w:line="320" w:lineRule="exact"/>
              <w:jc w:val="center"/>
              <w:rPr>
                <w:color w:val="000000"/>
                <w:spacing w:val="24"/>
                <w:sz w:val="21"/>
              </w:rPr>
            </w:pPr>
            <w:r>
              <w:rPr>
                <w:color w:val="000000"/>
                <w:spacing w:val="24"/>
                <w:sz w:val="21"/>
              </w:rPr>
              <w:t>少量</w:t>
            </w:r>
          </w:p>
        </w:tc>
        <w:tc>
          <w:tcPr>
            <w:tcW w:w="1185" w:type="pct"/>
            <w:tcBorders>
              <w:tl2br w:val="nil"/>
              <w:tr2bl w:val="nil"/>
            </w:tcBorders>
            <w:vAlign w:val="center"/>
          </w:tcPr>
          <w:p w14:paraId="48080AB9">
            <w:pPr>
              <w:spacing w:line="320" w:lineRule="exact"/>
              <w:jc w:val="center"/>
              <w:rPr>
                <w:color w:val="000000"/>
                <w:spacing w:val="24"/>
                <w:sz w:val="21"/>
              </w:rPr>
            </w:pPr>
            <w:r>
              <w:rPr>
                <w:color w:val="000000"/>
                <w:spacing w:val="24"/>
                <w:sz w:val="21"/>
              </w:rPr>
              <w:t>经硫化床脱硫后由15m高的烟囱排放</w:t>
            </w:r>
          </w:p>
        </w:tc>
      </w:tr>
      <w:tr w14:paraId="44DF592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76" w:type="pct"/>
            <w:vMerge w:val="restart"/>
            <w:tcBorders>
              <w:tl2br w:val="nil"/>
              <w:tr2bl w:val="nil"/>
            </w:tcBorders>
            <w:vAlign w:val="center"/>
          </w:tcPr>
          <w:p w14:paraId="6A9EA4A4">
            <w:pPr>
              <w:spacing w:line="320" w:lineRule="exact"/>
              <w:jc w:val="center"/>
              <w:rPr>
                <w:color w:val="000000"/>
                <w:spacing w:val="24"/>
                <w:sz w:val="21"/>
              </w:rPr>
            </w:pPr>
            <w:r>
              <w:rPr>
                <w:color w:val="000000"/>
                <w:spacing w:val="24"/>
                <w:sz w:val="21"/>
              </w:rPr>
              <w:t>导热油炉</w:t>
            </w:r>
          </w:p>
        </w:tc>
        <w:tc>
          <w:tcPr>
            <w:tcW w:w="811" w:type="pct"/>
            <w:tcBorders>
              <w:tl2br w:val="nil"/>
              <w:tr2bl w:val="nil"/>
            </w:tcBorders>
            <w:vAlign w:val="center"/>
          </w:tcPr>
          <w:p w14:paraId="60C88DE6">
            <w:pPr>
              <w:pStyle w:val="409"/>
              <w:spacing w:line="320" w:lineRule="exact"/>
              <w:jc w:val="center"/>
              <w:rPr>
                <w:rFonts w:ascii="Times New Roman" w:hAnsi="Times New Roman" w:eastAsia="宋体"/>
                <w:color w:val="000000"/>
              </w:rPr>
            </w:pPr>
            <w:r>
              <w:rPr>
                <w:rFonts w:ascii="Times New Roman" w:hAnsi="Times New Roman" w:eastAsia="宋体"/>
                <w:color w:val="000000"/>
              </w:rPr>
              <w:t>颗粒物</w:t>
            </w:r>
          </w:p>
        </w:tc>
        <w:tc>
          <w:tcPr>
            <w:tcW w:w="521" w:type="pct"/>
            <w:vMerge w:val="restart"/>
            <w:tcBorders>
              <w:tl2br w:val="nil"/>
              <w:tr2bl w:val="nil"/>
            </w:tcBorders>
            <w:vAlign w:val="center"/>
          </w:tcPr>
          <w:p w14:paraId="77162E92">
            <w:pPr>
              <w:pStyle w:val="48"/>
              <w:pBdr>
                <w:bottom w:val="none" w:color="auto" w:sz="0" w:space="0"/>
              </w:pBdr>
              <w:tabs>
                <w:tab w:val="clear" w:pos="4153"/>
                <w:tab w:val="clear" w:pos="8306"/>
              </w:tabs>
              <w:spacing w:line="320" w:lineRule="exact"/>
              <w:rPr>
                <w:color w:val="000000"/>
                <w:spacing w:val="24"/>
                <w:sz w:val="21"/>
                <w:szCs w:val="21"/>
              </w:rPr>
            </w:pPr>
            <w:r>
              <w:rPr>
                <w:color w:val="000000"/>
                <w:spacing w:val="24"/>
                <w:sz w:val="21"/>
                <w:szCs w:val="21"/>
              </w:rPr>
              <w:t>连续</w:t>
            </w:r>
          </w:p>
        </w:tc>
        <w:tc>
          <w:tcPr>
            <w:tcW w:w="852" w:type="pct"/>
            <w:tcBorders>
              <w:tl2br w:val="nil"/>
              <w:tr2bl w:val="nil"/>
            </w:tcBorders>
            <w:vAlign w:val="center"/>
          </w:tcPr>
          <w:p w14:paraId="30CBE9CE">
            <w:pPr>
              <w:spacing w:line="320" w:lineRule="exact"/>
              <w:jc w:val="center"/>
              <w:rPr>
                <w:color w:val="000000"/>
                <w:spacing w:val="24"/>
                <w:sz w:val="21"/>
              </w:rPr>
            </w:pPr>
            <w:r>
              <w:rPr>
                <w:color w:val="000000"/>
                <w:spacing w:val="24"/>
                <w:sz w:val="21"/>
              </w:rPr>
              <w:t>0.0261</w:t>
            </w:r>
          </w:p>
        </w:tc>
        <w:tc>
          <w:tcPr>
            <w:tcW w:w="852" w:type="pct"/>
            <w:tcBorders>
              <w:tl2br w:val="nil"/>
              <w:tr2bl w:val="nil"/>
            </w:tcBorders>
            <w:vAlign w:val="center"/>
          </w:tcPr>
          <w:p w14:paraId="4BF7129D">
            <w:pPr>
              <w:spacing w:line="320" w:lineRule="exact"/>
              <w:jc w:val="center"/>
              <w:rPr>
                <w:color w:val="000000"/>
                <w:spacing w:val="24"/>
                <w:sz w:val="21"/>
              </w:rPr>
            </w:pPr>
            <w:r>
              <w:rPr>
                <w:color w:val="000000"/>
                <w:spacing w:val="24"/>
                <w:sz w:val="21"/>
              </w:rPr>
              <w:t>0.209</w:t>
            </w:r>
          </w:p>
        </w:tc>
        <w:tc>
          <w:tcPr>
            <w:tcW w:w="1185" w:type="pct"/>
            <w:vMerge w:val="restart"/>
            <w:tcBorders>
              <w:tl2br w:val="nil"/>
              <w:tr2bl w:val="nil"/>
            </w:tcBorders>
            <w:vAlign w:val="center"/>
          </w:tcPr>
          <w:p w14:paraId="735E5E3A">
            <w:pPr>
              <w:spacing w:line="320" w:lineRule="exact"/>
              <w:jc w:val="center"/>
              <w:rPr>
                <w:color w:val="000000"/>
                <w:spacing w:val="24"/>
                <w:sz w:val="21"/>
              </w:rPr>
            </w:pPr>
            <w:r>
              <w:rPr>
                <w:color w:val="000000"/>
                <w:spacing w:val="24"/>
                <w:sz w:val="21"/>
              </w:rPr>
              <w:t>25m高的烟囱排放</w:t>
            </w:r>
          </w:p>
        </w:tc>
      </w:tr>
      <w:tr w14:paraId="2A2B156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76" w:type="pct"/>
            <w:vMerge w:val="continue"/>
            <w:tcBorders>
              <w:tl2br w:val="nil"/>
              <w:tr2bl w:val="nil"/>
            </w:tcBorders>
            <w:vAlign w:val="center"/>
          </w:tcPr>
          <w:p w14:paraId="422F899B">
            <w:pPr>
              <w:spacing w:line="320" w:lineRule="exact"/>
              <w:jc w:val="center"/>
              <w:rPr>
                <w:color w:val="000000"/>
                <w:spacing w:val="24"/>
                <w:sz w:val="21"/>
              </w:rPr>
            </w:pPr>
          </w:p>
        </w:tc>
        <w:tc>
          <w:tcPr>
            <w:tcW w:w="811" w:type="pct"/>
            <w:tcBorders>
              <w:tl2br w:val="nil"/>
              <w:tr2bl w:val="nil"/>
            </w:tcBorders>
            <w:vAlign w:val="center"/>
          </w:tcPr>
          <w:p w14:paraId="6ED34E73">
            <w:pPr>
              <w:pStyle w:val="409"/>
              <w:spacing w:line="320" w:lineRule="exact"/>
              <w:jc w:val="center"/>
              <w:rPr>
                <w:rFonts w:ascii="Times New Roman" w:hAnsi="Times New Roman" w:eastAsia="宋体"/>
                <w:color w:val="000000"/>
                <w:vertAlign w:val="subscript"/>
              </w:rPr>
            </w:pPr>
            <w:r>
              <w:rPr>
                <w:rFonts w:ascii="Times New Roman" w:hAnsi="Times New Roman" w:eastAsia="宋体"/>
                <w:color w:val="000000"/>
              </w:rPr>
              <w:t>NO</w:t>
            </w:r>
            <w:r>
              <w:rPr>
                <w:rFonts w:ascii="Times New Roman" w:hAnsi="Times New Roman" w:eastAsia="宋体"/>
                <w:color w:val="000000"/>
                <w:vertAlign w:val="subscript"/>
              </w:rPr>
              <w:t>x</w:t>
            </w:r>
          </w:p>
        </w:tc>
        <w:tc>
          <w:tcPr>
            <w:tcW w:w="521" w:type="pct"/>
            <w:vMerge w:val="continue"/>
            <w:tcBorders>
              <w:tl2br w:val="nil"/>
              <w:tr2bl w:val="nil"/>
            </w:tcBorders>
            <w:vAlign w:val="center"/>
          </w:tcPr>
          <w:p w14:paraId="50F6320E">
            <w:pPr>
              <w:pStyle w:val="48"/>
              <w:pBdr>
                <w:bottom w:val="none" w:color="auto" w:sz="0" w:space="0"/>
              </w:pBdr>
              <w:tabs>
                <w:tab w:val="clear" w:pos="4153"/>
                <w:tab w:val="clear" w:pos="8306"/>
              </w:tabs>
              <w:spacing w:line="320" w:lineRule="exact"/>
              <w:rPr>
                <w:color w:val="000000"/>
                <w:spacing w:val="24"/>
                <w:sz w:val="21"/>
                <w:szCs w:val="21"/>
              </w:rPr>
            </w:pPr>
          </w:p>
        </w:tc>
        <w:tc>
          <w:tcPr>
            <w:tcW w:w="852" w:type="pct"/>
            <w:tcBorders>
              <w:tl2br w:val="nil"/>
              <w:tr2bl w:val="nil"/>
            </w:tcBorders>
            <w:vAlign w:val="center"/>
          </w:tcPr>
          <w:p w14:paraId="2EC77EEF">
            <w:pPr>
              <w:spacing w:line="320" w:lineRule="exact"/>
              <w:jc w:val="center"/>
              <w:rPr>
                <w:color w:val="000000"/>
                <w:spacing w:val="24"/>
                <w:sz w:val="21"/>
              </w:rPr>
            </w:pPr>
            <w:r>
              <w:rPr>
                <w:color w:val="000000"/>
                <w:spacing w:val="24"/>
                <w:sz w:val="21"/>
              </w:rPr>
              <w:t>0.129</w:t>
            </w:r>
          </w:p>
        </w:tc>
        <w:tc>
          <w:tcPr>
            <w:tcW w:w="852" w:type="pct"/>
            <w:tcBorders>
              <w:tl2br w:val="nil"/>
              <w:tr2bl w:val="nil"/>
            </w:tcBorders>
            <w:vAlign w:val="center"/>
          </w:tcPr>
          <w:p w14:paraId="49F88A21">
            <w:pPr>
              <w:spacing w:line="320" w:lineRule="exact"/>
              <w:jc w:val="center"/>
              <w:rPr>
                <w:color w:val="000000"/>
                <w:spacing w:val="24"/>
                <w:sz w:val="21"/>
              </w:rPr>
            </w:pPr>
            <w:r>
              <w:rPr>
                <w:color w:val="000000"/>
                <w:spacing w:val="24"/>
                <w:sz w:val="21"/>
              </w:rPr>
              <w:t>1.032</w:t>
            </w:r>
          </w:p>
        </w:tc>
        <w:tc>
          <w:tcPr>
            <w:tcW w:w="1185" w:type="pct"/>
            <w:vMerge w:val="continue"/>
            <w:tcBorders>
              <w:tl2br w:val="nil"/>
              <w:tr2bl w:val="nil"/>
            </w:tcBorders>
            <w:vAlign w:val="center"/>
          </w:tcPr>
          <w:p w14:paraId="610FC6E7">
            <w:pPr>
              <w:spacing w:line="320" w:lineRule="exact"/>
              <w:jc w:val="center"/>
              <w:rPr>
                <w:color w:val="000000"/>
                <w:spacing w:val="24"/>
                <w:sz w:val="21"/>
              </w:rPr>
            </w:pPr>
          </w:p>
        </w:tc>
      </w:tr>
      <w:tr w14:paraId="556699C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76" w:type="pct"/>
            <w:vMerge w:val="continue"/>
            <w:tcBorders>
              <w:tl2br w:val="nil"/>
              <w:tr2bl w:val="nil"/>
            </w:tcBorders>
            <w:vAlign w:val="center"/>
          </w:tcPr>
          <w:p w14:paraId="74A103A8">
            <w:pPr>
              <w:spacing w:line="320" w:lineRule="exact"/>
              <w:jc w:val="center"/>
              <w:rPr>
                <w:color w:val="000000"/>
                <w:spacing w:val="24"/>
                <w:sz w:val="21"/>
              </w:rPr>
            </w:pPr>
          </w:p>
        </w:tc>
        <w:tc>
          <w:tcPr>
            <w:tcW w:w="811" w:type="pct"/>
            <w:tcBorders>
              <w:tl2br w:val="nil"/>
              <w:tr2bl w:val="nil"/>
            </w:tcBorders>
            <w:vAlign w:val="center"/>
          </w:tcPr>
          <w:p w14:paraId="3E447EFA">
            <w:pPr>
              <w:pStyle w:val="409"/>
              <w:spacing w:line="320" w:lineRule="exact"/>
              <w:jc w:val="center"/>
              <w:rPr>
                <w:rFonts w:ascii="Times New Roman" w:hAnsi="Times New Roman" w:eastAsia="宋体"/>
                <w:color w:val="000000"/>
              </w:rPr>
            </w:pPr>
            <w:r>
              <w:rPr>
                <w:rFonts w:ascii="Times New Roman" w:hAnsi="Times New Roman" w:eastAsia="宋体"/>
                <w:color w:val="000000"/>
              </w:rPr>
              <w:t>SO</w:t>
            </w:r>
            <w:r>
              <w:rPr>
                <w:rFonts w:ascii="Times New Roman" w:hAnsi="Times New Roman" w:eastAsia="宋体"/>
                <w:color w:val="000000"/>
                <w:vertAlign w:val="subscript"/>
              </w:rPr>
              <w:t>2</w:t>
            </w:r>
          </w:p>
        </w:tc>
        <w:tc>
          <w:tcPr>
            <w:tcW w:w="521" w:type="pct"/>
            <w:vMerge w:val="continue"/>
            <w:tcBorders>
              <w:tl2br w:val="nil"/>
              <w:tr2bl w:val="nil"/>
            </w:tcBorders>
            <w:vAlign w:val="center"/>
          </w:tcPr>
          <w:p w14:paraId="200B080E">
            <w:pPr>
              <w:pStyle w:val="48"/>
              <w:pBdr>
                <w:bottom w:val="none" w:color="auto" w:sz="0" w:space="0"/>
              </w:pBdr>
              <w:tabs>
                <w:tab w:val="clear" w:pos="4153"/>
                <w:tab w:val="clear" w:pos="8306"/>
              </w:tabs>
              <w:spacing w:line="320" w:lineRule="exact"/>
              <w:rPr>
                <w:color w:val="000000"/>
                <w:spacing w:val="24"/>
                <w:sz w:val="21"/>
                <w:szCs w:val="21"/>
              </w:rPr>
            </w:pPr>
          </w:p>
        </w:tc>
        <w:tc>
          <w:tcPr>
            <w:tcW w:w="852" w:type="pct"/>
            <w:tcBorders>
              <w:tl2br w:val="nil"/>
              <w:tr2bl w:val="nil"/>
            </w:tcBorders>
            <w:vAlign w:val="center"/>
          </w:tcPr>
          <w:p w14:paraId="2C42EEC1">
            <w:pPr>
              <w:spacing w:line="320" w:lineRule="exact"/>
              <w:jc w:val="center"/>
              <w:rPr>
                <w:color w:val="000000"/>
                <w:spacing w:val="24"/>
                <w:sz w:val="21"/>
              </w:rPr>
            </w:pPr>
            <w:r>
              <w:rPr>
                <w:color w:val="000000"/>
                <w:spacing w:val="24"/>
                <w:sz w:val="21"/>
              </w:rPr>
              <w:t>0.0193</w:t>
            </w:r>
          </w:p>
        </w:tc>
        <w:tc>
          <w:tcPr>
            <w:tcW w:w="852" w:type="pct"/>
            <w:tcBorders>
              <w:tl2br w:val="nil"/>
              <w:tr2bl w:val="nil"/>
            </w:tcBorders>
            <w:vAlign w:val="center"/>
          </w:tcPr>
          <w:p w14:paraId="5D23BDDB">
            <w:pPr>
              <w:spacing w:line="320" w:lineRule="exact"/>
              <w:jc w:val="center"/>
              <w:rPr>
                <w:color w:val="000000"/>
                <w:spacing w:val="24"/>
                <w:sz w:val="21"/>
              </w:rPr>
            </w:pPr>
            <w:r>
              <w:rPr>
                <w:color w:val="000000"/>
                <w:spacing w:val="24"/>
                <w:sz w:val="21"/>
              </w:rPr>
              <w:t>0.154</w:t>
            </w:r>
          </w:p>
        </w:tc>
        <w:tc>
          <w:tcPr>
            <w:tcW w:w="1185" w:type="pct"/>
            <w:vMerge w:val="continue"/>
            <w:tcBorders>
              <w:tl2br w:val="nil"/>
              <w:tr2bl w:val="nil"/>
            </w:tcBorders>
            <w:vAlign w:val="center"/>
          </w:tcPr>
          <w:p w14:paraId="78AD9639">
            <w:pPr>
              <w:spacing w:line="320" w:lineRule="exact"/>
              <w:jc w:val="center"/>
              <w:rPr>
                <w:color w:val="000000"/>
                <w:spacing w:val="24"/>
                <w:sz w:val="21"/>
              </w:rPr>
            </w:pPr>
          </w:p>
        </w:tc>
      </w:tr>
      <w:tr w14:paraId="4117F09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76" w:type="pct"/>
            <w:vMerge w:val="restart"/>
            <w:tcBorders>
              <w:tl2br w:val="nil"/>
              <w:tr2bl w:val="nil"/>
            </w:tcBorders>
            <w:vAlign w:val="center"/>
          </w:tcPr>
          <w:p w14:paraId="0787C26C">
            <w:pPr>
              <w:spacing w:line="320" w:lineRule="exact"/>
              <w:jc w:val="center"/>
              <w:rPr>
                <w:bCs/>
                <w:color w:val="000000"/>
                <w:sz w:val="21"/>
              </w:rPr>
            </w:pPr>
            <w:r>
              <w:rPr>
                <w:color w:val="000000"/>
                <w:sz w:val="21"/>
              </w:rPr>
              <w:t>高架火炬</w:t>
            </w:r>
          </w:p>
        </w:tc>
        <w:tc>
          <w:tcPr>
            <w:tcW w:w="811" w:type="pct"/>
            <w:tcBorders>
              <w:tl2br w:val="nil"/>
              <w:tr2bl w:val="nil"/>
            </w:tcBorders>
            <w:vAlign w:val="center"/>
          </w:tcPr>
          <w:p w14:paraId="54086407">
            <w:pPr>
              <w:pStyle w:val="409"/>
              <w:spacing w:line="320" w:lineRule="exact"/>
              <w:jc w:val="center"/>
              <w:rPr>
                <w:rFonts w:ascii="Times New Roman" w:hAnsi="Times New Roman" w:eastAsia="宋体"/>
                <w:color w:val="000000"/>
              </w:rPr>
            </w:pPr>
            <w:r>
              <w:rPr>
                <w:rFonts w:ascii="Times New Roman" w:hAnsi="Times New Roman" w:eastAsia="宋体"/>
                <w:color w:val="000000"/>
              </w:rPr>
              <w:t>颗粒物</w:t>
            </w:r>
          </w:p>
        </w:tc>
        <w:tc>
          <w:tcPr>
            <w:tcW w:w="521" w:type="pct"/>
            <w:vMerge w:val="restart"/>
            <w:tcBorders>
              <w:tl2br w:val="nil"/>
              <w:tr2bl w:val="nil"/>
            </w:tcBorders>
            <w:vAlign w:val="center"/>
          </w:tcPr>
          <w:p w14:paraId="65D8D26E">
            <w:pPr>
              <w:spacing w:line="320" w:lineRule="exact"/>
              <w:jc w:val="center"/>
              <w:rPr>
                <w:color w:val="000000"/>
                <w:spacing w:val="24"/>
                <w:sz w:val="21"/>
              </w:rPr>
            </w:pPr>
            <w:r>
              <w:rPr>
                <w:color w:val="000000"/>
                <w:spacing w:val="24"/>
                <w:sz w:val="21"/>
              </w:rPr>
              <w:t>连续</w:t>
            </w:r>
          </w:p>
        </w:tc>
        <w:tc>
          <w:tcPr>
            <w:tcW w:w="1544" w:type="dxa"/>
            <w:tcBorders>
              <w:tl2br w:val="nil"/>
              <w:tr2bl w:val="nil"/>
            </w:tcBorders>
            <w:vAlign w:val="bottom"/>
          </w:tcPr>
          <w:p w14:paraId="124683BE">
            <w:pPr>
              <w:spacing w:line="320" w:lineRule="exact"/>
              <w:jc w:val="center"/>
              <w:rPr>
                <w:color w:val="000000"/>
                <w:spacing w:val="24"/>
                <w:sz w:val="21"/>
              </w:rPr>
            </w:pPr>
            <w:r>
              <w:rPr>
                <w:rFonts w:hint="eastAsia"/>
                <w:color w:val="000000"/>
                <w:spacing w:val="24"/>
                <w:sz w:val="21"/>
              </w:rPr>
              <w:t xml:space="preserve">0.0075 </w:t>
            </w:r>
          </w:p>
        </w:tc>
        <w:tc>
          <w:tcPr>
            <w:tcW w:w="852" w:type="pct"/>
            <w:tcBorders>
              <w:tl2br w:val="nil"/>
              <w:tr2bl w:val="nil"/>
            </w:tcBorders>
            <w:vAlign w:val="center"/>
          </w:tcPr>
          <w:p w14:paraId="771D0D87">
            <w:pPr>
              <w:spacing w:line="320" w:lineRule="exact"/>
              <w:jc w:val="center"/>
              <w:rPr>
                <w:color w:val="000000"/>
                <w:spacing w:val="24"/>
                <w:sz w:val="21"/>
              </w:rPr>
            </w:pPr>
            <w:r>
              <w:rPr>
                <w:color w:val="000000"/>
                <w:spacing w:val="24"/>
                <w:sz w:val="21"/>
              </w:rPr>
              <w:t>0.06</w:t>
            </w:r>
          </w:p>
        </w:tc>
        <w:tc>
          <w:tcPr>
            <w:tcW w:w="1185" w:type="pct"/>
            <w:vMerge w:val="restart"/>
            <w:tcBorders>
              <w:tl2br w:val="nil"/>
              <w:tr2bl w:val="nil"/>
            </w:tcBorders>
            <w:vAlign w:val="center"/>
          </w:tcPr>
          <w:p w14:paraId="15CEC968">
            <w:pPr>
              <w:spacing w:line="320" w:lineRule="exact"/>
              <w:jc w:val="center"/>
              <w:rPr>
                <w:color w:val="000000"/>
                <w:spacing w:val="24"/>
                <w:sz w:val="21"/>
              </w:rPr>
            </w:pPr>
            <w:r>
              <w:rPr>
                <w:color w:val="000000"/>
                <w:spacing w:val="24"/>
                <w:sz w:val="21"/>
              </w:rPr>
              <w:t>80m的高架火炬排放</w:t>
            </w:r>
          </w:p>
        </w:tc>
      </w:tr>
      <w:tr w14:paraId="74A8BEC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76" w:type="pct"/>
            <w:vMerge w:val="continue"/>
            <w:tcBorders>
              <w:tl2br w:val="nil"/>
              <w:tr2bl w:val="nil"/>
            </w:tcBorders>
            <w:vAlign w:val="center"/>
          </w:tcPr>
          <w:p w14:paraId="0078B416">
            <w:pPr>
              <w:spacing w:line="320" w:lineRule="exact"/>
              <w:jc w:val="center"/>
              <w:rPr>
                <w:color w:val="000000"/>
                <w:sz w:val="21"/>
              </w:rPr>
            </w:pPr>
          </w:p>
        </w:tc>
        <w:tc>
          <w:tcPr>
            <w:tcW w:w="811" w:type="pct"/>
            <w:tcBorders>
              <w:tl2br w:val="nil"/>
              <w:tr2bl w:val="nil"/>
            </w:tcBorders>
            <w:vAlign w:val="center"/>
          </w:tcPr>
          <w:p w14:paraId="79E1EFD1">
            <w:pPr>
              <w:pStyle w:val="409"/>
              <w:spacing w:line="320" w:lineRule="exact"/>
              <w:jc w:val="center"/>
              <w:rPr>
                <w:rFonts w:ascii="Times New Roman" w:hAnsi="Times New Roman" w:eastAsia="宋体"/>
                <w:color w:val="000000"/>
              </w:rPr>
            </w:pPr>
            <w:r>
              <w:rPr>
                <w:rFonts w:ascii="Times New Roman" w:hAnsi="Times New Roman" w:eastAsia="宋体"/>
                <w:color w:val="000000"/>
              </w:rPr>
              <w:t>NO</w:t>
            </w:r>
            <w:r>
              <w:rPr>
                <w:rFonts w:ascii="Times New Roman" w:hAnsi="Times New Roman" w:eastAsia="宋体"/>
                <w:color w:val="000000"/>
                <w:vertAlign w:val="subscript"/>
              </w:rPr>
              <w:t>x</w:t>
            </w:r>
          </w:p>
        </w:tc>
        <w:tc>
          <w:tcPr>
            <w:tcW w:w="521" w:type="pct"/>
            <w:vMerge w:val="continue"/>
            <w:tcBorders>
              <w:tl2br w:val="nil"/>
              <w:tr2bl w:val="nil"/>
            </w:tcBorders>
            <w:vAlign w:val="center"/>
          </w:tcPr>
          <w:p w14:paraId="76689931">
            <w:pPr>
              <w:spacing w:line="320" w:lineRule="exact"/>
              <w:jc w:val="center"/>
              <w:rPr>
                <w:color w:val="000000"/>
                <w:spacing w:val="24"/>
                <w:sz w:val="21"/>
              </w:rPr>
            </w:pPr>
          </w:p>
        </w:tc>
        <w:tc>
          <w:tcPr>
            <w:tcW w:w="1544" w:type="dxa"/>
            <w:tcBorders>
              <w:tl2br w:val="nil"/>
              <w:tr2bl w:val="nil"/>
            </w:tcBorders>
            <w:vAlign w:val="bottom"/>
          </w:tcPr>
          <w:p w14:paraId="25D1F4A1">
            <w:pPr>
              <w:spacing w:line="320" w:lineRule="exact"/>
              <w:jc w:val="center"/>
              <w:rPr>
                <w:color w:val="000000"/>
                <w:spacing w:val="24"/>
                <w:sz w:val="21"/>
              </w:rPr>
            </w:pPr>
            <w:r>
              <w:rPr>
                <w:rFonts w:hint="eastAsia"/>
                <w:color w:val="000000"/>
                <w:spacing w:val="24"/>
                <w:sz w:val="21"/>
              </w:rPr>
              <w:t xml:space="preserve">0.0225 </w:t>
            </w:r>
          </w:p>
        </w:tc>
        <w:tc>
          <w:tcPr>
            <w:tcW w:w="852" w:type="pct"/>
            <w:tcBorders>
              <w:tl2br w:val="nil"/>
              <w:tr2bl w:val="nil"/>
            </w:tcBorders>
            <w:vAlign w:val="center"/>
          </w:tcPr>
          <w:p w14:paraId="249CAD6F">
            <w:pPr>
              <w:spacing w:line="320" w:lineRule="exact"/>
              <w:jc w:val="center"/>
              <w:rPr>
                <w:color w:val="000000"/>
                <w:spacing w:val="24"/>
                <w:sz w:val="21"/>
              </w:rPr>
            </w:pPr>
            <w:r>
              <w:rPr>
                <w:color w:val="000000"/>
                <w:spacing w:val="24"/>
                <w:sz w:val="21"/>
              </w:rPr>
              <w:t>0.18</w:t>
            </w:r>
          </w:p>
        </w:tc>
        <w:tc>
          <w:tcPr>
            <w:tcW w:w="1185" w:type="pct"/>
            <w:vMerge w:val="continue"/>
            <w:tcBorders>
              <w:tl2br w:val="nil"/>
              <w:tr2bl w:val="nil"/>
            </w:tcBorders>
            <w:vAlign w:val="center"/>
          </w:tcPr>
          <w:p w14:paraId="0D77ED45">
            <w:pPr>
              <w:spacing w:line="320" w:lineRule="exact"/>
              <w:jc w:val="center"/>
              <w:rPr>
                <w:color w:val="000000"/>
                <w:spacing w:val="24"/>
                <w:sz w:val="21"/>
              </w:rPr>
            </w:pPr>
          </w:p>
        </w:tc>
      </w:tr>
      <w:tr w14:paraId="7A51E93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56" w:hRule="atLeast"/>
        </w:trPr>
        <w:tc>
          <w:tcPr>
            <w:tcW w:w="776" w:type="pct"/>
            <w:vMerge w:val="continue"/>
            <w:tcBorders>
              <w:tl2br w:val="nil"/>
              <w:tr2bl w:val="nil"/>
            </w:tcBorders>
            <w:vAlign w:val="center"/>
          </w:tcPr>
          <w:p w14:paraId="6933C3DC">
            <w:pPr>
              <w:spacing w:line="320" w:lineRule="exact"/>
              <w:jc w:val="center"/>
              <w:rPr>
                <w:color w:val="000000"/>
                <w:sz w:val="21"/>
              </w:rPr>
            </w:pPr>
          </w:p>
        </w:tc>
        <w:tc>
          <w:tcPr>
            <w:tcW w:w="811" w:type="pct"/>
            <w:tcBorders>
              <w:tl2br w:val="nil"/>
              <w:tr2bl w:val="nil"/>
            </w:tcBorders>
            <w:vAlign w:val="center"/>
          </w:tcPr>
          <w:p w14:paraId="43404E1E">
            <w:pPr>
              <w:pStyle w:val="409"/>
              <w:spacing w:line="320" w:lineRule="exact"/>
              <w:jc w:val="center"/>
              <w:rPr>
                <w:rFonts w:ascii="Times New Roman" w:hAnsi="Times New Roman" w:eastAsia="宋体"/>
                <w:color w:val="000000"/>
              </w:rPr>
            </w:pPr>
            <w:r>
              <w:rPr>
                <w:rFonts w:ascii="Times New Roman" w:hAnsi="Times New Roman" w:eastAsia="宋体"/>
                <w:color w:val="000000"/>
              </w:rPr>
              <w:t>SO</w:t>
            </w:r>
            <w:r>
              <w:rPr>
                <w:rFonts w:ascii="Times New Roman" w:hAnsi="Times New Roman" w:eastAsia="宋体"/>
                <w:color w:val="000000"/>
                <w:vertAlign w:val="subscript"/>
              </w:rPr>
              <w:t>2</w:t>
            </w:r>
          </w:p>
        </w:tc>
        <w:tc>
          <w:tcPr>
            <w:tcW w:w="521" w:type="pct"/>
            <w:vMerge w:val="continue"/>
            <w:tcBorders>
              <w:tl2br w:val="nil"/>
              <w:tr2bl w:val="nil"/>
            </w:tcBorders>
            <w:vAlign w:val="center"/>
          </w:tcPr>
          <w:p w14:paraId="69323CAD">
            <w:pPr>
              <w:spacing w:line="320" w:lineRule="exact"/>
              <w:jc w:val="center"/>
              <w:rPr>
                <w:color w:val="000000"/>
                <w:spacing w:val="24"/>
                <w:sz w:val="21"/>
              </w:rPr>
            </w:pPr>
          </w:p>
        </w:tc>
        <w:tc>
          <w:tcPr>
            <w:tcW w:w="1544" w:type="dxa"/>
            <w:tcBorders>
              <w:tl2br w:val="nil"/>
              <w:tr2bl w:val="nil"/>
            </w:tcBorders>
            <w:vAlign w:val="bottom"/>
          </w:tcPr>
          <w:p w14:paraId="1843AB7D">
            <w:pPr>
              <w:spacing w:line="320" w:lineRule="exact"/>
              <w:jc w:val="center"/>
              <w:rPr>
                <w:color w:val="000000"/>
                <w:spacing w:val="24"/>
                <w:sz w:val="21"/>
              </w:rPr>
            </w:pPr>
            <w:r>
              <w:rPr>
                <w:rFonts w:hint="eastAsia"/>
                <w:color w:val="000000"/>
                <w:spacing w:val="24"/>
                <w:sz w:val="21"/>
              </w:rPr>
              <w:t xml:space="preserve">0.00375 </w:t>
            </w:r>
          </w:p>
        </w:tc>
        <w:tc>
          <w:tcPr>
            <w:tcW w:w="852" w:type="pct"/>
            <w:tcBorders>
              <w:tl2br w:val="nil"/>
              <w:tr2bl w:val="nil"/>
            </w:tcBorders>
            <w:vAlign w:val="center"/>
          </w:tcPr>
          <w:p w14:paraId="1FD83658">
            <w:pPr>
              <w:spacing w:line="320" w:lineRule="exact"/>
              <w:jc w:val="center"/>
              <w:rPr>
                <w:color w:val="000000"/>
                <w:spacing w:val="24"/>
                <w:sz w:val="21"/>
              </w:rPr>
            </w:pPr>
            <w:r>
              <w:rPr>
                <w:color w:val="000000"/>
                <w:spacing w:val="24"/>
                <w:sz w:val="21"/>
              </w:rPr>
              <w:t>0.03</w:t>
            </w:r>
          </w:p>
        </w:tc>
        <w:tc>
          <w:tcPr>
            <w:tcW w:w="1185" w:type="pct"/>
            <w:vMerge w:val="continue"/>
            <w:tcBorders>
              <w:tl2br w:val="nil"/>
              <w:tr2bl w:val="nil"/>
            </w:tcBorders>
            <w:vAlign w:val="center"/>
          </w:tcPr>
          <w:p w14:paraId="73FA2A33">
            <w:pPr>
              <w:spacing w:line="320" w:lineRule="exact"/>
              <w:jc w:val="center"/>
              <w:rPr>
                <w:color w:val="000000"/>
                <w:spacing w:val="24"/>
                <w:sz w:val="21"/>
              </w:rPr>
            </w:pPr>
          </w:p>
        </w:tc>
      </w:tr>
      <w:tr w14:paraId="16640CC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776" w:type="pct"/>
            <w:tcBorders>
              <w:tl2br w:val="nil"/>
              <w:tr2bl w:val="nil"/>
            </w:tcBorders>
            <w:vAlign w:val="center"/>
          </w:tcPr>
          <w:p w14:paraId="3AA1A0EB">
            <w:pPr>
              <w:spacing w:line="320" w:lineRule="exact"/>
              <w:jc w:val="center"/>
              <w:rPr>
                <w:color w:val="000000"/>
                <w:sz w:val="21"/>
              </w:rPr>
            </w:pPr>
            <w:r>
              <w:rPr>
                <w:color w:val="000000"/>
                <w:sz w:val="21"/>
              </w:rPr>
              <w:t>阀门泄漏</w:t>
            </w:r>
          </w:p>
        </w:tc>
        <w:tc>
          <w:tcPr>
            <w:tcW w:w="811" w:type="pct"/>
            <w:tcBorders>
              <w:tl2br w:val="nil"/>
              <w:tr2bl w:val="nil"/>
            </w:tcBorders>
            <w:vAlign w:val="center"/>
          </w:tcPr>
          <w:p w14:paraId="7417C1F5">
            <w:pPr>
              <w:spacing w:line="320" w:lineRule="exact"/>
              <w:jc w:val="center"/>
              <w:rPr>
                <w:color w:val="000000"/>
                <w:sz w:val="21"/>
              </w:rPr>
            </w:pPr>
            <w:r>
              <w:rPr>
                <w:color w:val="000000"/>
                <w:sz w:val="21"/>
              </w:rPr>
              <w:t>非甲烷总烃</w:t>
            </w:r>
          </w:p>
        </w:tc>
        <w:tc>
          <w:tcPr>
            <w:tcW w:w="521" w:type="pct"/>
            <w:tcBorders>
              <w:tl2br w:val="nil"/>
              <w:tr2bl w:val="nil"/>
            </w:tcBorders>
            <w:vAlign w:val="center"/>
          </w:tcPr>
          <w:p w14:paraId="772E6575">
            <w:pPr>
              <w:spacing w:line="320" w:lineRule="exact"/>
              <w:jc w:val="center"/>
              <w:rPr>
                <w:color w:val="000000"/>
                <w:sz w:val="21"/>
              </w:rPr>
            </w:pPr>
            <w:r>
              <w:rPr>
                <w:color w:val="000000"/>
                <w:sz w:val="21"/>
              </w:rPr>
              <w:t>间断</w:t>
            </w:r>
          </w:p>
        </w:tc>
        <w:tc>
          <w:tcPr>
            <w:tcW w:w="852" w:type="pct"/>
            <w:tcBorders>
              <w:tl2br w:val="nil"/>
              <w:tr2bl w:val="nil"/>
            </w:tcBorders>
            <w:vAlign w:val="center"/>
          </w:tcPr>
          <w:p w14:paraId="2BBFB605">
            <w:pPr>
              <w:spacing w:line="320" w:lineRule="exact"/>
              <w:jc w:val="center"/>
              <w:rPr>
                <w:color w:val="000000"/>
                <w:sz w:val="21"/>
              </w:rPr>
            </w:pPr>
            <w:r>
              <w:rPr>
                <w:color w:val="000000"/>
                <w:sz w:val="21"/>
              </w:rPr>
              <w:t>0.22</w:t>
            </w:r>
          </w:p>
        </w:tc>
        <w:tc>
          <w:tcPr>
            <w:tcW w:w="852" w:type="pct"/>
            <w:tcBorders>
              <w:tl2br w:val="nil"/>
              <w:tr2bl w:val="nil"/>
            </w:tcBorders>
            <w:vAlign w:val="center"/>
          </w:tcPr>
          <w:p w14:paraId="34B4EDD8">
            <w:pPr>
              <w:spacing w:line="320" w:lineRule="exact"/>
              <w:jc w:val="center"/>
              <w:rPr>
                <w:color w:val="000000"/>
                <w:sz w:val="21"/>
              </w:rPr>
            </w:pPr>
            <w:r>
              <w:rPr>
                <w:color w:val="000000"/>
                <w:sz w:val="21"/>
              </w:rPr>
              <w:t>1.76</w:t>
            </w:r>
          </w:p>
        </w:tc>
        <w:tc>
          <w:tcPr>
            <w:tcW w:w="1185" w:type="pct"/>
            <w:tcBorders>
              <w:tl2br w:val="nil"/>
              <w:tr2bl w:val="nil"/>
            </w:tcBorders>
            <w:vAlign w:val="center"/>
          </w:tcPr>
          <w:p w14:paraId="3AB7FF4A">
            <w:pPr>
              <w:spacing w:line="320" w:lineRule="exact"/>
              <w:jc w:val="center"/>
              <w:rPr>
                <w:color w:val="000000"/>
                <w:spacing w:val="24"/>
                <w:sz w:val="21"/>
              </w:rPr>
            </w:pPr>
            <w:r>
              <w:rPr>
                <w:color w:val="000000"/>
                <w:spacing w:val="24"/>
                <w:sz w:val="21"/>
              </w:rPr>
              <w:t>无组织排放</w:t>
            </w:r>
          </w:p>
        </w:tc>
      </w:tr>
      <w:tr w14:paraId="54E0D44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497" w:hRule="atLeast"/>
        </w:trPr>
        <w:tc>
          <w:tcPr>
            <w:tcW w:w="776" w:type="pct"/>
            <w:tcBorders>
              <w:tl2br w:val="nil"/>
              <w:tr2bl w:val="nil"/>
            </w:tcBorders>
            <w:vAlign w:val="center"/>
          </w:tcPr>
          <w:p w14:paraId="1BD939A5">
            <w:pPr>
              <w:spacing w:line="320" w:lineRule="exact"/>
              <w:jc w:val="center"/>
              <w:rPr>
                <w:color w:val="000000"/>
                <w:sz w:val="21"/>
              </w:rPr>
            </w:pPr>
            <w:r>
              <w:rPr>
                <w:color w:val="000000"/>
                <w:sz w:val="21"/>
              </w:rPr>
              <w:t>装车泄漏</w:t>
            </w:r>
          </w:p>
        </w:tc>
        <w:tc>
          <w:tcPr>
            <w:tcW w:w="811" w:type="pct"/>
            <w:tcBorders>
              <w:tl2br w:val="nil"/>
              <w:tr2bl w:val="nil"/>
            </w:tcBorders>
            <w:vAlign w:val="center"/>
          </w:tcPr>
          <w:p w14:paraId="29A28873">
            <w:pPr>
              <w:spacing w:line="320" w:lineRule="exact"/>
              <w:jc w:val="center"/>
              <w:rPr>
                <w:color w:val="000000"/>
                <w:sz w:val="21"/>
              </w:rPr>
            </w:pPr>
            <w:r>
              <w:rPr>
                <w:color w:val="000000"/>
                <w:sz w:val="21"/>
              </w:rPr>
              <w:t>非甲烷总烃</w:t>
            </w:r>
          </w:p>
        </w:tc>
        <w:tc>
          <w:tcPr>
            <w:tcW w:w="521" w:type="pct"/>
            <w:tcBorders>
              <w:tl2br w:val="nil"/>
              <w:tr2bl w:val="nil"/>
            </w:tcBorders>
            <w:vAlign w:val="center"/>
          </w:tcPr>
          <w:p w14:paraId="1E5DD923">
            <w:pPr>
              <w:spacing w:line="320" w:lineRule="exact"/>
              <w:jc w:val="center"/>
              <w:rPr>
                <w:color w:val="000000"/>
                <w:sz w:val="21"/>
              </w:rPr>
            </w:pPr>
            <w:r>
              <w:rPr>
                <w:color w:val="000000"/>
                <w:sz w:val="21"/>
              </w:rPr>
              <w:t>间断</w:t>
            </w:r>
          </w:p>
        </w:tc>
        <w:tc>
          <w:tcPr>
            <w:tcW w:w="852" w:type="pct"/>
            <w:tcBorders>
              <w:tl2br w:val="nil"/>
              <w:tr2bl w:val="nil"/>
            </w:tcBorders>
            <w:vAlign w:val="center"/>
          </w:tcPr>
          <w:p w14:paraId="4D41B4AF">
            <w:pPr>
              <w:spacing w:line="320" w:lineRule="exact"/>
              <w:jc w:val="center"/>
              <w:rPr>
                <w:color w:val="000000"/>
                <w:sz w:val="21"/>
              </w:rPr>
            </w:pPr>
            <w:r>
              <w:rPr>
                <w:color w:val="000000"/>
                <w:sz w:val="21"/>
              </w:rPr>
              <w:t>0.01</w:t>
            </w:r>
          </w:p>
        </w:tc>
        <w:tc>
          <w:tcPr>
            <w:tcW w:w="852" w:type="pct"/>
            <w:tcBorders>
              <w:tl2br w:val="nil"/>
              <w:tr2bl w:val="nil"/>
            </w:tcBorders>
            <w:vAlign w:val="center"/>
          </w:tcPr>
          <w:p w14:paraId="5CA95C05">
            <w:pPr>
              <w:spacing w:line="320" w:lineRule="exact"/>
              <w:jc w:val="center"/>
              <w:rPr>
                <w:color w:val="000000"/>
                <w:sz w:val="21"/>
              </w:rPr>
            </w:pPr>
            <w:r>
              <w:rPr>
                <w:color w:val="000000"/>
                <w:sz w:val="21"/>
              </w:rPr>
              <w:t>0.08</w:t>
            </w:r>
          </w:p>
        </w:tc>
        <w:tc>
          <w:tcPr>
            <w:tcW w:w="1185" w:type="pct"/>
            <w:tcBorders>
              <w:tl2br w:val="nil"/>
              <w:tr2bl w:val="nil"/>
            </w:tcBorders>
            <w:vAlign w:val="center"/>
          </w:tcPr>
          <w:p w14:paraId="7D452384">
            <w:pPr>
              <w:spacing w:line="320" w:lineRule="exact"/>
              <w:jc w:val="center"/>
              <w:rPr>
                <w:color w:val="000000"/>
                <w:spacing w:val="24"/>
                <w:sz w:val="21"/>
              </w:rPr>
            </w:pPr>
            <w:r>
              <w:rPr>
                <w:color w:val="000000"/>
                <w:spacing w:val="24"/>
                <w:sz w:val="21"/>
              </w:rPr>
              <w:t>无组织排放</w:t>
            </w:r>
          </w:p>
        </w:tc>
      </w:tr>
    </w:tbl>
    <w:p w14:paraId="4E98DD03">
      <w:pPr>
        <w:ind w:firstLine="480"/>
        <w:rPr>
          <w:color w:val="000000"/>
          <w:szCs w:val="24"/>
        </w:rPr>
      </w:pPr>
      <w:r>
        <w:rPr>
          <w:color w:val="000000"/>
          <w:szCs w:val="24"/>
        </w:rPr>
        <w:t>（2）废水</w:t>
      </w:r>
    </w:p>
    <w:p w14:paraId="0DF9F39A">
      <w:pPr>
        <w:ind w:firstLine="480"/>
        <w:rPr>
          <w:color w:val="000000"/>
          <w:szCs w:val="24"/>
        </w:rPr>
      </w:pPr>
      <w:r>
        <w:rPr>
          <w:color w:val="000000"/>
          <w:szCs w:val="24"/>
        </w:rPr>
        <w:t>① 生产废水</w:t>
      </w:r>
    </w:p>
    <w:p w14:paraId="13FB67C0">
      <w:pPr>
        <w:ind w:firstLine="480"/>
        <w:rPr>
          <w:color w:val="000000"/>
          <w:szCs w:val="24"/>
        </w:rPr>
      </w:pPr>
      <w:r>
        <w:rPr>
          <w:color w:val="000000"/>
          <w:szCs w:val="24"/>
        </w:rPr>
        <w:t>项目在营运期间的生产废水包括：W1原料气过滤器产生的废水、W2胺闪蒸罐产生的废液、W3胺汽提塔废液、W4脱水阶段分子筛过滤器、W5干燥器再生阶段的废液、W6贫胺过滤器产生的废液、火炬前分液罐废液W7、地坪清洁废水W8。其中W3、W4、W5、W6和W7均进入胺闪蒸罐。因此外排的生产废水为W1原料气过滤器产生的废水、W2胺闪蒸罐产生的废液以及地坪清洁废水W8。</w:t>
      </w:r>
    </w:p>
    <w:p w14:paraId="246D1ACC">
      <w:pPr>
        <w:ind w:firstLine="480"/>
        <w:rPr>
          <w:color w:val="000000"/>
          <w:szCs w:val="24"/>
        </w:rPr>
      </w:pPr>
      <w:r>
        <w:rPr>
          <w:color w:val="000000"/>
          <w:szCs w:val="24"/>
        </w:rPr>
        <w:t>W1原料气过滤器产生的废水主要是生产过程中原料气进装置时从输气管带入微量游离水，共0.7m</w:t>
      </w:r>
      <w:r>
        <w:rPr>
          <w:color w:val="000000"/>
          <w:szCs w:val="24"/>
          <w:vertAlign w:val="superscript"/>
        </w:rPr>
        <w:t>3</w:t>
      </w:r>
      <w:r>
        <w:rPr>
          <w:color w:val="000000"/>
          <w:szCs w:val="24"/>
        </w:rPr>
        <w:t>/d（0.029m</w:t>
      </w:r>
      <w:r>
        <w:rPr>
          <w:color w:val="000000"/>
          <w:szCs w:val="24"/>
          <w:vertAlign w:val="superscript"/>
        </w:rPr>
        <w:t>3</w:t>
      </w:r>
      <w:r>
        <w:rPr>
          <w:color w:val="000000"/>
          <w:szCs w:val="24"/>
        </w:rPr>
        <w:t>/h），该部分生产工艺废水水量少，水中污染物质较为简单，主要污染物为</w:t>
      </w:r>
      <w:r>
        <w:rPr>
          <w:color w:val="000000"/>
          <w:szCs w:val="24"/>
          <w:lang w:val="zh-CN"/>
        </w:rPr>
        <w:t>COD、</w:t>
      </w:r>
      <w:r>
        <w:rPr>
          <w:color w:val="000000"/>
          <w:szCs w:val="24"/>
        </w:rPr>
        <w:t>石油类、SS；W2胺闪蒸罐产生的废水：主要是胺闪蒸罐内产生的废液，约1.71m</w:t>
      </w:r>
      <w:r>
        <w:rPr>
          <w:color w:val="000000"/>
          <w:szCs w:val="24"/>
          <w:vertAlign w:val="superscript"/>
        </w:rPr>
        <w:t>3</w:t>
      </w:r>
      <w:r>
        <w:rPr>
          <w:color w:val="000000"/>
          <w:szCs w:val="24"/>
        </w:rPr>
        <w:t>/d（71kg/h），主要为高浓度的有机废液，主要污染物为</w:t>
      </w:r>
      <w:r>
        <w:rPr>
          <w:color w:val="000000"/>
          <w:szCs w:val="24"/>
          <w:lang w:val="zh-CN"/>
        </w:rPr>
        <w:t>COD、</w:t>
      </w:r>
      <w:r>
        <w:rPr>
          <w:color w:val="000000"/>
          <w:szCs w:val="24"/>
        </w:rPr>
        <w:t>石油类；W8地坪冲洗水排放量为10m</w:t>
      </w:r>
      <w:r>
        <w:rPr>
          <w:color w:val="000000"/>
          <w:szCs w:val="24"/>
          <w:vertAlign w:val="superscript"/>
        </w:rPr>
        <w:t>3</w:t>
      </w:r>
      <w:r>
        <w:rPr>
          <w:color w:val="000000"/>
          <w:szCs w:val="24"/>
        </w:rPr>
        <w:t>/次，半个月一次，240m</w:t>
      </w:r>
      <w:r>
        <w:rPr>
          <w:color w:val="000000"/>
          <w:szCs w:val="24"/>
          <w:vertAlign w:val="superscript"/>
        </w:rPr>
        <w:t>3</w:t>
      </w:r>
      <w:r>
        <w:rPr>
          <w:color w:val="000000"/>
          <w:szCs w:val="24"/>
        </w:rPr>
        <w:t>/a，主要污染物COD、SS、石油类。</w:t>
      </w:r>
    </w:p>
    <w:p w14:paraId="53990936">
      <w:pPr>
        <w:ind w:firstLine="480" w:firstLineChars="200"/>
        <w:rPr>
          <w:color w:val="000000"/>
        </w:rPr>
      </w:pPr>
      <w:r>
        <w:rPr>
          <w:color w:val="000000"/>
          <w:szCs w:val="24"/>
        </w:rPr>
        <w:t>生产废水经重力由生产废水管道排入生产废水池，再由泵提升，在项目界区内与生活污水合并后输送至园区潘家坝污水处理厂统一处理。其中胺闪蒸罐废水定期委外处置。</w:t>
      </w:r>
    </w:p>
    <w:p w14:paraId="0879A650">
      <w:pPr>
        <w:ind w:firstLine="480"/>
        <w:rPr>
          <w:color w:val="000000"/>
          <w:szCs w:val="24"/>
        </w:rPr>
      </w:pPr>
      <w:r>
        <w:rPr>
          <w:color w:val="000000"/>
          <w:szCs w:val="24"/>
        </w:rPr>
        <w:t>② 生活污水</w:t>
      </w:r>
    </w:p>
    <w:p w14:paraId="5581384F">
      <w:pPr>
        <w:ind w:firstLine="522"/>
        <w:rPr>
          <w:color w:val="000000"/>
          <w:szCs w:val="24"/>
        </w:rPr>
      </w:pPr>
      <w:r>
        <w:rPr>
          <w:color w:val="000000"/>
          <w:szCs w:val="24"/>
        </w:rPr>
        <w:t>项目生活污水的排放量为8.03m</w:t>
      </w:r>
      <w:r>
        <w:rPr>
          <w:color w:val="000000"/>
          <w:szCs w:val="24"/>
          <w:vertAlign w:val="superscript"/>
        </w:rPr>
        <w:t>3</w:t>
      </w:r>
      <w:r>
        <w:rPr>
          <w:color w:val="000000"/>
          <w:szCs w:val="24"/>
        </w:rPr>
        <w:t>/d，生活污水水质主要污染物COD、SS、NH</w:t>
      </w:r>
      <w:r>
        <w:rPr>
          <w:color w:val="000000"/>
          <w:szCs w:val="24"/>
          <w:vertAlign w:val="subscript"/>
        </w:rPr>
        <w:t>3</w:t>
      </w:r>
      <w:r>
        <w:rPr>
          <w:color w:val="000000"/>
          <w:szCs w:val="24"/>
        </w:rPr>
        <w:t>-N、TP。生活污水先经化粪池处理后再进入生活污水提升池，经泵提升后与收集的生产废水汇合后统一输送至园区潘家坝污水处理厂处理。</w:t>
      </w:r>
    </w:p>
    <w:p w14:paraId="52AFEE9E">
      <w:pPr>
        <w:ind w:firstLine="480"/>
        <w:rPr>
          <w:color w:val="000000"/>
          <w:szCs w:val="24"/>
        </w:rPr>
      </w:pPr>
      <w:r>
        <w:rPr>
          <w:color w:val="000000"/>
          <w:szCs w:val="24"/>
        </w:rPr>
        <w:t>③ 循环冷却水</w:t>
      </w:r>
    </w:p>
    <w:p w14:paraId="72503421">
      <w:pPr>
        <w:ind w:firstLine="480"/>
        <w:rPr>
          <w:color w:val="000000"/>
          <w:szCs w:val="24"/>
        </w:rPr>
      </w:pPr>
      <w:r>
        <w:rPr>
          <w:color w:val="000000"/>
          <w:szCs w:val="24"/>
        </w:rPr>
        <w:t>项目生产过程主要用水量为循环、冷却水补充水，该系统排水量为9m</w:t>
      </w:r>
      <w:r>
        <w:rPr>
          <w:color w:val="000000"/>
          <w:szCs w:val="24"/>
          <w:vertAlign w:val="superscript"/>
        </w:rPr>
        <w:t>3</w:t>
      </w:r>
      <w:r>
        <w:rPr>
          <w:color w:val="000000"/>
          <w:szCs w:val="24"/>
        </w:rPr>
        <w:t>/h，该水质为高硬度水，不含有其他污染物质，可直接排入雨水管网。</w:t>
      </w:r>
    </w:p>
    <w:p w14:paraId="488B2FC3">
      <w:pPr>
        <w:ind w:firstLine="480"/>
        <w:rPr>
          <w:color w:val="000000"/>
          <w:szCs w:val="24"/>
        </w:rPr>
      </w:pPr>
      <w:r>
        <w:rPr>
          <w:color w:val="000000"/>
          <w:szCs w:val="24"/>
        </w:rPr>
        <w:t>④初期雨水</w:t>
      </w:r>
    </w:p>
    <w:p w14:paraId="21583722">
      <w:pPr>
        <w:ind w:firstLine="522"/>
        <w:rPr>
          <w:color w:val="000000"/>
          <w:szCs w:val="24"/>
        </w:rPr>
      </w:pPr>
      <w:r>
        <w:rPr>
          <w:color w:val="000000"/>
          <w:szCs w:val="24"/>
        </w:rPr>
        <w:t>液化天然气在空气中很快气化，天然气比重比空气轻，会很快在空气中散发，因此生产装置区和装卸区降雨时不会受到较大污染，不考虑收集初期雨水。项目仅在项目事故状态下考虑初期雨水。</w:t>
      </w:r>
    </w:p>
    <w:p w14:paraId="7412BE3D">
      <w:pPr>
        <w:ind w:firstLine="480"/>
        <w:rPr>
          <w:color w:val="000000"/>
          <w:sz w:val="21"/>
        </w:rPr>
      </w:pPr>
      <w:r>
        <w:rPr>
          <w:color w:val="000000"/>
          <w:szCs w:val="24"/>
        </w:rPr>
        <w:t>现有工程废水情况见表2-16。</w:t>
      </w:r>
    </w:p>
    <w:p w14:paraId="03B958EA">
      <w:pPr>
        <w:ind w:firstLine="1505" w:firstLineChars="717"/>
        <w:rPr>
          <w:color w:val="000000"/>
          <w:sz w:val="21"/>
        </w:rPr>
      </w:pPr>
      <w:r>
        <w:rPr>
          <w:color w:val="000000"/>
          <w:sz w:val="21"/>
        </w:rPr>
        <w:t>表2-16  现有工程废水产生情况与处理、处置一览表</w:t>
      </w:r>
    </w:p>
    <w:tbl>
      <w:tblPr>
        <w:tblStyle w:val="73"/>
        <w:tblW w:w="4997"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74"/>
        <w:gridCol w:w="901"/>
        <w:gridCol w:w="1062"/>
        <w:gridCol w:w="882"/>
        <w:gridCol w:w="1595"/>
        <w:gridCol w:w="933"/>
        <w:gridCol w:w="967"/>
        <w:gridCol w:w="1016"/>
        <w:gridCol w:w="1224"/>
      </w:tblGrid>
      <w:tr w14:paraId="3646DA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 w:hRule="atLeast"/>
        </w:trPr>
        <w:tc>
          <w:tcPr>
            <w:tcW w:w="758" w:type="pct"/>
            <w:gridSpan w:val="2"/>
            <w:vMerge w:val="restart"/>
            <w:tcBorders>
              <w:tl2br w:val="nil"/>
              <w:tr2bl w:val="nil"/>
            </w:tcBorders>
            <w:vAlign w:val="center"/>
          </w:tcPr>
          <w:p w14:paraId="21796E50">
            <w:pPr>
              <w:spacing w:line="280" w:lineRule="exact"/>
              <w:jc w:val="center"/>
              <w:rPr>
                <w:color w:val="000000"/>
                <w:spacing w:val="24"/>
                <w:sz w:val="21"/>
              </w:rPr>
            </w:pPr>
            <w:r>
              <w:rPr>
                <w:color w:val="000000"/>
                <w:spacing w:val="24"/>
                <w:sz w:val="21"/>
              </w:rPr>
              <w:t>排放源</w:t>
            </w:r>
          </w:p>
        </w:tc>
        <w:tc>
          <w:tcPr>
            <w:tcW w:w="586" w:type="pct"/>
            <w:vMerge w:val="restart"/>
            <w:tcBorders>
              <w:tl2br w:val="nil"/>
              <w:tr2bl w:val="nil"/>
            </w:tcBorders>
            <w:vAlign w:val="center"/>
          </w:tcPr>
          <w:p w14:paraId="7A1B8F51">
            <w:pPr>
              <w:spacing w:line="280" w:lineRule="exact"/>
              <w:jc w:val="center"/>
              <w:rPr>
                <w:color w:val="000000"/>
                <w:spacing w:val="24"/>
                <w:sz w:val="21"/>
              </w:rPr>
            </w:pPr>
            <w:r>
              <w:rPr>
                <w:color w:val="000000"/>
                <w:spacing w:val="24"/>
                <w:sz w:val="21"/>
              </w:rPr>
              <w:t>废水量</w:t>
            </w:r>
          </w:p>
        </w:tc>
        <w:tc>
          <w:tcPr>
            <w:tcW w:w="487" w:type="pct"/>
            <w:vMerge w:val="restart"/>
            <w:tcBorders>
              <w:tl2br w:val="nil"/>
              <w:tr2bl w:val="nil"/>
            </w:tcBorders>
            <w:vAlign w:val="center"/>
          </w:tcPr>
          <w:p w14:paraId="6B606BCB">
            <w:pPr>
              <w:spacing w:line="280" w:lineRule="exact"/>
              <w:jc w:val="center"/>
              <w:rPr>
                <w:color w:val="000000"/>
                <w:spacing w:val="24"/>
                <w:sz w:val="21"/>
              </w:rPr>
            </w:pPr>
            <w:r>
              <w:rPr>
                <w:color w:val="000000"/>
                <w:spacing w:val="24"/>
                <w:sz w:val="21"/>
              </w:rPr>
              <w:t>主要污染物</w:t>
            </w:r>
          </w:p>
        </w:tc>
        <w:tc>
          <w:tcPr>
            <w:tcW w:w="881" w:type="pct"/>
            <w:vMerge w:val="restart"/>
            <w:tcBorders>
              <w:tl2br w:val="nil"/>
              <w:tr2bl w:val="nil"/>
            </w:tcBorders>
            <w:vAlign w:val="center"/>
          </w:tcPr>
          <w:p w14:paraId="363CB0D8">
            <w:pPr>
              <w:pStyle w:val="48"/>
              <w:pBdr>
                <w:bottom w:val="none" w:color="auto" w:sz="0" w:space="0"/>
              </w:pBdr>
              <w:tabs>
                <w:tab w:val="clear" w:pos="4153"/>
                <w:tab w:val="clear" w:pos="8306"/>
              </w:tabs>
              <w:spacing w:line="280" w:lineRule="exact"/>
              <w:rPr>
                <w:color w:val="000000"/>
                <w:spacing w:val="24"/>
                <w:sz w:val="21"/>
                <w:szCs w:val="21"/>
              </w:rPr>
            </w:pPr>
            <w:r>
              <w:rPr>
                <w:color w:val="000000"/>
                <w:spacing w:val="24"/>
                <w:sz w:val="21"/>
                <w:szCs w:val="21"/>
              </w:rPr>
              <w:t>治理措施</w:t>
            </w:r>
          </w:p>
        </w:tc>
        <w:tc>
          <w:tcPr>
            <w:tcW w:w="1049" w:type="pct"/>
            <w:gridSpan w:val="2"/>
            <w:tcBorders>
              <w:tl2br w:val="nil"/>
              <w:tr2bl w:val="nil"/>
            </w:tcBorders>
            <w:vAlign w:val="center"/>
          </w:tcPr>
          <w:p w14:paraId="41D0CE32">
            <w:pPr>
              <w:spacing w:line="280" w:lineRule="exact"/>
              <w:jc w:val="center"/>
              <w:rPr>
                <w:color w:val="000000"/>
                <w:spacing w:val="24"/>
                <w:sz w:val="21"/>
              </w:rPr>
            </w:pPr>
            <w:r>
              <w:rPr>
                <w:color w:val="000000"/>
                <w:spacing w:val="24"/>
                <w:sz w:val="21"/>
              </w:rPr>
              <w:t>排入园区污水处理厂</w:t>
            </w:r>
          </w:p>
        </w:tc>
        <w:tc>
          <w:tcPr>
            <w:tcW w:w="1237" w:type="pct"/>
            <w:gridSpan w:val="2"/>
            <w:tcBorders>
              <w:tl2br w:val="nil"/>
              <w:tr2bl w:val="nil"/>
            </w:tcBorders>
            <w:vAlign w:val="center"/>
          </w:tcPr>
          <w:p w14:paraId="11BF9E22">
            <w:pPr>
              <w:spacing w:line="280" w:lineRule="exact"/>
              <w:jc w:val="center"/>
              <w:rPr>
                <w:color w:val="000000"/>
                <w:spacing w:val="24"/>
                <w:sz w:val="21"/>
              </w:rPr>
            </w:pPr>
            <w:r>
              <w:rPr>
                <w:color w:val="000000"/>
                <w:spacing w:val="24"/>
                <w:sz w:val="21"/>
              </w:rPr>
              <w:t>排入环境</w:t>
            </w:r>
          </w:p>
        </w:tc>
      </w:tr>
      <w:tr w14:paraId="2E481A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 w:hRule="atLeast"/>
        </w:trPr>
        <w:tc>
          <w:tcPr>
            <w:tcW w:w="758" w:type="pct"/>
            <w:gridSpan w:val="2"/>
            <w:vMerge w:val="continue"/>
            <w:tcBorders>
              <w:tl2br w:val="nil"/>
              <w:tr2bl w:val="nil"/>
            </w:tcBorders>
            <w:vAlign w:val="center"/>
          </w:tcPr>
          <w:p w14:paraId="43AA8DE8">
            <w:pPr>
              <w:spacing w:line="280" w:lineRule="exact"/>
              <w:jc w:val="center"/>
              <w:rPr>
                <w:color w:val="000000"/>
                <w:spacing w:val="24"/>
                <w:sz w:val="21"/>
              </w:rPr>
            </w:pPr>
          </w:p>
        </w:tc>
        <w:tc>
          <w:tcPr>
            <w:tcW w:w="586" w:type="pct"/>
            <w:vMerge w:val="continue"/>
            <w:tcBorders>
              <w:tl2br w:val="nil"/>
              <w:tr2bl w:val="nil"/>
            </w:tcBorders>
            <w:vAlign w:val="center"/>
          </w:tcPr>
          <w:p w14:paraId="01E4DF43">
            <w:pPr>
              <w:spacing w:line="280" w:lineRule="exact"/>
              <w:jc w:val="center"/>
              <w:rPr>
                <w:color w:val="000000"/>
                <w:spacing w:val="24"/>
                <w:sz w:val="21"/>
              </w:rPr>
            </w:pPr>
          </w:p>
        </w:tc>
        <w:tc>
          <w:tcPr>
            <w:tcW w:w="487" w:type="pct"/>
            <w:vMerge w:val="continue"/>
            <w:tcBorders>
              <w:tl2br w:val="nil"/>
              <w:tr2bl w:val="nil"/>
            </w:tcBorders>
            <w:vAlign w:val="center"/>
          </w:tcPr>
          <w:p w14:paraId="028D02D6">
            <w:pPr>
              <w:spacing w:line="280" w:lineRule="exact"/>
              <w:jc w:val="center"/>
              <w:rPr>
                <w:color w:val="000000"/>
                <w:spacing w:val="24"/>
                <w:sz w:val="21"/>
              </w:rPr>
            </w:pPr>
          </w:p>
        </w:tc>
        <w:tc>
          <w:tcPr>
            <w:tcW w:w="881" w:type="pct"/>
            <w:vMerge w:val="continue"/>
            <w:tcBorders>
              <w:tl2br w:val="nil"/>
              <w:tr2bl w:val="nil"/>
            </w:tcBorders>
            <w:vAlign w:val="center"/>
          </w:tcPr>
          <w:p w14:paraId="3889EDE6">
            <w:pPr>
              <w:pStyle w:val="48"/>
              <w:pBdr>
                <w:bottom w:val="none" w:color="auto" w:sz="0" w:space="0"/>
              </w:pBdr>
              <w:tabs>
                <w:tab w:val="clear" w:pos="4153"/>
                <w:tab w:val="clear" w:pos="8306"/>
              </w:tabs>
              <w:spacing w:line="280" w:lineRule="exact"/>
              <w:rPr>
                <w:color w:val="000000"/>
                <w:spacing w:val="24"/>
                <w:sz w:val="21"/>
                <w:szCs w:val="21"/>
              </w:rPr>
            </w:pPr>
          </w:p>
        </w:tc>
        <w:tc>
          <w:tcPr>
            <w:tcW w:w="515" w:type="pct"/>
            <w:tcBorders>
              <w:tl2br w:val="nil"/>
              <w:tr2bl w:val="nil"/>
            </w:tcBorders>
            <w:vAlign w:val="center"/>
          </w:tcPr>
          <w:p w14:paraId="3C102367">
            <w:pPr>
              <w:spacing w:line="280" w:lineRule="exact"/>
              <w:jc w:val="center"/>
              <w:rPr>
                <w:color w:val="000000"/>
                <w:spacing w:val="24"/>
                <w:sz w:val="21"/>
              </w:rPr>
            </w:pPr>
            <w:r>
              <w:rPr>
                <w:color w:val="000000"/>
                <w:spacing w:val="24"/>
                <w:sz w:val="21"/>
              </w:rPr>
              <w:t>预测排放浓度mg/m</w:t>
            </w:r>
            <w:r>
              <w:rPr>
                <w:color w:val="000000"/>
                <w:spacing w:val="24"/>
                <w:sz w:val="21"/>
                <w:vertAlign w:val="superscript"/>
              </w:rPr>
              <w:t>3</w:t>
            </w:r>
          </w:p>
        </w:tc>
        <w:tc>
          <w:tcPr>
            <w:tcW w:w="534" w:type="pct"/>
            <w:tcBorders>
              <w:tl2br w:val="nil"/>
              <w:tr2bl w:val="nil"/>
            </w:tcBorders>
            <w:vAlign w:val="center"/>
          </w:tcPr>
          <w:p w14:paraId="4A4DE1F9">
            <w:pPr>
              <w:spacing w:line="280" w:lineRule="exact"/>
              <w:jc w:val="center"/>
              <w:rPr>
                <w:color w:val="000000"/>
                <w:spacing w:val="24"/>
                <w:sz w:val="21"/>
              </w:rPr>
            </w:pPr>
            <w:r>
              <w:rPr>
                <w:color w:val="000000"/>
                <w:spacing w:val="24"/>
                <w:sz w:val="21"/>
              </w:rPr>
              <w:t>排放量t/a</w:t>
            </w:r>
          </w:p>
        </w:tc>
        <w:tc>
          <w:tcPr>
            <w:tcW w:w="561" w:type="pct"/>
            <w:tcBorders>
              <w:tl2br w:val="nil"/>
              <w:tr2bl w:val="nil"/>
            </w:tcBorders>
            <w:vAlign w:val="center"/>
          </w:tcPr>
          <w:p w14:paraId="3FB080FB">
            <w:pPr>
              <w:spacing w:line="280" w:lineRule="exact"/>
              <w:jc w:val="center"/>
              <w:rPr>
                <w:color w:val="000000"/>
                <w:spacing w:val="24"/>
                <w:sz w:val="21"/>
              </w:rPr>
            </w:pPr>
            <w:r>
              <w:rPr>
                <w:color w:val="000000"/>
                <w:spacing w:val="24"/>
                <w:sz w:val="21"/>
              </w:rPr>
              <w:t>排放浓度mg/m</w:t>
            </w:r>
            <w:r>
              <w:rPr>
                <w:color w:val="000000"/>
                <w:spacing w:val="24"/>
                <w:sz w:val="21"/>
                <w:vertAlign w:val="superscript"/>
              </w:rPr>
              <w:t>3</w:t>
            </w:r>
          </w:p>
        </w:tc>
        <w:tc>
          <w:tcPr>
            <w:tcW w:w="675" w:type="pct"/>
            <w:tcBorders>
              <w:tl2br w:val="nil"/>
              <w:tr2bl w:val="nil"/>
            </w:tcBorders>
            <w:vAlign w:val="center"/>
          </w:tcPr>
          <w:p w14:paraId="2D63A4EF">
            <w:pPr>
              <w:spacing w:line="280" w:lineRule="exact"/>
              <w:jc w:val="center"/>
              <w:rPr>
                <w:color w:val="000000"/>
                <w:spacing w:val="24"/>
                <w:sz w:val="21"/>
              </w:rPr>
            </w:pPr>
            <w:r>
              <w:rPr>
                <w:color w:val="000000"/>
                <w:spacing w:val="24"/>
                <w:sz w:val="21"/>
              </w:rPr>
              <w:t>排放量t/a</w:t>
            </w:r>
          </w:p>
        </w:tc>
      </w:tr>
      <w:tr w14:paraId="2F237E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1" w:hRule="atLeast"/>
        </w:trPr>
        <w:tc>
          <w:tcPr>
            <w:tcW w:w="261" w:type="pct"/>
            <w:vMerge w:val="restart"/>
            <w:tcBorders>
              <w:tl2br w:val="nil"/>
              <w:tr2bl w:val="nil"/>
            </w:tcBorders>
            <w:vAlign w:val="center"/>
          </w:tcPr>
          <w:p w14:paraId="48644DC4">
            <w:pPr>
              <w:spacing w:line="280" w:lineRule="exact"/>
              <w:jc w:val="center"/>
              <w:rPr>
                <w:color w:val="000000"/>
                <w:spacing w:val="24"/>
                <w:sz w:val="21"/>
              </w:rPr>
            </w:pPr>
            <w:r>
              <w:rPr>
                <w:color w:val="000000"/>
                <w:spacing w:val="24"/>
                <w:sz w:val="21"/>
              </w:rPr>
              <w:t>生产废水</w:t>
            </w:r>
          </w:p>
        </w:tc>
        <w:tc>
          <w:tcPr>
            <w:tcW w:w="497" w:type="pct"/>
            <w:vMerge w:val="restart"/>
            <w:tcBorders>
              <w:tl2br w:val="nil"/>
              <w:tr2bl w:val="nil"/>
            </w:tcBorders>
            <w:vAlign w:val="center"/>
          </w:tcPr>
          <w:p w14:paraId="235CC052">
            <w:pPr>
              <w:spacing w:line="280" w:lineRule="exact"/>
              <w:jc w:val="center"/>
              <w:rPr>
                <w:color w:val="000000"/>
                <w:spacing w:val="24"/>
                <w:sz w:val="21"/>
              </w:rPr>
            </w:pPr>
            <w:r>
              <w:rPr>
                <w:color w:val="000000"/>
                <w:spacing w:val="24"/>
                <w:sz w:val="21"/>
              </w:rPr>
              <w:t>过滤器分离废水</w:t>
            </w:r>
          </w:p>
        </w:tc>
        <w:tc>
          <w:tcPr>
            <w:tcW w:w="586" w:type="pct"/>
            <w:vMerge w:val="restart"/>
            <w:tcBorders>
              <w:tl2br w:val="nil"/>
              <w:tr2bl w:val="nil"/>
            </w:tcBorders>
            <w:vAlign w:val="center"/>
          </w:tcPr>
          <w:p w14:paraId="757CB8E1">
            <w:pPr>
              <w:spacing w:line="280" w:lineRule="exact"/>
              <w:jc w:val="center"/>
              <w:rPr>
                <w:color w:val="000000"/>
                <w:spacing w:val="24"/>
                <w:sz w:val="21"/>
              </w:rPr>
            </w:pPr>
            <w:r>
              <w:rPr>
                <w:color w:val="000000"/>
                <w:sz w:val="21"/>
              </w:rPr>
              <w:t>232m</w:t>
            </w:r>
            <w:r>
              <w:rPr>
                <w:color w:val="000000"/>
                <w:sz w:val="21"/>
                <w:vertAlign w:val="superscript"/>
              </w:rPr>
              <w:t>3</w:t>
            </w:r>
            <w:r>
              <w:rPr>
                <w:color w:val="000000"/>
                <w:sz w:val="21"/>
              </w:rPr>
              <w:t>/a</w:t>
            </w:r>
          </w:p>
        </w:tc>
        <w:tc>
          <w:tcPr>
            <w:tcW w:w="487" w:type="pct"/>
            <w:tcBorders>
              <w:tl2br w:val="nil"/>
              <w:tr2bl w:val="nil"/>
            </w:tcBorders>
            <w:vAlign w:val="center"/>
          </w:tcPr>
          <w:p w14:paraId="58CA07B5">
            <w:pPr>
              <w:spacing w:line="280" w:lineRule="exact"/>
              <w:jc w:val="center"/>
              <w:rPr>
                <w:color w:val="000000"/>
                <w:spacing w:val="24"/>
                <w:sz w:val="21"/>
              </w:rPr>
            </w:pPr>
            <w:r>
              <w:rPr>
                <w:color w:val="000000"/>
                <w:spacing w:val="24"/>
                <w:sz w:val="21"/>
              </w:rPr>
              <w:t>COD</w:t>
            </w:r>
          </w:p>
        </w:tc>
        <w:tc>
          <w:tcPr>
            <w:tcW w:w="881" w:type="pct"/>
            <w:vMerge w:val="restart"/>
            <w:tcBorders>
              <w:tl2br w:val="nil"/>
              <w:tr2bl w:val="nil"/>
            </w:tcBorders>
            <w:vAlign w:val="center"/>
          </w:tcPr>
          <w:p w14:paraId="45AA4D83">
            <w:pPr>
              <w:spacing w:line="280" w:lineRule="exact"/>
              <w:jc w:val="center"/>
              <w:rPr>
                <w:color w:val="000000"/>
                <w:spacing w:val="24"/>
                <w:sz w:val="21"/>
              </w:rPr>
            </w:pPr>
            <w:r>
              <w:rPr>
                <w:color w:val="000000"/>
                <w:spacing w:val="24"/>
                <w:sz w:val="21"/>
              </w:rPr>
              <w:t>收集至生产废水池</w:t>
            </w:r>
            <w:r>
              <w:rPr>
                <w:color w:val="000000"/>
                <w:sz w:val="21"/>
              </w:rPr>
              <w:t>处理</w:t>
            </w:r>
            <w:r>
              <w:rPr>
                <w:color w:val="000000"/>
                <w:spacing w:val="24"/>
                <w:sz w:val="21"/>
              </w:rPr>
              <w:t>后排入潘家坝污水处理厂</w:t>
            </w:r>
          </w:p>
        </w:tc>
        <w:tc>
          <w:tcPr>
            <w:tcW w:w="515" w:type="pct"/>
            <w:tcBorders>
              <w:tl2br w:val="nil"/>
              <w:tr2bl w:val="nil"/>
            </w:tcBorders>
            <w:vAlign w:val="bottom"/>
          </w:tcPr>
          <w:p w14:paraId="66DC9364">
            <w:pPr>
              <w:spacing w:line="280" w:lineRule="exact"/>
              <w:jc w:val="center"/>
              <w:rPr>
                <w:color w:val="000000"/>
                <w:spacing w:val="24"/>
                <w:sz w:val="21"/>
              </w:rPr>
            </w:pPr>
            <w:r>
              <w:rPr>
                <w:color w:val="000000"/>
                <w:spacing w:val="24"/>
                <w:sz w:val="21"/>
              </w:rPr>
              <w:t>350</w:t>
            </w:r>
          </w:p>
        </w:tc>
        <w:tc>
          <w:tcPr>
            <w:tcW w:w="534" w:type="pct"/>
            <w:tcBorders>
              <w:tl2br w:val="nil"/>
              <w:tr2bl w:val="nil"/>
            </w:tcBorders>
            <w:vAlign w:val="bottom"/>
          </w:tcPr>
          <w:p w14:paraId="57256A6F">
            <w:pPr>
              <w:spacing w:line="280" w:lineRule="exact"/>
              <w:jc w:val="center"/>
              <w:rPr>
                <w:color w:val="000000"/>
                <w:spacing w:val="24"/>
                <w:sz w:val="21"/>
              </w:rPr>
            </w:pPr>
            <w:r>
              <w:rPr>
                <w:color w:val="000000"/>
                <w:spacing w:val="24"/>
                <w:sz w:val="21"/>
              </w:rPr>
              <w:t xml:space="preserve">0.081 </w:t>
            </w:r>
          </w:p>
        </w:tc>
        <w:tc>
          <w:tcPr>
            <w:tcW w:w="561" w:type="pct"/>
            <w:tcBorders>
              <w:tl2br w:val="nil"/>
              <w:tr2bl w:val="nil"/>
            </w:tcBorders>
            <w:vAlign w:val="bottom"/>
          </w:tcPr>
          <w:p w14:paraId="1C7C61E4">
            <w:pPr>
              <w:spacing w:line="280" w:lineRule="exact"/>
              <w:jc w:val="center"/>
              <w:rPr>
                <w:color w:val="000000"/>
                <w:spacing w:val="24"/>
                <w:sz w:val="21"/>
              </w:rPr>
            </w:pPr>
            <w:r>
              <w:rPr>
                <w:color w:val="000000"/>
                <w:spacing w:val="24"/>
                <w:sz w:val="21"/>
              </w:rPr>
              <w:t>80</w:t>
            </w:r>
          </w:p>
        </w:tc>
        <w:tc>
          <w:tcPr>
            <w:tcW w:w="675" w:type="pct"/>
            <w:tcBorders>
              <w:tl2br w:val="nil"/>
              <w:tr2bl w:val="nil"/>
            </w:tcBorders>
            <w:vAlign w:val="bottom"/>
          </w:tcPr>
          <w:p w14:paraId="4C8DC2B2">
            <w:pPr>
              <w:spacing w:line="280" w:lineRule="exact"/>
              <w:jc w:val="center"/>
              <w:rPr>
                <w:color w:val="000000"/>
                <w:spacing w:val="24"/>
                <w:sz w:val="21"/>
              </w:rPr>
            </w:pPr>
            <w:r>
              <w:rPr>
                <w:color w:val="000000"/>
                <w:spacing w:val="24"/>
                <w:sz w:val="21"/>
              </w:rPr>
              <w:t xml:space="preserve">0.019 </w:t>
            </w:r>
          </w:p>
        </w:tc>
      </w:tr>
      <w:tr w14:paraId="3176B5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1" w:hRule="atLeast"/>
        </w:trPr>
        <w:tc>
          <w:tcPr>
            <w:tcW w:w="261" w:type="pct"/>
            <w:vMerge w:val="continue"/>
            <w:tcBorders>
              <w:tl2br w:val="nil"/>
              <w:tr2bl w:val="nil"/>
            </w:tcBorders>
            <w:vAlign w:val="center"/>
          </w:tcPr>
          <w:p w14:paraId="34A6A42E">
            <w:pPr>
              <w:spacing w:line="280" w:lineRule="exact"/>
              <w:jc w:val="center"/>
              <w:rPr>
                <w:color w:val="000000"/>
              </w:rPr>
            </w:pPr>
          </w:p>
        </w:tc>
        <w:tc>
          <w:tcPr>
            <w:tcW w:w="497" w:type="pct"/>
            <w:vMerge w:val="continue"/>
            <w:tcBorders>
              <w:tl2br w:val="nil"/>
              <w:tr2bl w:val="nil"/>
            </w:tcBorders>
            <w:vAlign w:val="center"/>
          </w:tcPr>
          <w:p w14:paraId="774DE2F3">
            <w:pPr>
              <w:spacing w:line="280" w:lineRule="exact"/>
              <w:jc w:val="center"/>
              <w:rPr>
                <w:color w:val="000000"/>
              </w:rPr>
            </w:pPr>
          </w:p>
        </w:tc>
        <w:tc>
          <w:tcPr>
            <w:tcW w:w="586" w:type="pct"/>
            <w:vMerge w:val="continue"/>
            <w:tcBorders>
              <w:tl2br w:val="nil"/>
              <w:tr2bl w:val="nil"/>
            </w:tcBorders>
            <w:vAlign w:val="center"/>
          </w:tcPr>
          <w:p w14:paraId="0BA1D56D">
            <w:pPr>
              <w:spacing w:line="280" w:lineRule="exact"/>
              <w:jc w:val="center"/>
              <w:rPr>
                <w:color w:val="000000"/>
              </w:rPr>
            </w:pPr>
          </w:p>
        </w:tc>
        <w:tc>
          <w:tcPr>
            <w:tcW w:w="487" w:type="pct"/>
            <w:tcBorders>
              <w:tl2br w:val="nil"/>
              <w:tr2bl w:val="nil"/>
            </w:tcBorders>
            <w:vAlign w:val="center"/>
          </w:tcPr>
          <w:p w14:paraId="0BE53CA7">
            <w:pPr>
              <w:spacing w:line="280" w:lineRule="exact"/>
              <w:jc w:val="center"/>
              <w:rPr>
                <w:color w:val="000000"/>
                <w:spacing w:val="24"/>
                <w:sz w:val="21"/>
              </w:rPr>
            </w:pPr>
            <w:r>
              <w:rPr>
                <w:color w:val="000000"/>
                <w:spacing w:val="24"/>
                <w:sz w:val="21"/>
              </w:rPr>
              <w:t>石油类</w:t>
            </w:r>
          </w:p>
        </w:tc>
        <w:tc>
          <w:tcPr>
            <w:tcW w:w="881" w:type="pct"/>
            <w:vMerge w:val="continue"/>
            <w:tcBorders>
              <w:tl2br w:val="nil"/>
              <w:tr2bl w:val="nil"/>
            </w:tcBorders>
            <w:vAlign w:val="center"/>
          </w:tcPr>
          <w:p w14:paraId="43BB68C6">
            <w:pPr>
              <w:spacing w:line="280" w:lineRule="exact"/>
              <w:jc w:val="center"/>
              <w:rPr>
                <w:color w:val="000000"/>
                <w:spacing w:val="24"/>
                <w:sz w:val="21"/>
              </w:rPr>
            </w:pPr>
          </w:p>
        </w:tc>
        <w:tc>
          <w:tcPr>
            <w:tcW w:w="515" w:type="pct"/>
            <w:tcBorders>
              <w:tl2br w:val="nil"/>
              <w:tr2bl w:val="nil"/>
            </w:tcBorders>
            <w:vAlign w:val="bottom"/>
          </w:tcPr>
          <w:p w14:paraId="63694B93">
            <w:pPr>
              <w:spacing w:line="280" w:lineRule="exact"/>
              <w:jc w:val="center"/>
              <w:rPr>
                <w:color w:val="000000"/>
                <w:spacing w:val="24"/>
                <w:sz w:val="21"/>
              </w:rPr>
            </w:pPr>
            <w:r>
              <w:rPr>
                <w:color w:val="000000"/>
                <w:spacing w:val="24"/>
                <w:sz w:val="21"/>
              </w:rPr>
              <w:t>20</w:t>
            </w:r>
          </w:p>
        </w:tc>
        <w:tc>
          <w:tcPr>
            <w:tcW w:w="534" w:type="pct"/>
            <w:tcBorders>
              <w:tl2br w:val="nil"/>
              <w:tr2bl w:val="nil"/>
            </w:tcBorders>
            <w:vAlign w:val="bottom"/>
          </w:tcPr>
          <w:p w14:paraId="234621F4">
            <w:pPr>
              <w:spacing w:line="280" w:lineRule="exact"/>
              <w:jc w:val="center"/>
              <w:rPr>
                <w:color w:val="000000"/>
                <w:spacing w:val="24"/>
                <w:sz w:val="21"/>
              </w:rPr>
            </w:pPr>
            <w:r>
              <w:rPr>
                <w:color w:val="000000"/>
                <w:spacing w:val="24"/>
                <w:sz w:val="21"/>
              </w:rPr>
              <w:t xml:space="preserve">0.005 </w:t>
            </w:r>
          </w:p>
        </w:tc>
        <w:tc>
          <w:tcPr>
            <w:tcW w:w="561" w:type="pct"/>
            <w:tcBorders>
              <w:tl2br w:val="nil"/>
              <w:tr2bl w:val="nil"/>
            </w:tcBorders>
            <w:vAlign w:val="bottom"/>
          </w:tcPr>
          <w:p w14:paraId="6D0E5300">
            <w:pPr>
              <w:spacing w:line="280" w:lineRule="exact"/>
              <w:jc w:val="center"/>
              <w:rPr>
                <w:color w:val="000000"/>
                <w:spacing w:val="24"/>
                <w:sz w:val="21"/>
              </w:rPr>
            </w:pPr>
            <w:r>
              <w:rPr>
                <w:color w:val="000000"/>
                <w:spacing w:val="24"/>
                <w:sz w:val="21"/>
              </w:rPr>
              <w:t>3</w:t>
            </w:r>
          </w:p>
        </w:tc>
        <w:tc>
          <w:tcPr>
            <w:tcW w:w="675" w:type="pct"/>
            <w:tcBorders>
              <w:tl2br w:val="nil"/>
              <w:tr2bl w:val="nil"/>
            </w:tcBorders>
            <w:vAlign w:val="bottom"/>
          </w:tcPr>
          <w:p w14:paraId="03144A7F">
            <w:pPr>
              <w:spacing w:line="280" w:lineRule="exact"/>
              <w:jc w:val="center"/>
              <w:rPr>
                <w:color w:val="000000"/>
                <w:spacing w:val="24"/>
                <w:sz w:val="21"/>
              </w:rPr>
            </w:pPr>
            <w:r>
              <w:rPr>
                <w:color w:val="000000"/>
                <w:spacing w:val="24"/>
                <w:sz w:val="21"/>
              </w:rPr>
              <w:t xml:space="preserve">0.001 </w:t>
            </w:r>
          </w:p>
        </w:tc>
      </w:tr>
      <w:tr w14:paraId="3B309F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1" w:hRule="atLeast"/>
        </w:trPr>
        <w:tc>
          <w:tcPr>
            <w:tcW w:w="261" w:type="pct"/>
            <w:vMerge w:val="continue"/>
            <w:tcBorders>
              <w:tl2br w:val="nil"/>
              <w:tr2bl w:val="nil"/>
            </w:tcBorders>
            <w:vAlign w:val="center"/>
          </w:tcPr>
          <w:p w14:paraId="28AEA859">
            <w:pPr>
              <w:spacing w:line="280" w:lineRule="exact"/>
              <w:jc w:val="center"/>
              <w:rPr>
                <w:color w:val="000000"/>
                <w:spacing w:val="24"/>
                <w:sz w:val="21"/>
              </w:rPr>
            </w:pPr>
          </w:p>
        </w:tc>
        <w:tc>
          <w:tcPr>
            <w:tcW w:w="497" w:type="pct"/>
            <w:vMerge w:val="continue"/>
            <w:tcBorders>
              <w:tl2br w:val="nil"/>
              <w:tr2bl w:val="nil"/>
            </w:tcBorders>
            <w:vAlign w:val="center"/>
          </w:tcPr>
          <w:p w14:paraId="52F67FD9">
            <w:pPr>
              <w:spacing w:line="280" w:lineRule="exact"/>
              <w:jc w:val="center"/>
              <w:rPr>
                <w:color w:val="000000"/>
                <w:spacing w:val="24"/>
                <w:sz w:val="21"/>
              </w:rPr>
            </w:pPr>
          </w:p>
        </w:tc>
        <w:tc>
          <w:tcPr>
            <w:tcW w:w="586" w:type="pct"/>
            <w:vMerge w:val="continue"/>
            <w:tcBorders>
              <w:tl2br w:val="nil"/>
              <w:tr2bl w:val="nil"/>
            </w:tcBorders>
            <w:vAlign w:val="center"/>
          </w:tcPr>
          <w:p w14:paraId="58AB68A8">
            <w:pPr>
              <w:spacing w:line="280" w:lineRule="exact"/>
              <w:jc w:val="center"/>
              <w:rPr>
                <w:color w:val="000000"/>
                <w:spacing w:val="24"/>
                <w:sz w:val="21"/>
              </w:rPr>
            </w:pPr>
          </w:p>
        </w:tc>
        <w:tc>
          <w:tcPr>
            <w:tcW w:w="487" w:type="pct"/>
            <w:tcBorders>
              <w:tl2br w:val="nil"/>
              <w:tr2bl w:val="nil"/>
            </w:tcBorders>
            <w:vAlign w:val="center"/>
          </w:tcPr>
          <w:p w14:paraId="7D0254D5">
            <w:pPr>
              <w:spacing w:line="280" w:lineRule="exact"/>
              <w:jc w:val="center"/>
              <w:rPr>
                <w:color w:val="000000"/>
                <w:spacing w:val="24"/>
                <w:sz w:val="21"/>
              </w:rPr>
            </w:pPr>
            <w:r>
              <w:rPr>
                <w:color w:val="000000"/>
                <w:spacing w:val="24"/>
                <w:sz w:val="21"/>
              </w:rPr>
              <w:t>SS</w:t>
            </w:r>
          </w:p>
        </w:tc>
        <w:tc>
          <w:tcPr>
            <w:tcW w:w="881" w:type="pct"/>
            <w:vMerge w:val="continue"/>
            <w:tcBorders>
              <w:tl2br w:val="nil"/>
              <w:tr2bl w:val="nil"/>
            </w:tcBorders>
            <w:vAlign w:val="center"/>
          </w:tcPr>
          <w:p w14:paraId="0BA4103E">
            <w:pPr>
              <w:spacing w:line="280" w:lineRule="exact"/>
              <w:jc w:val="center"/>
              <w:rPr>
                <w:color w:val="000000"/>
                <w:spacing w:val="24"/>
                <w:sz w:val="21"/>
              </w:rPr>
            </w:pPr>
          </w:p>
        </w:tc>
        <w:tc>
          <w:tcPr>
            <w:tcW w:w="515" w:type="pct"/>
            <w:tcBorders>
              <w:tl2br w:val="nil"/>
              <w:tr2bl w:val="nil"/>
            </w:tcBorders>
            <w:vAlign w:val="bottom"/>
          </w:tcPr>
          <w:p w14:paraId="1B04071E">
            <w:pPr>
              <w:spacing w:line="280" w:lineRule="exact"/>
              <w:jc w:val="center"/>
              <w:rPr>
                <w:color w:val="000000"/>
                <w:spacing w:val="24"/>
                <w:sz w:val="21"/>
              </w:rPr>
            </w:pPr>
            <w:r>
              <w:rPr>
                <w:color w:val="000000"/>
                <w:spacing w:val="24"/>
                <w:sz w:val="21"/>
              </w:rPr>
              <w:t>200</w:t>
            </w:r>
          </w:p>
        </w:tc>
        <w:tc>
          <w:tcPr>
            <w:tcW w:w="534" w:type="pct"/>
            <w:tcBorders>
              <w:tl2br w:val="nil"/>
              <w:tr2bl w:val="nil"/>
            </w:tcBorders>
            <w:vAlign w:val="bottom"/>
          </w:tcPr>
          <w:p w14:paraId="521F4C2C">
            <w:pPr>
              <w:spacing w:line="280" w:lineRule="exact"/>
              <w:jc w:val="center"/>
              <w:rPr>
                <w:color w:val="000000"/>
                <w:spacing w:val="24"/>
                <w:sz w:val="21"/>
              </w:rPr>
            </w:pPr>
            <w:r>
              <w:rPr>
                <w:color w:val="000000"/>
                <w:spacing w:val="24"/>
                <w:sz w:val="21"/>
              </w:rPr>
              <w:t xml:space="preserve">0.046 </w:t>
            </w:r>
          </w:p>
        </w:tc>
        <w:tc>
          <w:tcPr>
            <w:tcW w:w="561" w:type="pct"/>
            <w:tcBorders>
              <w:tl2br w:val="nil"/>
              <w:tr2bl w:val="nil"/>
            </w:tcBorders>
            <w:vAlign w:val="bottom"/>
          </w:tcPr>
          <w:p w14:paraId="1FEE61F5">
            <w:pPr>
              <w:spacing w:line="280" w:lineRule="exact"/>
              <w:jc w:val="center"/>
              <w:rPr>
                <w:color w:val="000000"/>
                <w:spacing w:val="24"/>
                <w:sz w:val="21"/>
              </w:rPr>
            </w:pPr>
            <w:r>
              <w:rPr>
                <w:color w:val="000000"/>
                <w:spacing w:val="24"/>
                <w:sz w:val="21"/>
              </w:rPr>
              <w:t>70</w:t>
            </w:r>
          </w:p>
        </w:tc>
        <w:tc>
          <w:tcPr>
            <w:tcW w:w="675" w:type="pct"/>
            <w:tcBorders>
              <w:tl2br w:val="nil"/>
              <w:tr2bl w:val="nil"/>
            </w:tcBorders>
            <w:vAlign w:val="bottom"/>
          </w:tcPr>
          <w:p w14:paraId="411E46E1">
            <w:pPr>
              <w:spacing w:line="280" w:lineRule="exact"/>
              <w:jc w:val="center"/>
              <w:rPr>
                <w:color w:val="000000"/>
                <w:spacing w:val="24"/>
                <w:sz w:val="21"/>
              </w:rPr>
            </w:pPr>
            <w:r>
              <w:rPr>
                <w:color w:val="000000"/>
                <w:spacing w:val="24"/>
                <w:sz w:val="21"/>
              </w:rPr>
              <w:t xml:space="preserve">0.016 </w:t>
            </w:r>
          </w:p>
        </w:tc>
      </w:tr>
      <w:tr w14:paraId="1C32FE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7" w:hRule="atLeast"/>
        </w:trPr>
        <w:tc>
          <w:tcPr>
            <w:tcW w:w="261" w:type="pct"/>
            <w:vMerge w:val="continue"/>
            <w:tcBorders>
              <w:tl2br w:val="nil"/>
              <w:tr2bl w:val="nil"/>
            </w:tcBorders>
            <w:vAlign w:val="center"/>
          </w:tcPr>
          <w:p w14:paraId="705C7C6A">
            <w:pPr>
              <w:spacing w:line="280" w:lineRule="exact"/>
              <w:jc w:val="center"/>
              <w:rPr>
                <w:color w:val="000000"/>
                <w:spacing w:val="24"/>
                <w:sz w:val="21"/>
              </w:rPr>
            </w:pPr>
          </w:p>
        </w:tc>
        <w:tc>
          <w:tcPr>
            <w:tcW w:w="497" w:type="pct"/>
            <w:vMerge w:val="restart"/>
            <w:tcBorders>
              <w:tl2br w:val="nil"/>
              <w:tr2bl w:val="nil"/>
            </w:tcBorders>
            <w:vAlign w:val="center"/>
          </w:tcPr>
          <w:p w14:paraId="3B740830">
            <w:pPr>
              <w:spacing w:line="280" w:lineRule="exact"/>
              <w:jc w:val="center"/>
              <w:rPr>
                <w:color w:val="000000"/>
                <w:spacing w:val="24"/>
                <w:sz w:val="21"/>
              </w:rPr>
            </w:pPr>
            <w:r>
              <w:rPr>
                <w:color w:val="000000"/>
                <w:spacing w:val="24"/>
                <w:sz w:val="21"/>
              </w:rPr>
              <w:t>胺闪蒸罐废水</w:t>
            </w:r>
          </w:p>
        </w:tc>
        <w:tc>
          <w:tcPr>
            <w:tcW w:w="586" w:type="pct"/>
            <w:vMerge w:val="restart"/>
            <w:tcBorders>
              <w:tl2br w:val="nil"/>
              <w:tr2bl w:val="nil"/>
            </w:tcBorders>
            <w:vAlign w:val="center"/>
          </w:tcPr>
          <w:p w14:paraId="06570608">
            <w:pPr>
              <w:spacing w:line="280" w:lineRule="exact"/>
              <w:jc w:val="center"/>
              <w:rPr>
                <w:color w:val="000000"/>
                <w:spacing w:val="24"/>
                <w:sz w:val="21"/>
              </w:rPr>
            </w:pPr>
            <w:r>
              <w:rPr>
                <w:color w:val="000000"/>
                <w:sz w:val="21"/>
              </w:rPr>
              <w:t>568m</w:t>
            </w:r>
            <w:r>
              <w:rPr>
                <w:color w:val="000000"/>
                <w:sz w:val="21"/>
                <w:vertAlign w:val="superscript"/>
              </w:rPr>
              <w:t>3</w:t>
            </w:r>
            <w:r>
              <w:rPr>
                <w:color w:val="000000"/>
                <w:sz w:val="21"/>
              </w:rPr>
              <w:t>/a</w:t>
            </w:r>
          </w:p>
        </w:tc>
        <w:tc>
          <w:tcPr>
            <w:tcW w:w="487" w:type="pct"/>
            <w:tcBorders>
              <w:tl2br w:val="nil"/>
              <w:tr2bl w:val="nil"/>
            </w:tcBorders>
            <w:vAlign w:val="center"/>
          </w:tcPr>
          <w:p w14:paraId="649B8C0A">
            <w:pPr>
              <w:spacing w:line="280" w:lineRule="exact"/>
              <w:jc w:val="center"/>
              <w:rPr>
                <w:color w:val="000000"/>
                <w:spacing w:val="24"/>
                <w:sz w:val="21"/>
              </w:rPr>
            </w:pPr>
            <w:r>
              <w:rPr>
                <w:color w:val="000000"/>
                <w:spacing w:val="24"/>
                <w:sz w:val="21"/>
              </w:rPr>
              <w:t>COD</w:t>
            </w:r>
          </w:p>
        </w:tc>
        <w:tc>
          <w:tcPr>
            <w:tcW w:w="881" w:type="pct"/>
            <w:vMerge w:val="restart"/>
            <w:tcBorders>
              <w:tl2br w:val="nil"/>
              <w:tr2bl w:val="nil"/>
            </w:tcBorders>
            <w:vAlign w:val="center"/>
          </w:tcPr>
          <w:p w14:paraId="7267136F">
            <w:pPr>
              <w:spacing w:line="280" w:lineRule="exact"/>
              <w:jc w:val="center"/>
              <w:rPr>
                <w:color w:val="000000"/>
                <w:spacing w:val="24"/>
                <w:sz w:val="21"/>
              </w:rPr>
            </w:pPr>
            <w:r>
              <w:rPr>
                <w:color w:val="000000"/>
                <w:spacing w:val="24"/>
                <w:sz w:val="21"/>
              </w:rPr>
              <w:t>槽车外送华锋化工公司污水处理站处理达标后排入潘家坝污水处理厂</w:t>
            </w:r>
          </w:p>
        </w:tc>
        <w:tc>
          <w:tcPr>
            <w:tcW w:w="515" w:type="pct"/>
            <w:tcBorders>
              <w:tl2br w:val="nil"/>
              <w:tr2bl w:val="nil"/>
            </w:tcBorders>
            <w:vAlign w:val="bottom"/>
          </w:tcPr>
          <w:p w14:paraId="359C59E6">
            <w:pPr>
              <w:spacing w:line="280" w:lineRule="exact"/>
              <w:jc w:val="center"/>
              <w:rPr>
                <w:color w:val="000000"/>
                <w:spacing w:val="24"/>
                <w:sz w:val="21"/>
              </w:rPr>
            </w:pPr>
            <w:r>
              <w:rPr>
                <w:color w:val="000000"/>
                <w:spacing w:val="24"/>
                <w:sz w:val="21"/>
              </w:rPr>
              <w:t>350</w:t>
            </w:r>
          </w:p>
        </w:tc>
        <w:tc>
          <w:tcPr>
            <w:tcW w:w="534" w:type="pct"/>
            <w:tcBorders>
              <w:tl2br w:val="nil"/>
              <w:tr2bl w:val="nil"/>
            </w:tcBorders>
            <w:vAlign w:val="bottom"/>
          </w:tcPr>
          <w:p w14:paraId="64D44DC9">
            <w:pPr>
              <w:spacing w:line="280" w:lineRule="exact"/>
              <w:jc w:val="center"/>
              <w:rPr>
                <w:color w:val="000000"/>
                <w:spacing w:val="24"/>
                <w:sz w:val="21"/>
              </w:rPr>
            </w:pPr>
            <w:r>
              <w:rPr>
                <w:color w:val="000000"/>
                <w:spacing w:val="24"/>
                <w:sz w:val="21"/>
              </w:rPr>
              <w:t xml:space="preserve">0.199 </w:t>
            </w:r>
          </w:p>
        </w:tc>
        <w:tc>
          <w:tcPr>
            <w:tcW w:w="561" w:type="pct"/>
            <w:tcBorders>
              <w:tl2br w:val="nil"/>
              <w:tr2bl w:val="nil"/>
            </w:tcBorders>
            <w:vAlign w:val="bottom"/>
          </w:tcPr>
          <w:p w14:paraId="6EAB15CC">
            <w:pPr>
              <w:spacing w:line="280" w:lineRule="exact"/>
              <w:jc w:val="center"/>
              <w:rPr>
                <w:color w:val="000000"/>
                <w:spacing w:val="24"/>
                <w:sz w:val="21"/>
              </w:rPr>
            </w:pPr>
            <w:r>
              <w:rPr>
                <w:color w:val="000000"/>
                <w:spacing w:val="24"/>
                <w:sz w:val="21"/>
              </w:rPr>
              <w:t>80</w:t>
            </w:r>
          </w:p>
        </w:tc>
        <w:tc>
          <w:tcPr>
            <w:tcW w:w="675" w:type="pct"/>
            <w:tcBorders>
              <w:tl2br w:val="nil"/>
              <w:tr2bl w:val="nil"/>
            </w:tcBorders>
            <w:vAlign w:val="bottom"/>
          </w:tcPr>
          <w:p w14:paraId="1141044B">
            <w:pPr>
              <w:spacing w:line="280" w:lineRule="exact"/>
              <w:jc w:val="center"/>
              <w:rPr>
                <w:color w:val="000000"/>
                <w:spacing w:val="24"/>
                <w:sz w:val="21"/>
              </w:rPr>
            </w:pPr>
            <w:r>
              <w:rPr>
                <w:color w:val="000000"/>
                <w:spacing w:val="24"/>
                <w:sz w:val="21"/>
              </w:rPr>
              <w:t xml:space="preserve">0.045 </w:t>
            </w:r>
          </w:p>
        </w:tc>
      </w:tr>
      <w:tr w14:paraId="5CA0B6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7" w:hRule="atLeast"/>
        </w:trPr>
        <w:tc>
          <w:tcPr>
            <w:tcW w:w="261" w:type="pct"/>
            <w:vMerge w:val="continue"/>
            <w:tcBorders>
              <w:tl2br w:val="nil"/>
              <w:tr2bl w:val="nil"/>
            </w:tcBorders>
            <w:vAlign w:val="center"/>
          </w:tcPr>
          <w:p w14:paraId="55754A97">
            <w:pPr>
              <w:spacing w:line="280" w:lineRule="exact"/>
              <w:jc w:val="center"/>
              <w:rPr>
                <w:color w:val="000000"/>
              </w:rPr>
            </w:pPr>
          </w:p>
        </w:tc>
        <w:tc>
          <w:tcPr>
            <w:tcW w:w="497" w:type="pct"/>
            <w:vMerge w:val="continue"/>
            <w:tcBorders>
              <w:tl2br w:val="nil"/>
              <w:tr2bl w:val="nil"/>
            </w:tcBorders>
            <w:vAlign w:val="center"/>
          </w:tcPr>
          <w:p w14:paraId="2E85C367">
            <w:pPr>
              <w:spacing w:line="280" w:lineRule="exact"/>
              <w:jc w:val="center"/>
              <w:rPr>
                <w:color w:val="000000"/>
              </w:rPr>
            </w:pPr>
          </w:p>
        </w:tc>
        <w:tc>
          <w:tcPr>
            <w:tcW w:w="586" w:type="pct"/>
            <w:vMerge w:val="continue"/>
            <w:tcBorders>
              <w:tl2br w:val="nil"/>
              <w:tr2bl w:val="nil"/>
            </w:tcBorders>
            <w:vAlign w:val="center"/>
          </w:tcPr>
          <w:p w14:paraId="16FE871E">
            <w:pPr>
              <w:spacing w:line="280" w:lineRule="exact"/>
              <w:jc w:val="center"/>
              <w:rPr>
                <w:color w:val="000000"/>
              </w:rPr>
            </w:pPr>
          </w:p>
        </w:tc>
        <w:tc>
          <w:tcPr>
            <w:tcW w:w="487" w:type="pct"/>
            <w:tcBorders>
              <w:tl2br w:val="nil"/>
              <w:tr2bl w:val="nil"/>
            </w:tcBorders>
            <w:vAlign w:val="center"/>
          </w:tcPr>
          <w:p w14:paraId="5AB4303A">
            <w:pPr>
              <w:spacing w:line="280" w:lineRule="exact"/>
              <w:jc w:val="center"/>
              <w:rPr>
                <w:color w:val="000000"/>
                <w:spacing w:val="24"/>
                <w:sz w:val="21"/>
              </w:rPr>
            </w:pPr>
            <w:r>
              <w:rPr>
                <w:color w:val="000000"/>
                <w:spacing w:val="24"/>
                <w:sz w:val="21"/>
              </w:rPr>
              <w:t>石油类</w:t>
            </w:r>
          </w:p>
        </w:tc>
        <w:tc>
          <w:tcPr>
            <w:tcW w:w="881" w:type="pct"/>
            <w:vMerge w:val="continue"/>
            <w:tcBorders>
              <w:tl2br w:val="nil"/>
              <w:tr2bl w:val="nil"/>
            </w:tcBorders>
            <w:vAlign w:val="center"/>
          </w:tcPr>
          <w:p w14:paraId="4E2CCDD5">
            <w:pPr>
              <w:spacing w:line="280" w:lineRule="exact"/>
              <w:jc w:val="center"/>
              <w:rPr>
                <w:color w:val="000000"/>
                <w:spacing w:val="24"/>
                <w:sz w:val="21"/>
              </w:rPr>
            </w:pPr>
          </w:p>
        </w:tc>
        <w:tc>
          <w:tcPr>
            <w:tcW w:w="515" w:type="pct"/>
            <w:tcBorders>
              <w:tl2br w:val="nil"/>
              <w:tr2bl w:val="nil"/>
            </w:tcBorders>
            <w:vAlign w:val="bottom"/>
          </w:tcPr>
          <w:p w14:paraId="60C29A15">
            <w:pPr>
              <w:spacing w:line="280" w:lineRule="exact"/>
              <w:jc w:val="center"/>
              <w:rPr>
                <w:color w:val="000000"/>
                <w:spacing w:val="24"/>
                <w:sz w:val="21"/>
              </w:rPr>
            </w:pPr>
            <w:r>
              <w:rPr>
                <w:color w:val="000000"/>
                <w:spacing w:val="24"/>
                <w:sz w:val="21"/>
              </w:rPr>
              <w:t>20</w:t>
            </w:r>
          </w:p>
        </w:tc>
        <w:tc>
          <w:tcPr>
            <w:tcW w:w="534" w:type="pct"/>
            <w:tcBorders>
              <w:tl2br w:val="nil"/>
              <w:tr2bl w:val="nil"/>
            </w:tcBorders>
            <w:vAlign w:val="bottom"/>
          </w:tcPr>
          <w:p w14:paraId="7F13AF15">
            <w:pPr>
              <w:spacing w:line="280" w:lineRule="exact"/>
              <w:jc w:val="center"/>
              <w:rPr>
                <w:color w:val="000000"/>
                <w:spacing w:val="24"/>
                <w:sz w:val="21"/>
              </w:rPr>
            </w:pPr>
            <w:r>
              <w:rPr>
                <w:color w:val="000000"/>
                <w:spacing w:val="24"/>
                <w:sz w:val="21"/>
              </w:rPr>
              <w:t xml:space="preserve">0.011 </w:t>
            </w:r>
          </w:p>
        </w:tc>
        <w:tc>
          <w:tcPr>
            <w:tcW w:w="561" w:type="pct"/>
            <w:tcBorders>
              <w:tl2br w:val="nil"/>
              <w:tr2bl w:val="nil"/>
            </w:tcBorders>
            <w:vAlign w:val="bottom"/>
          </w:tcPr>
          <w:p w14:paraId="49BF45C7">
            <w:pPr>
              <w:spacing w:line="280" w:lineRule="exact"/>
              <w:jc w:val="center"/>
              <w:rPr>
                <w:color w:val="000000"/>
                <w:spacing w:val="24"/>
                <w:sz w:val="21"/>
              </w:rPr>
            </w:pPr>
            <w:r>
              <w:rPr>
                <w:color w:val="000000"/>
                <w:spacing w:val="24"/>
                <w:sz w:val="21"/>
              </w:rPr>
              <w:t>3</w:t>
            </w:r>
          </w:p>
        </w:tc>
        <w:tc>
          <w:tcPr>
            <w:tcW w:w="675" w:type="pct"/>
            <w:tcBorders>
              <w:tl2br w:val="nil"/>
              <w:tr2bl w:val="nil"/>
            </w:tcBorders>
            <w:vAlign w:val="bottom"/>
          </w:tcPr>
          <w:p w14:paraId="54300587">
            <w:pPr>
              <w:spacing w:line="280" w:lineRule="exact"/>
              <w:jc w:val="center"/>
              <w:rPr>
                <w:color w:val="000000"/>
                <w:spacing w:val="24"/>
                <w:sz w:val="21"/>
              </w:rPr>
            </w:pPr>
            <w:r>
              <w:rPr>
                <w:color w:val="000000"/>
                <w:spacing w:val="24"/>
                <w:sz w:val="21"/>
              </w:rPr>
              <w:t xml:space="preserve">0.002 </w:t>
            </w:r>
          </w:p>
        </w:tc>
      </w:tr>
      <w:tr w14:paraId="48B7DF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1" w:hRule="atLeast"/>
        </w:trPr>
        <w:tc>
          <w:tcPr>
            <w:tcW w:w="261" w:type="pct"/>
            <w:vMerge w:val="continue"/>
            <w:tcBorders>
              <w:tl2br w:val="nil"/>
              <w:tr2bl w:val="nil"/>
            </w:tcBorders>
            <w:vAlign w:val="center"/>
          </w:tcPr>
          <w:p w14:paraId="6FDE4AF0">
            <w:pPr>
              <w:spacing w:line="280" w:lineRule="exact"/>
              <w:jc w:val="center"/>
              <w:rPr>
                <w:color w:val="000000"/>
                <w:sz w:val="21"/>
              </w:rPr>
            </w:pPr>
          </w:p>
        </w:tc>
        <w:tc>
          <w:tcPr>
            <w:tcW w:w="497" w:type="pct"/>
            <w:vMerge w:val="restart"/>
            <w:tcBorders>
              <w:tl2br w:val="nil"/>
              <w:tr2bl w:val="nil"/>
            </w:tcBorders>
            <w:vAlign w:val="center"/>
          </w:tcPr>
          <w:p w14:paraId="09EC5DCD">
            <w:pPr>
              <w:spacing w:line="280" w:lineRule="exact"/>
              <w:jc w:val="center"/>
              <w:rPr>
                <w:color w:val="000000"/>
                <w:sz w:val="21"/>
              </w:rPr>
            </w:pPr>
            <w:r>
              <w:rPr>
                <w:color w:val="000000"/>
                <w:sz w:val="21"/>
              </w:rPr>
              <w:t>地坪冲洗水</w:t>
            </w:r>
          </w:p>
        </w:tc>
        <w:tc>
          <w:tcPr>
            <w:tcW w:w="586" w:type="pct"/>
            <w:vMerge w:val="restart"/>
            <w:tcBorders>
              <w:tl2br w:val="nil"/>
              <w:tr2bl w:val="nil"/>
            </w:tcBorders>
            <w:vAlign w:val="center"/>
          </w:tcPr>
          <w:p w14:paraId="737D808F">
            <w:pPr>
              <w:spacing w:line="280" w:lineRule="exact"/>
              <w:jc w:val="center"/>
              <w:rPr>
                <w:color w:val="000000"/>
                <w:spacing w:val="24"/>
                <w:sz w:val="21"/>
              </w:rPr>
            </w:pPr>
            <w:r>
              <w:rPr>
                <w:color w:val="000000"/>
                <w:sz w:val="21"/>
              </w:rPr>
              <w:t>240m</w:t>
            </w:r>
            <w:r>
              <w:rPr>
                <w:color w:val="000000"/>
                <w:sz w:val="21"/>
                <w:vertAlign w:val="superscript"/>
              </w:rPr>
              <w:t>3</w:t>
            </w:r>
            <w:r>
              <w:rPr>
                <w:color w:val="000000"/>
                <w:sz w:val="21"/>
              </w:rPr>
              <w:t>/a</w:t>
            </w:r>
          </w:p>
        </w:tc>
        <w:tc>
          <w:tcPr>
            <w:tcW w:w="487" w:type="pct"/>
            <w:tcBorders>
              <w:tl2br w:val="nil"/>
              <w:tr2bl w:val="nil"/>
            </w:tcBorders>
            <w:vAlign w:val="center"/>
          </w:tcPr>
          <w:p w14:paraId="14C6C379">
            <w:pPr>
              <w:spacing w:line="280" w:lineRule="exact"/>
              <w:jc w:val="center"/>
              <w:rPr>
                <w:color w:val="000000"/>
                <w:spacing w:val="24"/>
                <w:sz w:val="21"/>
              </w:rPr>
            </w:pPr>
            <w:r>
              <w:rPr>
                <w:color w:val="000000"/>
                <w:spacing w:val="24"/>
                <w:sz w:val="21"/>
              </w:rPr>
              <w:t>COD</w:t>
            </w:r>
          </w:p>
          <w:p w14:paraId="32EE97D0">
            <w:pPr>
              <w:spacing w:line="280" w:lineRule="exact"/>
              <w:jc w:val="center"/>
              <w:rPr>
                <w:color w:val="000000"/>
                <w:spacing w:val="24"/>
                <w:sz w:val="21"/>
              </w:rPr>
            </w:pPr>
          </w:p>
        </w:tc>
        <w:tc>
          <w:tcPr>
            <w:tcW w:w="881" w:type="pct"/>
            <w:vMerge w:val="restart"/>
            <w:tcBorders>
              <w:tl2br w:val="nil"/>
              <w:tr2bl w:val="nil"/>
            </w:tcBorders>
            <w:vAlign w:val="center"/>
          </w:tcPr>
          <w:p w14:paraId="71D1FA5A">
            <w:pPr>
              <w:spacing w:line="280" w:lineRule="exact"/>
              <w:jc w:val="center"/>
              <w:rPr>
                <w:color w:val="000000"/>
                <w:spacing w:val="24"/>
                <w:sz w:val="21"/>
              </w:rPr>
            </w:pPr>
            <w:r>
              <w:rPr>
                <w:color w:val="000000"/>
                <w:spacing w:val="24"/>
                <w:sz w:val="21"/>
              </w:rPr>
              <w:t>收集至生产废水池</w:t>
            </w:r>
            <w:r>
              <w:rPr>
                <w:color w:val="000000"/>
                <w:sz w:val="21"/>
              </w:rPr>
              <w:t>处理</w:t>
            </w:r>
            <w:r>
              <w:rPr>
                <w:color w:val="000000"/>
                <w:spacing w:val="24"/>
                <w:sz w:val="21"/>
              </w:rPr>
              <w:t>后排入潘家坝污水处理厂</w:t>
            </w:r>
          </w:p>
        </w:tc>
        <w:tc>
          <w:tcPr>
            <w:tcW w:w="515" w:type="pct"/>
            <w:tcBorders>
              <w:tl2br w:val="nil"/>
              <w:tr2bl w:val="nil"/>
            </w:tcBorders>
            <w:vAlign w:val="bottom"/>
          </w:tcPr>
          <w:p w14:paraId="5D4197FF">
            <w:pPr>
              <w:spacing w:line="280" w:lineRule="exact"/>
              <w:jc w:val="center"/>
              <w:rPr>
                <w:color w:val="000000"/>
                <w:spacing w:val="24"/>
                <w:sz w:val="21"/>
              </w:rPr>
            </w:pPr>
            <w:r>
              <w:rPr>
                <w:color w:val="000000"/>
                <w:spacing w:val="24"/>
                <w:sz w:val="21"/>
              </w:rPr>
              <w:t>350</w:t>
            </w:r>
          </w:p>
        </w:tc>
        <w:tc>
          <w:tcPr>
            <w:tcW w:w="534" w:type="pct"/>
            <w:tcBorders>
              <w:tl2br w:val="nil"/>
              <w:tr2bl w:val="nil"/>
            </w:tcBorders>
            <w:vAlign w:val="bottom"/>
          </w:tcPr>
          <w:p w14:paraId="7285BE6C">
            <w:pPr>
              <w:spacing w:line="280" w:lineRule="exact"/>
              <w:jc w:val="center"/>
              <w:rPr>
                <w:color w:val="000000"/>
                <w:spacing w:val="24"/>
                <w:sz w:val="21"/>
              </w:rPr>
            </w:pPr>
            <w:r>
              <w:rPr>
                <w:color w:val="000000"/>
                <w:spacing w:val="24"/>
                <w:sz w:val="21"/>
              </w:rPr>
              <w:t xml:space="preserve">0.084 </w:t>
            </w:r>
          </w:p>
        </w:tc>
        <w:tc>
          <w:tcPr>
            <w:tcW w:w="561" w:type="pct"/>
            <w:tcBorders>
              <w:tl2br w:val="nil"/>
              <w:tr2bl w:val="nil"/>
            </w:tcBorders>
            <w:vAlign w:val="bottom"/>
          </w:tcPr>
          <w:p w14:paraId="3D6848EA">
            <w:pPr>
              <w:spacing w:line="280" w:lineRule="exact"/>
              <w:jc w:val="center"/>
              <w:rPr>
                <w:color w:val="000000"/>
                <w:spacing w:val="24"/>
                <w:sz w:val="21"/>
              </w:rPr>
            </w:pPr>
            <w:r>
              <w:rPr>
                <w:color w:val="000000"/>
                <w:spacing w:val="24"/>
                <w:sz w:val="21"/>
              </w:rPr>
              <w:t>80</w:t>
            </w:r>
          </w:p>
        </w:tc>
        <w:tc>
          <w:tcPr>
            <w:tcW w:w="675" w:type="pct"/>
            <w:tcBorders>
              <w:tl2br w:val="nil"/>
              <w:tr2bl w:val="nil"/>
            </w:tcBorders>
            <w:vAlign w:val="bottom"/>
          </w:tcPr>
          <w:p w14:paraId="3CABE56A">
            <w:pPr>
              <w:spacing w:line="280" w:lineRule="exact"/>
              <w:jc w:val="center"/>
              <w:rPr>
                <w:color w:val="000000"/>
                <w:spacing w:val="24"/>
                <w:sz w:val="21"/>
              </w:rPr>
            </w:pPr>
            <w:r>
              <w:rPr>
                <w:color w:val="000000"/>
                <w:spacing w:val="24"/>
                <w:sz w:val="21"/>
              </w:rPr>
              <w:t xml:space="preserve">0.019 </w:t>
            </w:r>
          </w:p>
        </w:tc>
      </w:tr>
      <w:tr w14:paraId="49FAA8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1" w:hRule="atLeast"/>
        </w:trPr>
        <w:tc>
          <w:tcPr>
            <w:tcW w:w="261" w:type="pct"/>
            <w:vMerge w:val="continue"/>
            <w:tcBorders>
              <w:tl2br w:val="nil"/>
              <w:tr2bl w:val="nil"/>
            </w:tcBorders>
            <w:vAlign w:val="center"/>
          </w:tcPr>
          <w:p w14:paraId="38C7F945">
            <w:pPr>
              <w:spacing w:line="280" w:lineRule="exact"/>
              <w:jc w:val="center"/>
              <w:rPr>
                <w:color w:val="000000"/>
              </w:rPr>
            </w:pPr>
          </w:p>
        </w:tc>
        <w:tc>
          <w:tcPr>
            <w:tcW w:w="497" w:type="pct"/>
            <w:vMerge w:val="continue"/>
            <w:tcBorders>
              <w:tl2br w:val="nil"/>
              <w:tr2bl w:val="nil"/>
            </w:tcBorders>
            <w:vAlign w:val="center"/>
          </w:tcPr>
          <w:p w14:paraId="0A85B6BE">
            <w:pPr>
              <w:spacing w:line="280" w:lineRule="exact"/>
              <w:jc w:val="center"/>
              <w:rPr>
                <w:color w:val="000000"/>
              </w:rPr>
            </w:pPr>
          </w:p>
        </w:tc>
        <w:tc>
          <w:tcPr>
            <w:tcW w:w="586" w:type="pct"/>
            <w:vMerge w:val="continue"/>
            <w:tcBorders>
              <w:tl2br w:val="nil"/>
              <w:tr2bl w:val="nil"/>
            </w:tcBorders>
            <w:vAlign w:val="center"/>
          </w:tcPr>
          <w:p w14:paraId="7FBE324A">
            <w:pPr>
              <w:spacing w:line="280" w:lineRule="exact"/>
              <w:jc w:val="center"/>
              <w:rPr>
                <w:color w:val="000000"/>
              </w:rPr>
            </w:pPr>
          </w:p>
        </w:tc>
        <w:tc>
          <w:tcPr>
            <w:tcW w:w="487" w:type="pct"/>
            <w:tcBorders>
              <w:tl2br w:val="nil"/>
              <w:tr2bl w:val="nil"/>
            </w:tcBorders>
            <w:vAlign w:val="center"/>
          </w:tcPr>
          <w:p w14:paraId="6A5BB2D1">
            <w:pPr>
              <w:spacing w:line="280" w:lineRule="exact"/>
              <w:jc w:val="center"/>
              <w:rPr>
                <w:color w:val="000000"/>
                <w:spacing w:val="24"/>
                <w:sz w:val="21"/>
              </w:rPr>
            </w:pPr>
            <w:r>
              <w:rPr>
                <w:color w:val="000000"/>
                <w:spacing w:val="24"/>
                <w:sz w:val="21"/>
              </w:rPr>
              <w:t>石油类</w:t>
            </w:r>
          </w:p>
        </w:tc>
        <w:tc>
          <w:tcPr>
            <w:tcW w:w="881" w:type="pct"/>
            <w:vMerge w:val="continue"/>
            <w:tcBorders>
              <w:tl2br w:val="nil"/>
              <w:tr2bl w:val="nil"/>
            </w:tcBorders>
            <w:vAlign w:val="center"/>
          </w:tcPr>
          <w:p w14:paraId="2458F3E1">
            <w:pPr>
              <w:spacing w:line="280" w:lineRule="exact"/>
              <w:jc w:val="center"/>
              <w:rPr>
                <w:color w:val="000000"/>
                <w:spacing w:val="24"/>
                <w:sz w:val="21"/>
              </w:rPr>
            </w:pPr>
          </w:p>
        </w:tc>
        <w:tc>
          <w:tcPr>
            <w:tcW w:w="515" w:type="pct"/>
            <w:tcBorders>
              <w:tl2br w:val="nil"/>
              <w:tr2bl w:val="nil"/>
            </w:tcBorders>
            <w:vAlign w:val="bottom"/>
          </w:tcPr>
          <w:p w14:paraId="480BA069">
            <w:pPr>
              <w:spacing w:line="280" w:lineRule="exact"/>
              <w:jc w:val="center"/>
              <w:rPr>
                <w:color w:val="000000"/>
                <w:spacing w:val="24"/>
                <w:sz w:val="21"/>
              </w:rPr>
            </w:pPr>
            <w:r>
              <w:rPr>
                <w:color w:val="000000"/>
                <w:spacing w:val="24"/>
                <w:sz w:val="21"/>
              </w:rPr>
              <w:t>20</w:t>
            </w:r>
          </w:p>
        </w:tc>
        <w:tc>
          <w:tcPr>
            <w:tcW w:w="534" w:type="pct"/>
            <w:tcBorders>
              <w:tl2br w:val="nil"/>
              <w:tr2bl w:val="nil"/>
            </w:tcBorders>
            <w:vAlign w:val="bottom"/>
          </w:tcPr>
          <w:p w14:paraId="1BE406E3">
            <w:pPr>
              <w:spacing w:line="280" w:lineRule="exact"/>
              <w:jc w:val="center"/>
              <w:rPr>
                <w:color w:val="000000"/>
                <w:spacing w:val="24"/>
                <w:sz w:val="21"/>
              </w:rPr>
            </w:pPr>
            <w:r>
              <w:rPr>
                <w:color w:val="000000"/>
                <w:spacing w:val="24"/>
                <w:sz w:val="21"/>
              </w:rPr>
              <w:t xml:space="preserve">0.005 </w:t>
            </w:r>
          </w:p>
        </w:tc>
        <w:tc>
          <w:tcPr>
            <w:tcW w:w="561" w:type="pct"/>
            <w:tcBorders>
              <w:tl2br w:val="nil"/>
              <w:tr2bl w:val="nil"/>
            </w:tcBorders>
            <w:vAlign w:val="bottom"/>
          </w:tcPr>
          <w:p w14:paraId="417EA593">
            <w:pPr>
              <w:spacing w:line="280" w:lineRule="exact"/>
              <w:jc w:val="center"/>
              <w:rPr>
                <w:color w:val="000000"/>
                <w:spacing w:val="24"/>
                <w:sz w:val="21"/>
              </w:rPr>
            </w:pPr>
            <w:r>
              <w:rPr>
                <w:color w:val="000000"/>
                <w:spacing w:val="24"/>
                <w:sz w:val="21"/>
              </w:rPr>
              <w:t>3</w:t>
            </w:r>
          </w:p>
        </w:tc>
        <w:tc>
          <w:tcPr>
            <w:tcW w:w="675" w:type="pct"/>
            <w:tcBorders>
              <w:tl2br w:val="nil"/>
              <w:tr2bl w:val="nil"/>
            </w:tcBorders>
            <w:vAlign w:val="bottom"/>
          </w:tcPr>
          <w:p w14:paraId="234ABBB1">
            <w:pPr>
              <w:spacing w:line="280" w:lineRule="exact"/>
              <w:jc w:val="center"/>
              <w:rPr>
                <w:color w:val="000000"/>
                <w:spacing w:val="24"/>
                <w:sz w:val="21"/>
              </w:rPr>
            </w:pPr>
            <w:r>
              <w:rPr>
                <w:color w:val="000000"/>
                <w:spacing w:val="24"/>
                <w:sz w:val="21"/>
              </w:rPr>
              <w:t xml:space="preserve">0.001 </w:t>
            </w:r>
          </w:p>
        </w:tc>
      </w:tr>
      <w:tr w14:paraId="4FFD4B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61" w:type="pct"/>
            <w:vMerge w:val="continue"/>
            <w:tcBorders>
              <w:tl2br w:val="nil"/>
              <w:tr2bl w:val="nil"/>
            </w:tcBorders>
            <w:vAlign w:val="center"/>
          </w:tcPr>
          <w:p w14:paraId="174F6EC9">
            <w:pPr>
              <w:spacing w:line="280" w:lineRule="exact"/>
              <w:jc w:val="center"/>
              <w:rPr>
                <w:color w:val="000000"/>
                <w:spacing w:val="24"/>
                <w:sz w:val="21"/>
              </w:rPr>
            </w:pPr>
          </w:p>
        </w:tc>
        <w:tc>
          <w:tcPr>
            <w:tcW w:w="497" w:type="pct"/>
            <w:vMerge w:val="continue"/>
            <w:tcBorders>
              <w:tl2br w:val="nil"/>
              <w:tr2bl w:val="nil"/>
            </w:tcBorders>
            <w:vAlign w:val="center"/>
          </w:tcPr>
          <w:p w14:paraId="68FA0A7C">
            <w:pPr>
              <w:spacing w:line="280" w:lineRule="exact"/>
              <w:jc w:val="center"/>
              <w:rPr>
                <w:color w:val="000000"/>
                <w:spacing w:val="24"/>
                <w:sz w:val="21"/>
              </w:rPr>
            </w:pPr>
          </w:p>
        </w:tc>
        <w:tc>
          <w:tcPr>
            <w:tcW w:w="586" w:type="pct"/>
            <w:vMerge w:val="continue"/>
            <w:tcBorders>
              <w:tl2br w:val="nil"/>
              <w:tr2bl w:val="nil"/>
            </w:tcBorders>
            <w:vAlign w:val="center"/>
          </w:tcPr>
          <w:p w14:paraId="4742CCFE">
            <w:pPr>
              <w:spacing w:line="280" w:lineRule="exact"/>
              <w:jc w:val="center"/>
              <w:rPr>
                <w:color w:val="000000"/>
                <w:spacing w:val="24"/>
                <w:sz w:val="21"/>
              </w:rPr>
            </w:pPr>
          </w:p>
        </w:tc>
        <w:tc>
          <w:tcPr>
            <w:tcW w:w="487" w:type="pct"/>
            <w:tcBorders>
              <w:tl2br w:val="nil"/>
              <w:tr2bl w:val="nil"/>
            </w:tcBorders>
            <w:vAlign w:val="center"/>
          </w:tcPr>
          <w:p w14:paraId="76FCA528">
            <w:pPr>
              <w:spacing w:line="280" w:lineRule="exact"/>
              <w:jc w:val="center"/>
              <w:rPr>
                <w:color w:val="000000"/>
                <w:spacing w:val="24"/>
                <w:sz w:val="21"/>
              </w:rPr>
            </w:pPr>
            <w:r>
              <w:rPr>
                <w:color w:val="000000"/>
                <w:spacing w:val="24"/>
                <w:sz w:val="21"/>
              </w:rPr>
              <w:t>SS</w:t>
            </w:r>
          </w:p>
        </w:tc>
        <w:tc>
          <w:tcPr>
            <w:tcW w:w="881" w:type="pct"/>
            <w:vMerge w:val="continue"/>
            <w:tcBorders>
              <w:tl2br w:val="nil"/>
              <w:tr2bl w:val="nil"/>
            </w:tcBorders>
            <w:vAlign w:val="center"/>
          </w:tcPr>
          <w:p w14:paraId="04DBFAED">
            <w:pPr>
              <w:spacing w:line="280" w:lineRule="exact"/>
              <w:jc w:val="center"/>
              <w:rPr>
                <w:color w:val="000000"/>
                <w:spacing w:val="24"/>
                <w:sz w:val="21"/>
              </w:rPr>
            </w:pPr>
          </w:p>
        </w:tc>
        <w:tc>
          <w:tcPr>
            <w:tcW w:w="515" w:type="pct"/>
            <w:tcBorders>
              <w:tl2br w:val="nil"/>
              <w:tr2bl w:val="nil"/>
            </w:tcBorders>
            <w:vAlign w:val="bottom"/>
          </w:tcPr>
          <w:p w14:paraId="5949648E">
            <w:pPr>
              <w:spacing w:line="280" w:lineRule="exact"/>
              <w:jc w:val="center"/>
              <w:rPr>
                <w:color w:val="000000"/>
                <w:spacing w:val="24"/>
                <w:sz w:val="21"/>
              </w:rPr>
            </w:pPr>
            <w:r>
              <w:rPr>
                <w:color w:val="000000"/>
                <w:spacing w:val="24"/>
                <w:sz w:val="21"/>
              </w:rPr>
              <w:t>200</w:t>
            </w:r>
          </w:p>
        </w:tc>
        <w:tc>
          <w:tcPr>
            <w:tcW w:w="534" w:type="pct"/>
            <w:tcBorders>
              <w:tl2br w:val="nil"/>
              <w:tr2bl w:val="nil"/>
            </w:tcBorders>
            <w:vAlign w:val="bottom"/>
          </w:tcPr>
          <w:p w14:paraId="03D275D9">
            <w:pPr>
              <w:spacing w:line="280" w:lineRule="exact"/>
              <w:jc w:val="center"/>
              <w:rPr>
                <w:color w:val="000000"/>
                <w:spacing w:val="24"/>
                <w:sz w:val="21"/>
              </w:rPr>
            </w:pPr>
            <w:r>
              <w:rPr>
                <w:color w:val="000000"/>
                <w:spacing w:val="24"/>
                <w:sz w:val="21"/>
              </w:rPr>
              <w:t xml:space="preserve">0.048 </w:t>
            </w:r>
          </w:p>
        </w:tc>
        <w:tc>
          <w:tcPr>
            <w:tcW w:w="561" w:type="pct"/>
            <w:tcBorders>
              <w:tl2br w:val="nil"/>
              <w:tr2bl w:val="nil"/>
            </w:tcBorders>
            <w:vAlign w:val="bottom"/>
          </w:tcPr>
          <w:p w14:paraId="38875045">
            <w:pPr>
              <w:spacing w:line="280" w:lineRule="exact"/>
              <w:jc w:val="center"/>
              <w:rPr>
                <w:color w:val="000000"/>
                <w:spacing w:val="24"/>
                <w:sz w:val="21"/>
              </w:rPr>
            </w:pPr>
            <w:r>
              <w:rPr>
                <w:color w:val="000000"/>
                <w:spacing w:val="24"/>
                <w:sz w:val="21"/>
              </w:rPr>
              <w:t>70</w:t>
            </w:r>
          </w:p>
        </w:tc>
        <w:tc>
          <w:tcPr>
            <w:tcW w:w="675" w:type="pct"/>
            <w:tcBorders>
              <w:tl2br w:val="nil"/>
              <w:tr2bl w:val="nil"/>
            </w:tcBorders>
            <w:vAlign w:val="bottom"/>
          </w:tcPr>
          <w:p w14:paraId="23C04C43">
            <w:pPr>
              <w:spacing w:line="280" w:lineRule="exact"/>
              <w:jc w:val="center"/>
              <w:rPr>
                <w:color w:val="000000"/>
                <w:spacing w:val="24"/>
                <w:sz w:val="21"/>
              </w:rPr>
            </w:pPr>
            <w:r>
              <w:rPr>
                <w:color w:val="000000"/>
                <w:spacing w:val="24"/>
                <w:sz w:val="21"/>
              </w:rPr>
              <w:t xml:space="preserve">0.017 </w:t>
            </w:r>
          </w:p>
        </w:tc>
      </w:tr>
      <w:tr w14:paraId="6516D4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8" w:hRule="atLeast"/>
        </w:trPr>
        <w:tc>
          <w:tcPr>
            <w:tcW w:w="758" w:type="pct"/>
            <w:gridSpan w:val="2"/>
            <w:vMerge w:val="restart"/>
            <w:tcBorders>
              <w:tl2br w:val="nil"/>
              <w:tr2bl w:val="nil"/>
            </w:tcBorders>
            <w:vAlign w:val="center"/>
          </w:tcPr>
          <w:p w14:paraId="6443904D">
            <w:pPr>
              <w:spacing w:line="280" w:lineRule="exact"/>
              <w:jc w:val="center"/>
              <w:rPr>
                <w:color w:val="000000"/>
                <w:sz w:val="21"/>
              </w:rPr>
            </w:pPr>
            <w:r>
              <w:rPr>
                <w:color w:val="000000"/>
                <w:sz w:val="21"/>
              </w:rPr>
              <w:t>生活污水</w:t>
            </w:r>
          </w:p>
          <w:p w14:paraId="1D613611">
            <w:pPr>
              <w:spacing w:line="280" w:lineRule="exact"/>
              <w:jc w:val="center"/>
              <w:rPr>
                <w:color w:val="000000"/>
                <w:sz w:val="21"/>
              </w:rPr>
            </w:pPr>
          </w:p>
        </w:tc>
        <w:tc>
          <w:tcPr>
            <w:tcW w:w="586" w:type="pct"/>
            <w:vMerge w:val="restart"/>
            <w:tcBorders>
              <w:tl2br w:val="nil"/>
              <w:tr2bl w:val="nil"/>
            </w:tcBorders>
            <w:vAlign w:val="center"/>
          </w:tcPr>
          <w:p w14:paraId="5D2E3D3B">
            <w:pPr>
              <w:spacing w:line="280" w:lineRule="exact"/>
              <w:jc w:val="center"/>
              <w:rPr>
                <w:color w:val="000000"/>
                <w:sz w:val="21"/>
              </w:rPr>
            </w:pPr>
            <w:r>
              <w:rPr>
                <w:color w:val="000000"/>
                <w:sz w:val="21"/>
              </w:rPr>
              <w:t>2673m</w:t>
            </w:r>
            <w:r>
              <w:rPr>
                <w:color w:val="000000"/>
                <w:sz w:val="21"/>
                <w:vertAlign w:val="superscript"/>
              </w:rPr>
              <w:t>3</w:t>
            </w:r>
            <w:r>
              <w:rPr>
                <w:color w:val="000000"/>
                <w:sz w:val="21"/>
              </w:rPr>
              <w:t>/d</w:t>
            </w:r>
          </w:p>
        </w:tc>
        <w:tc>
          <w:tcPr>
            <w:tcW w:w="487" w:type="pct"/>
            <w:tcBorders>
              <w:tl2br w:val="nil"/>
              <w:tr2bl w:val="nil"/>
            </w:tcBorders>
            <w:vAlign w:val="center"/>
          </w:tcPr>
          <w:p w14:paraId="03BA9B08">
            <w:pPr>
              <w:spacing w:line="280" w:lineRule="exact"/>
              <w:jc w:val="center"/>
              <w:rPr>
                <w:color w:val="000000"/>
                <w:spacing w:val="24"/>
                <w:sz w:val="21"/>
              </w:rPr>
            </w:pPr>
            <w:r>
              <w:rPr>
                <w:color w:val="000000"/>
                <w:spacing w:val="24"/>
                <w:sz w:val="21"/>
              </w:rPr>
              <w:t>COD</w:t>
            </w:r>
          </w:p>
        </w:tc>
        <w:tc>
          <w:tcPr>
            <w:tcW w:w="881" w:type="pct"/>
            <w:vMerge w:val="restart"/>
            <w:tcBorders>
              <w:tl2br w:val="nil"/>
              <w:tr2bl w:val="nil"/>
            </w:tcBorders>
            <w:vAlign w:val="center"/>
          </w:tcPr>
          <w:p w14:paraId="7EBF9937">
            <w:pPr>
              <w:spacing w:line="280" w:lineRule="exact"/>
              <w:jc w:val="center"/>
              <w:rPr>
                <w:color w:val="000000"/>
                <w:spacing w:val="24"/>
                <w:sz w:val="21"/>
              </w:rPr>
            </w:pPr>
            <w:r>
              <w:rPr>
                <w:color w:val="000000"/>
                <w:sz w:val="21"/>
              </w:rPr>
              <w:t>经过化粪池处理后排入</w:t>
            </w:r>
            <w:r>
              <w:rPr>
                <w:color w:val="000000"/>
                <w:spacing w:val="24"/>
                <w:sz w:val="21"/>
              </w:rPr>
              <w:t>潘家坝污水处理厂</w:t>
            </w:r>
          </w:p>
        </w:tc>
        <w:tc>
          <w:tcPr>
            <w:tcW w:w="515" w:type="pct"/>
            <w:tcBorders>
              <w:tl2br w:val="nil"/>
              <w:tr2bl w:val="nil"/>
            </w:tcBorders>
            <w:vAlign w:val="bottom"/>
          </w:tcPr>
          <w:p w14:paraId="0400468B">
            <w:pPr>
              <w:spacing w:line="280" w:lineRule="exact"/>
              <w:jc w:val="center"/>
              <w:rPr>
                <w:color w:val="000000"/>
                <w:spacing w:val="24"/>
                <w:sz w:val="21"/>
              </w:rPr>
            </w:pPr>
            <w:r>
              <w:rPr>
                <w:color w:val="000000"/>
                <w:spacing w:val="24"/>
                <w:sz w:val="21"/>
              </w:rPr>
              <w:t>350</w:t>
            </w:r>
          </w:p>
        </w:tc>
        <w:tc>
          <w:tcPr>
            <w:tcW w:w="534" w:type="pct"/>
            <w:tcBorders>
              <w:tl2br w:val="nil"/>
              <w:tr2bl w:val="nil"/>
            </w:tcBorders>
            <w:vAlign w:val="bottom"/>
          </w:tcPr>
          <w:p w14:paraId="5338DF99">
            <w:pPr>
              <w:spacing w:line="280" w:lineRule="exact"/>
              <w:jc w:val="center"/>
              <w:rPr>
                <w:color w:val="000000"/>
                <w:spacing w:val="24"/>
                <w:sz w:val="21"/>
              </w:rPr>
            </w:pPr>
            <w:r>
              <w:rPr>
                <w:color w:val="000000"/>
                <w:spacing w:val="24"/>
                <w:sz w:val="21"/>
              </w:rPr>
              <w:t xml:space="preserve">0.936 </w:t>
            </w:r>
          </w:p>
        </w:tc>
        <w:tc>
          <w:tcPr>
            <w:tcW w:w="561" w:type="pct"/>
            <w:tcBorders>
              <w:tl2br w:val="nil"/>
              <w:tr2bl w:val="nil"/>
            </w:tcBorders>
            <w:vAlign w:val="bottom"/>
          </w:tcPr>
          <w:p w14:paraId="7622C85D">
            <w:pPr>
              <w:spacing w:line="280" w:lineRule="exact"/>
              <w:jc w:val="center"/>
              <w:rPr>
                <w:color w:val="000000"/>
                <w:spacing w:val="24"/>
                <w:sz w:val="21"/>
              </w:rPr>
            </w:pPr>
            <w:r>
              <w:rPr>
                <w:color w:val="000000"/>
                <w:spacing w:val="24"/>
                <w:sz w:val="21"/>
              </w:rPr>
              <w:t>80</w:t>
            </w:r>
          </w:p>
        </w:tc>
        <w:tc>
          <w:tcPr>
            <w:tcW w:w="675" w:type="pct"/>
            <w:tcBorders>
              <w:tl2br w:val="nil"/>
              <w:tr2bl w:val="nil"/>
            </w:tcBorders>
            <w:vAlign w:val="bottom"/>
          </w:tcPr>
          <w:p w14:paraId="5A15D164">
            <w:pPr>
              <w:spacing w:line="280" w:lineRule="exact"/>
              <w:jc w:val="center"/>
              <w:rPr>
                <w:color w:val="000000"/>
                <w:spacing w:val="24"/>
                <w:sz w:val="21"/>
              </w:rPr>
            </w:pPr>
            <w:r>
              <w:rPr>
                <w:color w:val="000000"/>
                <w:spacing w:val="24"/>
                <w:sz w:val="21"/>
              </w:rPr>
              <w:t xml:space="preserve">0.214 </w:t>
            </w:r>
          </w:p>
        </w:tc>
      </w:tr>
      <w:tr w14:paraId="3CAABD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8" w:hRule="atLeast"/>
        </w:trPr>
        <w:tc>
          <w:tcPr>
            <w:tcW w:w="758" w:type="pct"/>
            <w:gridSpan w:val="2"/>
            <w:vMerge w:val="continue"/>
            <w:tcBorders>
              <w:tl2br w:val="nil"/>
              <w:tr2bl w:val="nil"/>
            </w:tcBorders>
            <w:vAlign w:val="center"/>
          </w:tcPr>
          <w:p w14:paraId="60F0716C">
            <w:pPr>
              <w:spacing w:line="280" w:lineRule="exact"/>
              <w:jc w:val="center"/>
              <w:rPr>
                <w:color w:val="000000"/>
                <w:sz w:val="21"/>
              </w:rPr>
            </w:pPr>
          </w:p>
        </w:tc>
        <w:tc>
          <w:tcPr>
            <w:tcW w:w="586" w:type="pct"/>
            <w:vMerge w:val="continue"/>
            <w:tcBorders>
              <w:tl2br w:val="nil"/>
              <w:tr2bl w:val="nil"/>
            </w:tcBorders>
            <w:vAlign w:val="center"/>
          </w:tcPr>
          <w:p w14:paraId="1FE09CF0">
            <w:pPr>
              <w:spacing w:line="280" w:lineRule="exact"/>
              <w:jc w:val="center"/>
              <w:rPr>
                <w:color w:val="000000"/>
                <w:sz w:val="21"/>
              </w:rPr>
            </w:pPr>
          </w:p>
        </w:tc>
        <w:tc>
          <w:tcPr>
            <w:tcW w:w="487" w:type="pct"/>
            <w:tcBorders>
              <w:tl2br w:val="nil"/>
              <w:tr2bl w:val="nil"/>
            </w:tcBorders>
            <w:vAlign w:val="center"/>
          </w:tcPr>
          <w:p w14:paraId="1252848A">
            <w:pPr>
              <w:spacing w:line="280" w:lineRule="exact"/>
              <w:jc w:val="center"/>
              <w:rPr>
                <w:color w:val="000000"/>
                <w:spacing w:val="24"/>
                <w:sz w:val="21"/>
              </w:rPr>
            </w:pPr>
            <w:r>
              <w:rPr>
                <w:color w:val="000000"/>
                <w:spacing w:val="24"/>
                <w:sz w:val="21"/>
              </w:rPr>
              <w:t>BOD</w:t>
            </w:r>
            <w:r>
              <w:rPr>
                <w:color w:val="000000"/>
                <w:spacing w:val="24"/>
                <w:sz w:val="21"/>
                <w:vertAlign w:val="subscript"/>
              </w:rPr>
              <w:t>5</w:t>
            </w:r>
          </w:p>
        </w:tc>
        <w:tc>
          <w:tcPr>
            <w:tcW w:w="881" w:type="pct"/>
            <w:vMerge w:val="continue"/>
            <w:tcBorders>
              <w:tl2br w:val="nil"/>
              <w:tr2bl w:val="nil"/>
            </w:tcBorders>
            <w:vAlign w:val="center"/>
          </w:tcPr>
          <w:p w14:paraId="635CB398">
            <w:pPr>
              <w:spacing w:line="280" w:lineRule="exact"/>
              <w:jc w:val="center"/>
              <w:rPr>
                <w:color w:val="000000"/>
                <w:sz w:val="21"/>
              </w:rPr>
            </w:pPr>
          </w:p>
        </w:tc>
        <w:tc>
          <w:tcPr>
            <w:tcW w:w="515" w:type="pct"/>
            <w:tcBorders>
              <w:tl2br w:val="nil"/>
              <w:tr2bl w:val="nil"/>
            </w:tcBorders>
            <w:vAlign w:val="bottom"/>
          </w:tcPr>
          <w:p w14:paraId="5A2CD444">
            <w:pPr>
              <w:spacing w:line="280" w:lineRule="exact"/>
              <w:jc w:val="center"/>
              <w:rPr>
                <w:color w:val="000000"/>
                <w:spacing w:val="24"/>
                <w:sz w:val="21"/>
              </w:rPr>
            </w:pPr>
            <w:r>
              <w:rPr>
                <w:color w:val="000000"/>
                <w:spacing w:val="24"/>
                <w:sz w:val="21"/>
              </w:rPr>
              <w:t>200</w:t>
            </w:r>
          </w:p>
        </w:tc>
        <w:tc>
          <w:tcPr>
            <w:tcW w:w="534" w:type="pct"/>
            <w:tcBorders>
              <w:tl2br w:val="nil"/>
              <w:tr2bl w:val="nil"/>
            </w:tcBorders>
            <w:vAlign w:val="bottom"/>
          </w:tcPr>
          <w:p w14:paraId="541297C3">
            <w:pPr>
              <w:spacing w:line="280" w:lineRule="exact"/>
              <w:jc w:val="center"/>
              <w:rPr>
                <w:color w:val="000000"/>
                <w:spacing w:val="24"/>
                <w:sz w:val="21"/>
              </w:rPr>
            </w:pPr>
            <w:r>
              <w:rPr>
                <w:color w:val="000000"/>
                <w:spacing w:val="24"/>
                <w:sz w:val="21"/>
              </w:rPr>
              <w:t xml:space="preserve">0.535 </w:t>
            </w:r>
          </w:p>
        </w:tc>
        <w:tc>
          <w:tcPr>
            <w:tcW w:w="561" w:type="pct"/>
            <w:tcBorders>
              <w:tl2br w:val="nil"/>
              <w:tr2bl w:val="nil"/>
            </w:tcBorders>
            <w:vAlign w:val="bottom"/>
          </w:tcPr>
          <w:p w14:paraId="21B9F2FA">
            <w:pPr>
              <w:spacing w:line="280" w:lineRule="exact"/>
              <w:jc w:val="center"/>
              <w:rPr>
                <w:color w:val="000000"/>
                <w:spacing w:val="24"/>
                <w:sz w:val="21"/>
              </w:rPr>
            </w:pPr>
            <w:r>
              <w:rPr>
                <w:color w:val="000000"/>
                <w:spacing w:val="24"/>
                <w:sz w:val="21"/>
              </w:rPr>
              <w:t>20</w:t>
            </w:r>
          </w:p>
        </w:tc>
        <w:tc>
          <w:tcPr>
            <w:tcW w:w="675" w:type="pct"/>
            <w:tcBorders>
              <w:tl2br w:val="nil"/>
              <w:tr2bl w:val="nil"/>
            </w:tcBorders>
            <w:vAlign w:val="bottom"/>
          </w:tcPr>
          <w:p w14:paraId="4E0EB6A3">
            <w:pPr>
              <w:spacing w:line="280" w:lineRule="exact"/>
              <w:jc w:val="center"/>
              <w:rPr>
                <w:color w:val="000000"/>
                <w:spacing w:val="24"/>
                <w:sz w:val="21"/>
              </w:rPr>
            </w:pPr>
            <w:r>
              <w:rPr>
                <w:color w:val="000000"/>
                <w:spacing w:val="24"/>
                <w:sz w:val="21"/>
              </w:rPr>
              <w:t xml:space="preserve">0.053 </w:t>
            </w:r>
          </w:p>
        </w:tc>
      </w:tr>
      <w:tr w14:paraId="7C6A26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8" w:hRule="atLeast"/>
        </w:trPr>
        <w:tc>
          <w:tcPr>
            <w:tcW w:w="758" w:type="pct"/>
            <w:gridSpan w:val="2"/>
            <w:vMerge w:val="continue"/>
            <w:tcBorders>
              <w:tl2br w:val="nil"/>
              <w:tr2bl w:val="nil"/>
            </w:tcBorders>
            <w:vAlign w:val="center"/>
          </w:tcPr>
          <w:p w14:paraId="3E34F1A7">
            <w:pPr>
              <w:spacing w:line="280" w:lineRule="exact"/>
              <w:jc w:val="center"/>
              <w:rPr>
                <w:color w:val="000000"/>
              </w:rPr>
            </w:pPr>
          </w:p>
        </w:tc>
        <w:tc>
          <w:tcPr>
            <w:tcW w:w="586" w:type="pct"/>
            <w:vMerge w:val="continue"/>
            <w:tcBorders>
              <w:tl2br w:val="nil"/>
              <w:tr2bl w:val="nil"/>
            </w:tcBorders>
            <w:vAlign w:val="center"/>
          </w:tcPr>
          <w:p w14:paraId="1002C1E5">
            <w:pPr>
              <w:spacing w:line="280" w:lineRule="exact"/>
              <w:jc w:val="center"/>
              <w:rPr>
                <w:color w:val="000000"/>
              </w:rPr>
            </w:pPr>
          </w:p>
        </w:tc>
        <w:tc>
          <w:tcPr>
            <w:tcW w:w="487" w:type="pct"/>
            <w:tcBorders>
              <w:tl2br w:val="nil"/>
              <w:tr2bl w:val="nil"/>
            </w:tcBorders>
            <w:vAlign w:val="center"/>
          </w:tcPr>
          <w:p w14:paraId="3865C3F2">
            <w:pPr>
              <w:spacing w:line="280" w:lineRule="exact"/>
              <w:jc w:val="center"/>
              <w:rPr>
                <w:color w:val="000000"/>
                <w:sz w:val="21"/>
              </w:rPr>
            </w:pPr>
            <w:r>
              <w:rPr>
                <w:color w:val="000000"/>
                <w:spacing w:val="24"/>
                <w:sz w:val="21"/>
              </w:rPr>
              <w:t>SS</w:t>
            </w:r>
          </w:p>
        </w:tc>
        <w:tc>
          <w:tcPr>
            <w:tcW w:w="881" w:type="pct"/>
            <w:vMerge w:val="continue"/>
            <w:tcBorders>
              <w:tl2br w:val="nil"/>
              <w:tr2bl w:val="nil"/>
            </w:tcBorders>
            <w:vAlign w:val="center"/>
          </w:tcPr>
          <w:p w14:paraId="0E7272BB">
            <w:pPr>
              <w:spacing w:line="280" w:lineRule="exact"/>
              <w:jc w:val="center"/>
              <w:rPr>
                <w:color w:val="000000"/>
                <w:sz w:val="21"/>
              </w:rPr>
            </w:pPr>
          </w:p>
        </w:tc>
        <w:tc>
          <w:tcPr>
            <w:tcW w:w="515" w:type="pct"/>
            <w:tcBorders>
              <w:tl2br w:val="nil"/>
              <w:tr2bl w:val="nil"/>
            </w:tcBorders>
            <w:vAlign w:val="bottom"/>
          </w:tcPr>
          <w:p w14:paraId="05402033">
            <w:pPr>
              <w:spacing w:line="280" w:lineRule="exact"/>
              <w:jc w:val="center"/>
              <w:rPr>
                <w:color w:val="000000"/>
                <w:spacing w:val="24"/>
                <w:sz w:val="21"/>
              </w:rPr>
            </w:pPr>
            <w:r>
              <w:rPr>
                <w:color w:val="000000"/>
                <w:spacing w:val="24"/>
                <w:sz w:val="21"/>
              </w:rPr>
              <w:t>200</w:t>
            </w:r>
          </w:p>
        </w:tc>
        <w:tc>
          <w:tcPr>
            <w:tcW w:w="534" w:type="pct"/>
            <w:tcBorders>
              <w:tl2br w:val="nil"/>
              <w:tr2bl w:val="nil"/>
            </w:tcBorders>
            <w:vAlign w:val="bottom"/>
          </w:tcPr>
          <w:p w14:paraId="65016F5D">
            <w:pPr>
              <w:spacing w:line="280" w:lineRule="exact"/>
              <w:jc w:val="center"/>
              <w:rPr>
                <w:color w:val="000000"/>
                <w:spacing w:val="24"/>
                <w:sz w:val="21"/>
              </w:rPr>
            </w:pPr>
            <w:r>
              <w:rPr>
                <w:color w:val="000000"/>
                <w:spacing w:val="24"/>
                <w:sz w:val="21"/>
              </w:rPr>
              <w:t xml:space="preserve">0.535 </w:t>
            </w:r>
          </w:p>
        </w:tc>
        <w:tc>
          <w:tcPr>
            <w:tcW w:w="561" w:type="pct"/>
            <w:tcBorders>
              <w:tl2br w:val="nil"/>
              <w:tr2bl w:val="nil"/>
            </w:tcBorders>
            <w:vAlign w:val="bottom"/>
          </w:tcPr>
          <w:p w14:paraId="4A6E1B06">
            <w:pPr>
              <w:spacing w:line="280" w:lineRule="exact"/>
              <w:jc w:val="center"/>
              <w:rPr>
                <w:color w:val="000000"/>
                <w:spacing w:val="24"/>
                <w:sz w:val="21"/>
              </w:rPr>
            </w:pPr>
            <w:r>
              <w:rPr>
                <w:color w:val="000000"/>
                <w:spacing w:val="24"/>
                <w:sz w:val="21"/>
              </w:rPr>
              <w:t>70</w:t>
            </w:r>
          </w:p>
        </w:tc>
        <w:tc>
          <w:tcPr>
            <w:tcW w:w="675" w:type="pct"/>
            <w:tcBorders>
              <w:tl2br w:val="nil"/>
              <w:tr2bl w:val="nil"/>
            </w:tcBorders>
            <w:vAlign w:val="bottom"/>
          </w:tcPr>
          <w:p w14:paraId="5865D2F2">
            <w:pPr>
              <w:spacing w:line="280" w:lineRule="exact"/>
              <w:jc w:val="center"/>
              <w:rPr>
                <w:color w:val="000000"/>
                <w:spacing w:val="24"/>
                <w:sz w:val="21"/>
              </w:rPr>
            </w:pPr>
            <w:r>
              <w:rPr>
                <w:color w:val="000000"/>
                <w:spacing w:val="24"/>
                <w:sz w:val="21"/>
              </w:rPr>
              <w:t xml:space="preserve">0.187 </w:t>
            </w:r>
          </w:p>
        </w:tc>
      </w:tr>
      <w:tr w14:paraId="17BF85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8" w:hRule="atLeast"/>
        </w:trPr>
        <w:tc>
          <w:tcPr>
            <w:tcW w:w="758" w:type="pct"/>
            <w:gridSpan w:val="2"/>
            <w:vMerge w:val="continue"/>
            <w:tcBorders>
              <w:tl2br w:val="nil"/>
              <w:tr2bl w:val="nil"/>
            </w:tcBorders>
            <w:vAlign w:val="center"/>
          </w:tcPr>
          <w:p w14:paraId="2B981009">
            <w:pPr>
              <w:spacing w:line="280" w:lineRule="exact"/>
              <w:jc w:val="center"/>
              <w:rPr>
                <w:color w:val="000000"/>
                <w:sz w:val="21"/>
              </w:rPr>
            </w:pPr>
          </w:p>
        </w:tc>
        <w:tc>
          <w:tcPr>
            <w:tcW w:w="586" w:type="pct"/>
            <w:vMerge w:val="continue"/>
            <w:tcBorders>
              <w:tl2br w:val="nil"/>
              <w:tr2bl w:val="nil"/>
            </w:tcBorders>
            <w:vAlign w:val="center"/>
          </w:tcPr>
          <w:p w14:paraId="730949C6">
            <w:pPr>
              <w:spacing w:line="280" w:lineRule="exact"/>
              <w:jc w:val="center"/>
              <w:rPr>
                <w:color w:val="000000"/>
                <w:sz w:val="21"/>
              </w:rPr>
            </w:pPr>
          </w:p>
        </w:tc>
        <w:tc>
          <w:tcPr>
            <w:tcW w:w="487" w:type="pct"/>
            <w:tcBorders>
              <w:tl2br w:val="nil"/>
              <w:tr2bl w:val="nil"/>
            </w:tcBorders>
            <w:vAlign w:val="center"/>
          </w:tcPr>
          <w:p w14:paraId="5E849F78">
            <w:pPr>
              <w:spacing w:line="280" w:lineRule="exact"/>
              <w:jc w:val="center"/>
              <w:rPr>
                <w:color w:val="000000"/>
                <w:sz w:val="21"/>
              </w:rPr>
            </w:pPr>
            <w:r>
              <w:rPr>
                <w:color w:val="000000"/>
                <w:sz w:val="21"/>
              </w:rPr>
              <w:t>NH</w:t>
            </w:r>
            <w:r>
              <w:rPr>
                <w:color w:val="000000"/>
                <w:sz w:val="21"/>
                <w:vertAlign w:val="subscript"/>
              </w:rPr>
              <w:t>3</w:t>
            </w:r>
            <w:r>
              <w:rPr>
                <w:color w:val="000000"/>
                <w:sz w:val="21"/>
                <w:lang w:val="en-GB"/>
              </w:rPr>
              <w:t>-</w:t>
            </w:r>
            <w:r>
              <w:rPr>
                <w:color w:val="000000"/>
                <w:sz w:val="21"/>
              </w:rPr>
              <w:t>N</w:t>
            </w:r>
          </w:p>
        </w:tc>
        <w:tc>
          <w:tcPr>
            <w:tcW w:w="881" w:type="pct"/>
            <w:vMerge w:val="continue"/>
            <w:tcBorders>
              <w:tl2br w:val="nil"/>
              <w:tr2bl w:val="nil"/>
            </w:tcBorders>
            <w:vAlign w:val="center"/>
          </w:tcPr>
          <w:p w14:paraId="35B94C3F">
            <w:pPr>
              <w:spacing w:line="280" w:lineRule="exact"/>
              <w:jc w:val="center"/>
              <w:rPr>
                <w:color w:val="000000"/>
                <w:sz w:val="21"/>
              </w:rPr>
            </w:pPr>
          </w:p>
        </w:tc>
        <w:tc>
          <w:tcPr>
            <w:tcW w:w="515" w:type="pct"/>
            <w:tcBorders>
              <w:tl2br w:val="nil"/>
              <w:tr2bl w:val="nil"/>
            </w:tcBorders>
            <w:vAlign w:val="bottom"/>
          </w:tcPr>
          <w:p w14:paraId="6260C232">
            <w:pPr>
              <w:spacing w:line="280" w:lineRule="exact"/>
              <w:jc w:val="center"/>
              <w:rPr>
                <w:color w:val="000000"/>
                <w:spacing w:val="24"/>
                <w:sz w:val="21"/>
              </w:rPr>
            </w:pPr>
            <w:r>
              <w:rPr>
                <w:color w:val="000000"/>
                <w:spacing w:val="24"/>
                <w:sz w:val="21"/>
              </w:rPr>
              <w:t>37</w:t>
            </w:r>
          </w:p>
        </w:tc>
        <w:tc>
          <w:tcPr>
            <w:tcW w:w="534" w:type="pct"/>
            <w:tcBorders>
              <w:tl2br w:val="nil"/>
              <w:tr2bl w:val="nil"/>
            </w:tcBorders>
            <w:vAlign w:val="bottom"/>
          </w:tcPr>
          <w:p w14:paraId="77ACD4EF">
            <w:pPr>
              <w:spacing w:line="280" w:lineRule="exact"/>
              <w:jc w:val="center"/>
              <w:rPr>
                <w:color w:val="000000"/>
                <w:spacing w:val="24"/>
                <w:sz w:val="21"/>
              </w:rPr>
            </w:pPr>
            <w:r>
              <w:rPr>
                <w:color w:val="000000"/>
                <w:spacing w:val="24"/>
                <w:sz w:val="21"/>
              </w:rPr>
              <w:t xml:space="preserve">0.099 </w:t>
            </w:r>
          </w:p>
        </w:tc>
        <w:tc>
          <w:tcPr>
            <w:tcW w:w="561" w:type="pct"/>
            <w:tcBorders>
              <w:tl2br w:val="nil"/>
              <w:tr2bl w:val="nil"/>
            </w:tcBorders>
            <w:vAlign w:val="bottom"/>
          </w:tcPr>
          <w:p w14:paraId="1E86E2C1">
            <w:pPr>
              <w:spacing w:line="280" w:lineRule="exact"/>
              <w:jc w:val="center"/>
              <w:rPr>
                <w:color w:val="000000"/>
                <w:spacing w:val="24"/>
                <w:sz w:val="21"/>
              </w:rPr>
            </w:pPr>
            <w:r>
              <w:rPr>
                <w:color w:val="000000"/>
                <w:spacing w:val="24"/>
                <w:sz w:val="21"/>
              </w:rPr>
              <w:t>10</w:t>
            </w:r>
          </w:p>
        </w:tc>
        <w:tc>
          <w:tcPr>
            <w:tcW w:w="675" w:type="pct"/>
            <w:tcBorders>
              <w:tl2br w:val="nil"/>
              <w:tr2bl w:val="nil"/>
            </w:tcBorders>
            <w:vAlign w:val="bottom"/>
          </w:tcPr>
          <w:p w14:paraId="3CA5B8EB">
            <w:pPr>
              <w:spacing w:line="280" w:lineRule="exact"/>
              <w:jc w:val="center"/>
              <w:rPr>
                <w:color w:val="000000"/>
                <w:spacing w:val="24"/>
                <w:sz w:val="21"/>
              </w:rPr>
            </w:pPr>
            <w:r>
              <w:rPr>
                <w:color w:val="000000"/>
                <w:spacing w:val="24"/>
                <w:sz w:val="21"/>
              </w:rPr>
              <w:t xml:space="preserve">0.027 </w:t>
            </w:r>
          </w:p>
        </w:tc>
      </w:tr>
      <w:tr w14:paraId="3C1DA6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8" w:hRule="atLeast"/>
        </w:trPr>
        <w:tc>
          <w:tcPr>
            <w:tcW w:w="758" w:type="pct"/>
            <w:gridSpan w:val="2"/>
            <w:vMerge w:val="continue"/>
            <w:tcBorders>
              <w:tl2br w:val="nil"/>
              <w:tr2bl w:val="nil"/>
            </w:tcBorders>
            <w:vAlign w:val="center"/>
          </w:tcPr>
          <w:p w14:paraId="3AC6AC40">
            <w:pPr>
              <w:spacing w:line="280" w:lineRule="exact"/>
              <w:jc w:val="center"/>
              <w:rPr>
                <w:color w:val="000000"/>
                <w:sz w:val="21"/>
              </w:rPr>
            </w:pPr>
          </w:p>
        </w:tc>
        <w:tc>
          <w:tcPr>
            <w:tcW w:w="586" w:type="pct"/>
            <w:vMerge w:val="continue"/>
            <w:tcBorders>
              <w:tl2br w:val="nil"/>
              <w:tr2bl w:val="nil"/>
            </w:tcBorders>
            <w:vAlign w:val="center"/>
          </w:tcPr>
          <w:p w14:paraId="43999EC8">
            <w:pPr>
              <w:spacing w:line="280" w:lineRule="exact"/>
              <w:jc w:val="center"/>
              <w:rPr>
                <w:color w:val="000000"/>
                <w:sz w:val="21"/>
              </w:rPr>
            </w:pPr>
          </w:p>
        </w:tc>
        <w:tc>
          <w:tcPr>
            <w:tcW w:w="487" w:type="pct"/>
            <w:tcBorders>
              <w:tl2br w:val="nil"/>
              <w:tr2bl w:val="nil"/>
            </w:tcBorders>
            <w:vAlign w:val="center"/>
          </w:tcPr>
          <w:p w14:paraId="25C9A7D4">
            <w:pPr>
              <w:spacing w:line="280" w:lineRule="exact"/>
              <w:jc w:val="center"/>
              <w:rPr>
                <w:color w:val="000000"/>
                <w:sz w:val="21"/>
              </w:rPr>
            </w:pPr>
            <w:r>
              <w:rPr>
                <w:color w:val="000000"/>
                <w:sz w:val="21"/>
              </w:rPr>
              <w:t>TP</w:t>
            </w:r>
          </w:p>
        </w:tc>
        <w:tc>
          <w:tcPr>
            <w:tcW w:w="881" w:type="pct"/>
            <w:vMerge w:val="continue"/>
            <w:tcBorders>
              <w:tl2br w:val="nil"/>
              <w:tr2bl w:val="nil"/>
            </w:tcBorders>
            <w:vAlign w:val="center"/>
          </w:tcPr>
          <w:p w14:paraId="650FC453">
            <w:pPr>
              <w:spacing w:line="280" w:lineRule="exact"/>
              <w:jc w:val="center"/>
              <w:rPr>
                <w:color w:val="000000"/>
                <w:sz w:val="21"/>
              </w:rPr>
            </w:pPr>
          </w:p>
        </w:tc>
        <w:tc>
          <w:tcPr>
            <w:tcW w:w="515" w:type="pct"/>
            <w:tcBorders>
              <w:tl2br w:val="nil"/>
              <w:tr2bl w:val="nil"/>
            </w:tcBorders>
            <w:vAlign w:val="bottom"/>
          </w:tcPr>
          <w:p w14:paraId="763725D3">
            <w:pPr>
              <w:spacing w:line="280" w:lineRule="exact"/>
              <w:jc w:val="center"/>
              <w:rPr>
                <w:color w:val="000000"/>
                <w:spacing w:val="24"/>
                <w:sz w:val="21"/>
              </w:rPr>
            </w:pPr>
            <w:r>
              <w:rPr>
                <w:color w:val="000000"/>
                <w:spacing w:val="24"/>
                <w:sz w:val="21"/>
              </w:rPr>
              <w:t>5</w:t>
            </w:r>
          </w:p>
        </w:tc>
        <w:tc>
          <w:tcPr>
            <w:tcW w:w="534" w:type="pct"/>
            <w:tcBorders>
              <w:tl2br w:val="nil"/>
              <w:tr2bl w:val="nil"/>
            </w:tcBorders>
            <w:vAlign w:val="bottom"/>
          </w:tcPr>
          <w:p w14:paraId="45077B9C">
            <w:pPr>
              <w:spacing w:line="280" w:lineRule="exact"/>
              <w:jc w:val="center"/>
              <w:rPr>
                <w:color w:val="000000"/>
                <w:spacing w:val="24"/>
                <w:sz w:val="21"/>
              </w:rPr>
            </w:pPr>
            <w:r>
              <w:rPr>
                <w:color w:val="000000"/>
                <w:spacing w:val="24"/>
                <w:sz w:val="21"/>
              </w:rPr>
              <w:t xml:space="preserve">0.013 </w:t>
            </w:r>
          </w:p>
        </w:tc>
        <w:tc>
          <w:tcPr>
            <w:tcW w:w="561" w:type="pct"/>
            <w:tcBorders>
              <w:tl2br w:val="nil"/>
              <w:tr2bl w:val="nil"/>
            </w:tcBorders>
            <w:vAlign w:val="bottom"/>
          </w:tcPr>
          <w:p w14:paraId="625C7A21">
            <w:pPr>
              <w:spacing w:line="280" w:lineRule="exact"/>
              <w:jc w:val="center"/>
              <w:rPr>
                <w:color w:val="000000"/>
                <w:spacing w:val="24"/>
                <w:sz w:val="21"/>
              </w:rPr>
            </w:pPr>
            <w:r>
              <w:rPr>
                <w:color w:val="000000"/>
                <w:spacing w:val="24"/>
                <w:sz w:val="21"/>
              </w:rPr>
              <w:t>0.5</w:t>
            </w:r>
          </w:p>
        </w:tc>
        <w:tc>
          <w:tcPr>
            <w:tcW w:w="675" w:type="pct"/>
            <w:tcBorders>
              <w:tl2br w:val="nil"/>
              <w:tr2bl w:val="nil"/>
            </w:tcBorders>
            <w:vAlign w:val="bottom"/>
          </w:tcPr>
          <w:p w14:paraId="24DA978A">
            <w:pPr>
              <w:spacing w:line="280" w:lineRule="exact"/>
              <w:jc w:val="center"/>
              <w:rPr>
                <w:color w:val="000000"/>
                <w:spacing w:val="24"/>
                <w:sz w:val="21"/>
              </w:rPr>
            </w:pPr>
            <w:r>
              <w:rPr>
                <w:color w:val="000000"/>
                <w:spacing w:val="24"/>
                <w:sz w:val="21"/>
              </w:rPr>
              <w:t xml:space="preserve">0.001 </w:t>
            </w:r>
          </w:p>
        </w:tc>
      </w:tr>
      <w:tr w14:paraId="35644E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4" w:hRule="atLeast"/>
        </w:trPr>
        <w:tc>
          <w:tcPr>
            <w:tcW w:w="758" w:type="pct"/>
            <w:gridSpan w:val="2"/>
            <w:tcBorders>
              <w:tl2br w:val="nil"/>
              <w:tr2bl w:val="nil"/>
            </w:tcBorders>
            <w:vAlign w:val="center"/>
          </w:tcPr>
          <w:p w14:paraId="08E9C57B">
            <w:pPr>
              <w:spacing w:line="280" w:lineRule="exact"/>
              <w:jc w:val="center"/>
              <w:rPr>
                <w:color w:val="000000"/>
                <w:sz w:val="21"/>
              </w:rPr>
            </w:pPr>
            <w:r>
              <w:rPr>
                <w:bCs/>
                <w:color w:val="000000"/>
                <w:sz w:val="21"/>
              </w:rPr>
              <w:t>循环冷却水系统</w:t>
            </w:r>
          </w:p>
        </w:tc>
        <w:tc>
          <w:tcPr>
            <w:tcW w:w="586" w:type="pct"/>
            <w:tcBorders>
              <w:tl2br w:val="nil"/>
              <w:tr2bl w:val="nil"/>
            </w:tcBorders>
            <w:vAlign w:val="center"/>
          </w:tcPr>
          <w:p w14:paraId="6C5DCDD3">
            <w:pPr>
              <w:spacing w:line="280" w:lineRule="exact"/>
              <w:jc w:val="center"/>
              <w:rPr>
                <w:color w:val="000000"/>
                <w:sz w:val="21"/>
              </w:rPr>
            </w:pPr>
            <w:r>
              <w:rPr>
                <w:color w:val="000000"/>
                <w:sz w:val="21"/>
              </w:rPr>
              <w:t>9m</w:t>
            </w:r>
            <w:r>
              <w:rPr>
                <w:color w:val="000000"/>
                <w:sz w:val="21"/>
                <w:vertAlign w:val="superscript"/>
              </w:rPr>
              <w:t>3</w:t>
            </w:r>
            <w:r>
              <w:rPr>
                <w:color w:val="000000"/>
                <w:sz w:val="21"/>
              </w:rPr>
              <w:t>/h</w:t>
            </w:r>
          </w:p>
        </w:tc>
        <w:tc>
          <w:tcPr>
            <w:tcW w:w="487" w:type="pct"/>
            <w:tcBorders>
              <w:tl2br w:val="nil"/>
              <w:tr2bl w:val="nil"/>
            </w:tcBorders>
            <w:vAlign w:val="center"/>
          </w:tcPr>
          <w:p w14:paraId="2EEEAC6A">
            <w:pPr>
              <w:spacing w:line="280" w:lineRule="exact"/>
              <w:jc w:val="center"/>
              <w:rPr>
                <w:color w:val="000000"/>
                <w:sz w:val="21"/>
              </w:rPr>
            </w:pPr>
            <w:r>
              <w:rPr>
                <w:color w:val="000000"/>
                <w:sz w:val="21"/>
              </w:rPr>
              <w:t>清净下水</w:t>
            </w:r>
          </w:p>
        </w:tc>
        <w:tc>
          <w:tcPr>
            <w:tcW w:w="881" w:type="pct"/>
            <w:tcBorders>
              <w:tl2br w:val="nil"/>
              <w:tr2bl w:val="nil"/>
            </w:tcBorders>
            <w:vAlign w:val="center"/>
          </w:tcPr>
          <w:p w14:paraId="691541B4">
            <w:pPr>
              <w:spacing w:line="280" w:lineRule="exact"/>
              <w:jc w:val="center"/>
              <w:rPr>
                <w:color w:val="000000"/>
                <w:spacing w:val="24"/>
                <w:sz w:val="21"/>
              </w:rPr>
            </w:pPr>
            <w:r>
              <w:rPr>
                <w:color w:val="000000"/>
                <w:sz w:val="21"/>
              </w:rPr>
              <w:t>排入雨水管网</w:t>
            </w:r>
          </w:p>
        </w:tc>
        <w:tc>
          <w:tcPr>
            <w:tcW w:w="515" w:type="pct"/>
            <w:tcBorders>
              <w:tl2br w:val="nil"/>
              <w:tr2bl w:val="nil"/>
            </w:tcBorders>
            <w:vAlign w:val="center"/>
          </w:tcPr>
          <w:p w14:paraId="6E717785">
            <w:pPr>
              <w:spacing w:line="280" w:lineRule="exact"/>
              <w:jc w:val="center"/>
              <w:rPr>
                <w:color w:val="000000"/>
                <w:sz w:val="21"/>
              </w:rPr>
            </w:pPr>
            <w:r>
              <w:rPr>
                <w:color w:val="000000"/>
                <w:sz w:val="21"/>
              </w:rPr>
              <w:t>/</w:t>
            </w:r>
          </w:p>
        </w:tc>
        <w:tc>
          <w:tcPr>
            <w:tcW w:w="534" w:type="pct"/>
            <w:tcBorders>
              <w:tl2br w:val="nil"/>
              <w:tr2bl w:val="nil"/>
            </w:tcBorders>
            <w:vAlign w:val="center"/>
          </w:tcPr>
          <w:p w14:paraId="163058C6">
            <w:pPr>
              <w:spacing w:line="280" w:lineRule="exact"/>
              <w:jc w:val="center"/>
              <w:rPr>
                <w:color w:val="000000"/>
                <w:sz w:val="21"/>
              </w:rPr>
            </w:pPr>
            <w:r>
              <w:rPr>
                <w:color w:val="000000"/>
                <w:sz w:val="21"/>
              </w:rPr>
              <w:t>/</w:t>
            </w:r>
          </w:p>
        </w:tc>
        <w:tc>
          <w:tcPr>
            <w:tcW w:w="561" w:type="pct"/>
            <w:tcBorders>
              <w:tl2br w:val="nil"/>
              <w:tr2bl w:val="nil"/>
            </w:tcBorders>
            <w:vAlign w:val="center"/>
          </w:tcPr>
          <w:p w14:paraId="5E515FDC">
            <w:pPr>
              <w:spacing w:line="280" w:lineRule="exact"/>
              <w:jc w:val="center"/>
              <w:rPr>
                <w:color w:val="000000"/>
                <w:sz w:val="21"/>
              </w:rPr>
            </w:pPr>
            <w:r>
              <w:rPr>
                <w:color w:val="000000"/>
                <w:sz w:val="21"/>
              </w:rPr>
              <w:t>/</w:t>
            </w:r>
          </w:p>
        </w:tc>
        <w:tc>
          <w:tcPr>
            <w:tcW w:w="675" w:type="pct"/>
            <w:tcBorders>
              <w:tl2br w:val="nil"/>
              <w:tr2bl w:val="nil"/>
            </w:tcBorders>
            <w:vAlign w:val="center"/>
          </w:tcPr>
          <w:p w14:paraId="21E176CD">
            <w:pPr>
              <w:spacing w:line="280" w:lineRule="exact"/>
              <w:jc w:val="center"/>
              <w:rPr>
                <w:color w:val="000000"/>
                <w:sz w:val="21"/>
              </w:rPr>
            </w:pPr>
            <w:r>
              <w:rPr>
                <w:color w:val="000000"/>
                <w:sz w:val="21"/>
              </w:rPr>
              <w:t>/</w:t>
            </w:r>
          </w:p>
        </w:tc>
      </w:tr>
    </w:tbl>
    <w:p w14:paraId="6CD8ED6C">
      <w:pPr>
        <w:ind w:firstLine="482"/>
        <w:rPr>
          <w:color w:val="000000"/>
          <w:szCs w:val="24"/>
        </w:rPr>
      </w:pPr>
      <w:r>
        <w:rPr>
          <w:color w:val="000000"/>
          <w:szCs w:val="24"/>
        </w:rPr>
        <w:t>（3）噪声</w:t>
      </w:r>
    </w:p>
    <w:p w14:paraId="22854BF0">
      <w:pPr>
        <w:ind w:firstLine="482"/>
        <w:rPr>
          <w:color w:val="000000"/>
          <w:szCs w:val="24"/>
        </w:rPr>
      </w:pPr>
      <w:r>
        <w:rPr>
          <w:color w:val="000000"/>
          <w:szCs w:val="24"/>
        </w:rPr>
        <w:t>根据噪声源设备技术参数，结合同类设备的类比调查，确定主要噪声源为各种泵类设备、制冷压缩机、循环水站、放空火炬噪声，噪声级范围75~100dB(A)。</w:t>
      </w:r>
    </w:p>
    <w:p w14:paraId="04412094">
      <w:pPr>
        <w:ind w:firstLine="482"/>
        <w:rPr>
          <w:color w:val="000000"/>
          <w:sz w:val="21"/>
        </w:rPr>
      </w:pPr>
      <w:r>
        <w:rPr>
          <w:color w:val="000000"/>
          <w:szCs w:val="24"/>
        </w:rPr>
        <w:t>现有工程主要噪声源见表2-17。</w:t>
      </w:r>
    </w:p>
    <w:p w14:paraId="1851A0E3">
      <w:pPr>
        <w:ind w:firstLine="2345" w:firstLineChars="1117"/>
        <w:rPr>
          <w:color w:val="000000"/>
          <w:sz w:val="21"/>
        </w:rPr>
      </w:pPr>
      <w:r>
        <w:rPr>
          <w:color w:val="000000"/>
          <w:sz w:val="21"/>
        </w:rPr>
        <w:t>表2-17  现有工程主要噪声源一览表</w:t>
      </w:r>
    </w:p>
    <w:tbl>
      <w:tblPr>
        <w:tblStyle w:val="73"/>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405"/>
        <w:gridCol w:w="1268"/>
        <w:gridCol w:w="1263"/>
        <w:gridCol w:w="1705"/>
        <w:gridCol w:w="1375"/>
        <w:gridCol w:w="2038"/>
      </w:tblGrid>
      <w:tr w14:paraId="461F93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3" w:hRule="atLeast"/>
          <w:jc w:val="center"/>
        </w:trPr>
        <w:tc>
          <w:tcPr>
            <w:tcW w:w="776" w:type="pct"/>
            <w:tcBorders>
              <w:tl2br w:val="nil"/>
              <w:tr2bl w:val="nil"/>
            </w:tcBorders>
            <w:vAlign w:val="center"/>
          </w:tcPr>
          <w:p w14:paraId="3FBCE227">
            <w:pPr>
              <w:spacing w:line="280" w:lineRule="exact"/>
              <w:jc w:val="center"/>
              <w:rPr>
                <w:color w:val="000000"/>
                <w:sz w:val="21"/>
              </w:rPr>
            </w:pPr>
            <w:r>
              <w:rPr>
                <w:color w:val="000000"/>
                <w:sz w:val="21"/>
              </w:rPr>
              <w:t>设备名称</w:t>
            </w:r>
          </w:p>
        </w:tc>
        <w:tc>
          <w:tcPr>
            <w:tcW w:w="700" w:type="pct"/>
            <w:tcBorders>
              <w:tl2br w:val="nil"/>
              <w:tr2bl w:val="nil"/>
            </w:tcBorders>
            <w:vAlign w:val="center"/>
          </w:tcPr>
          <w:p w14:paraId="1A1DBB2E">
            <w:pPr>
              <w:spacing w:line="280" w:lineRule="exact"/>
              <w:jc w:val="center"/>
              <w:rPr>
                <w:color w:val="000000"/>
                <w:sz w:val="21"/>
              </w:rPr>
            </w:pPr>
            <w:r>
              <w:rPr>
                <w:color w:val="000000"/>
                <w:sz w:val="21"/>
              </w:rPr>
              <w:t>声源位置</w:t>
            </w:r>
          </w:p>
        </w:tc>
        <w:tc>
          <w:tcPr>
            <w:tcW w:w="697" w:type="pct"/>
            <w:tcBorders>
              <w:tl2br w:val="nil"/>
              <w:tr2bl w:val="nil"/>
            </w:tcBorders>
            <w:vAlign w:val="center"/>
          </w:tcPr>
          <w:p w14:paraId="46BF4428">
            <w:pPr>
              <w:spacing w:line="280" w:lineRule="exact"/>
              <w:jc w:val="center"/>
              <w:rPr>
                <w:color w:val="000000"/>
                <w:sz w:val="21"/>
              </w:rPr>
            </w:pPr>
            <w:r>
              <w:rPr>
                <w:color w:val="000000"/>
                <w:sz w:val="21"/>
              </w:rPr>
              <w:t>声源强度dB(A)</w:t>
            </w:r>
          </w:p>
        </w:tc>
        <w:tc>
          <w:tcPr>
            <w:tcW w:w="941" w:type="pct"/>
            <w:tcBorders>
              <w:tl2br w:val="nil"/>
              <w:tr2bl w:val="nil"/>
            </w:tcBorders>
            <w:vAlign w:val="center"/>
          </w:tcPr>
          <w:p w14:paraId="6AF8FC59">
            <w:pPr>
              <w:spacing w:line="280" w:lineRule="exact"/>
              <w:jc w:val="center"/>
              <w:rPr>
                <w:color w:val="000000"/>
                <w:sz w:val="21"/>
              </w:rPr>
            </w:pPr>
            <w:r>
              <w:rPr>
                <w:color w:val="000000"/>
                <w:sz w:val="21"/>
              </w:rPr>
              <w:t>与场界最近距离（m）</w:t>
            </w:r>
          </w:p>
        </w:tc>
        <w:tc>
          <w:tcPr>
            <w:tcW w:w="759" w:type="pct"/>
            <w:tcBorders>
              <w:tl2br w:val="nil"/>
              <w:tr2bl w:val="nil"/>
            </w:tcBorders>
            <w:vAlign w:val="center"/>
          </w:tcPr>
          <w:p w14:paraId="2D14B6A7">
            <w:pPr>
              <w:spacing w:line="280" w:lineRule="exact"/>
              <w:jc w:val="center"/>
              <w:rPr>
                <w:color w:val="000000"/>
                <w:sz w:val="21"/>
              </w:rPr>
            </w:pPr>
            <w:r>
              <w:rPr>
                <w:color w:val="000000"/>
                <w:sz w:val="21"/>
              </w:rPr>
              <w:t>降噪措施</w:t>
            </w:r>
          </w:p>
        </w:tc>
        <w:tc>
          <w:tcPr>
            <w:tcW w:w="1125" w:type="pct"/>
            <w:tcBorders>
              <w:tl2br w:val="nil"/>
              <w:tr2bl w:val="nil"/>
            </w:tcBorders>
            <w:vAlign w:val="center"/>
          </w:tcPr>
          <w:p w14:paraId="07A66CB6">
            <w:pPr>
              <w:spacing w:line="280" w:lineRule="exact"/>
              <w:jc w:val="center"/>
              <w:rPr>
                <w:color w:val="000000"/>
                <w:sz w:val="21"/>
              </w:rPr>
            </w:pPr>
            <w:r>
              <w:rPr>
                <w:color w:val="000000"/>
                <w:sz w:val="21"/>
              </w:rPr>
              <w:t>治理后声源强度</w:t>
            </w:r>
          </w:p>
          <w:p w14:paraId="635BCFFC">
            <w:pPr>
              <w:spacing w:line="280" w:lineRule="exact"/>
              <w:jc w:val="center"/>
              <w:rPr>
                <w:color w:val="000000"/>
                <w:sz w:val="21"/>
              </w:rPr>
            </w:pPr>
            <w:r>
              <w:rPr>
                <w:color w:val="000000"/>
                <w:sz w:val="21"/>
              </w:rPr>
              <w:t>dB(A)</w:t>
            </w:r>
          </w:p>
        </w:tc>
      </w:tr>
      <w:tr w14:paraId="28A6E7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5" w:hRule="atLeast"/>
          <w:jc w:val="center"/>
        </w:trPr>
        <w:tc>
          <w:tcPr>
            <w:tcW w:w="776" w:type="pct"/>
            <w:tcBorders>
              <w:tl2br w:val="nil"/>
              <w:tr2bl w:val="nil"/>
            </w:tcBorders>
            <w:vAlign w:val="center"/>
          </w:tcPr>
          <w:p w14:paraId="55FD4787">
            <w:pPr>
              <w:spacing w:line="280" w:lineRule="exact"/>
              <w:jc w:val="center"/>
              <w:rPr>
                <w:color w:val="000000"/>
                <w:sz w:val="21"/>
              </w:rPr>
            </w:pPr>
            <w:r>
              <w:rPr>
                <w:color w:val="000000"/>
                <w:sz w:val="21"/>
              </w:rPr>
              <w:t>风机、泵、冷却塔压缩机</w:t>
            </w:r>
          </w:p>
        </w:tc>
        <w:tc>
          <w:tcPr>
            <w:tcW w:w="700" w:type="pct"/>
            <w:tcBorders>
              <w:tl2br w:val="nil"/>
              <w:tr2bl w:val="nil"/>
            </w:tcBorders>
            <w:vAlign w:val="center"/>
          </w:tcPr>
          <w:p w14:paraId="2A6B17F5">
            <w:pPr>
              <w:pStyle w:val="2192"/>
              <w:adjustRightInd w:val="0"/>
              <w:snapToGrid w:val="0"/>
              <w:spacing w:line="280" w:lineRule="exact"/>
              <w:rPr>
                <w:color w:val="000000"/>
                <w:szCs w:val="21"/>
              </w:rPr>
            </w:pPr>
            <w:r>
              <w:rPr>
                <w:color w:val="000000"/>
                <w:szCs w:val="21"/>
              </w:rPr>
              <w:t>循环水站</w:t>
            </w:r>
          </w:p>
        </w:tc>
        <w:tc>
          <w:tcPr>
            <w:tcW w:w="697" w:type="pct"/>
            <w:tcBorders>
              <w:tl2br w:val="nil"/>
              <w:tr2bl w:val="nil"/>
            </w:tcBorders>
            <w:vAlign w:val="center"/>
          </w:tcPr>
          <w:p w14:paraId="6A2A07E4">
            <w:pPr>
              <w:spacing w:line="280" w:lineRule="exact"/>
              <w:jc w:val="center"/>
              <w:rPr>
                <w:color w:val="000000"/>
                <w:sz w:val="21"/>
              </w:rPr>
            </w:pPr>
            <w:r>
              <w:rPr>
                <w:color w:val="000000"/>
                <w:sz w:val="21"/>
              </w:rPr>
              <w:t>90</w:t>
            </w:r>
          </w:p>
        </w:tc>
        <w:tc>
          <w:tcPr>
            <w:tcW w:w="941" w:type="pct"/>
            <w:tcBorders>
              <w:tl2br w:val="nil"/>
              <w:tr2bl w:val="nil"/>
            </w:tcBorders>
            <w:vAlign w:val="center"/>
          </w:tcPr>
          <w:p w14:paraId="4BED7C97">
            <w:pPr>
              <w:pStyle w:val="2192"/>
              <w:adjustRightInd w:val="0"/>
              <w:snapToGrid w:val="0"/>
              <w:spacing w:line="280" w:lineRule="exact"/>
              <w:rPr>
                <w:color w:val="000000"/>
                <w:szCs w:val="21"/>
              </w:rPr>
            </w:pPr>
            <w:r>
              <w:rPr>
                <w:color w:val="000000"/>
                <w:szCs w:val="21"/>
              </w:rPr>
              <w:t>距西北场界约95m</w:t>
            </w:r>
          </w:p>
        </w:tc>
        <w:tc>
          <w:tcPr>
            <w:tcW w:w="759" w:type="pct"/>
            <w:vMerge w:val="restart"/>
            <w:tcBorders>
              <w:tl2br w:val="nil"/>
              <w:tr2bl w:val="nil"/>
            </w:tcBorders>
            <w:vAlign w:val="center"/>
          </w:tcPr>
          <w:p w14:paraId="4511A81E">
            <w:pPr>
              <w:pStyle w:val="2192"/>
              <w:adjustRightInd w:val="0"/>
              <w:snapToGrid w:val="0"/>
              <w:spacing w:line="280" w:lineRule="exact"/>
              <w:rPr>
                <w:color w:val="000000"/>
                <w:szCs w:val="21"/>
              </w:rPr>
            </w:pPr>
            <w:r>
              <w:rPr>
                <w:color w:val="000000"/>
                <w:szCs w:val="21"/>
              </w:rPr>
              <w:t>消声，减振，噪声源设置在厂房内、利用平面布置使高噪声</w:t>
            </w:r>
          </w:p>
        </w:tc>
        <w:tc>
          <w:tcPr>
            <w:tcW w:w="1125" w:type="pct"/>
            <w:tcBorders>
              <w:tl2br w:val="nil"/>
              <w:tr2bl w:val="nil"/>
            </w:tcBorders>
            <w:vAlign w:val="center"/>
          </w:tcPr>
          <w:p w14:paraId="3F97684F">
            <w:pPr>
              <w:pStyle w:val="2192"/>
              <w:adjustRightInd w:val="0"/>
              <w:snapToGrid w:val="0"/>
              <w:spacing w:line="280" w:lineRule="exact"/>
              <w:rPr>
                <w:color w:val="000000"/>
                <w:szCs w:val="21"/>
              </w:rPr>
            </w:pPr>
            <w:r>
              <w:rPr>
                <w:color w:val="000000"/>
                <w:szCs w:val="21"/>
              </w:rPr>
              <w:t>85</w:t>
            </w:r>
          </w:p>
        </w:tc>
      </w:tr>
      <w:tr w14:paraId="410B7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5" w:hRule="atLeast"/>
          <w:jc w:val="center"/>
        </w:trPr>
        <w:tc>
          <w:tcPr>
            <w:tcW w:w="776" w:type="pct"/>
            <w:tcBorders>
              <w:tl2br w:val="nil"/>
              <w:tr2bl w:val="nil"/>
            </w:tcBorders>
            <w:vAlign w:val="center"/>
          </w:tcPr>
          <w:p w14:paraId="3659BAAF">
            <w:pPr>
              <w:spacing w:line="280" w:lineRule="exact"/>
              <w:jc w:val="center"/>
              <w:rPr>
                <w:color w:val="000000"/>
                <w:sz w:val="21"/>
              </w:rPr>
            </w:pPr>
            <w:r>
              <w:rPr>
                <w:color w:val="000000"/>
                <w:sz w:val="21"/>
              </w:rPr>
              <w:t>机泵</w:t>
            </w:r>
          </w:p>
        </w:tc>
        <w:tc>
          <w:tcPr>
            <w:tcW w:w="700" w:type="pct"/>
            <w:tcBorders>
              <w:tl2br w:val="nil"/>
              <w:tr2bl w:val="nil"/>
            </w:tcBorders>
            <w:vAlign w:val="center"/>
          </w:tcPr>
          <w:p w14:paraId="129E1ABD">
            <w:pPr>
              <w:pStyle w:val="2192"/>
              <w:adjustRightInd w:val="0"/>
              <w:snapToGrid w:val="0"/>
              <w:spacing w:line="280" w:lineRule="exact"/>
              <w:rPr>
                <w:color w:val="000000"/>
                <w:szCs w:val="21"/>
              </w:rPr>
            </w:pPr>
            <w:r>
              <w:rPr>
                <w:color w:val="000000"/>
                <w:szCs w:val="21"/>
              </w:rPr>
              <w:t>工艺装置区</w:t>
            </w:r>
          </w:p>
        </w:tc>
        <w:tc>
          <w:tcPr>
            <w:tcW w:w="697" w:type="pct"/>
            <w:tcBorders>
              <w:tl2br w:val="nil"/>
              <w:tr2bl w:val="nil"/>
            </w:tcBorders>
            <w:vAlign w:val="center"/>
          </w:tcPr>
          <w:p w14:paraId="7DC20CFD">
            <w:pPr>
              <w:spacing w:line="280" w:lineRule="exact"/>
              <w:jc w:val="center"/>
              <w:rPr>
                <w:color w:val="000000"/>
                <w:sz w:val="21"/>
              </w:rPr>
            </w:pPr>
            <w:r>
              <w:rPr>
                <w:color w:val="000000"/>
                <w:sz w:val="21"/>
              </w:rPr>
              <w:t>85-90</w:t>
            </w:r>
          </w:p>
        </w:tc>
        <w:tc>
          <w:tcPr>
            <w:tcW w:w="941" w:type="pct"/>
            <w:tcBorders>
              <w:tl2br w:val="nil"/>
              <w:tr2bl w:val="nil"/>
            </w:tcBorders>
            <w:vAlign w:val="center"/>
          </w:tcPr>
          <w:p w14:paraId="42ECC3B6">
            <w:pPr>
              <w:pStyle w:val="2192"/>
              <w:adjustRightInd w:val="0"/>
              <w:snapToGrid w:val="0"/>
              <w:spacing w:line="280" w:lineRule="exact"/>
              <w:rPr>
                <w:color w:val="000000"/>
                <w:szCs w:val="21"/>
              </w:rPr>
            </w:pPr>
            <w:r>
              <w:rPr>
                <w:color w:val="000000"/>
                <w:szCs w:val="21"/>
              </w:rPr>
              <w:t>距西北场界约50m</w:t>
            </w:r>
          </w:p>
        </w:tc>
        <w:tc>
          <w:tcPr>
            <w:tcW w:w="759" w:type="pct"/>
            <w:vMerge w:val="continue"/>
            <w:tcBorders>
              <w:tl2br w:val="nil"/>
              <w:tr2bl w:val="nil"/>
            </w:tcBorders>
            <w:vAlign w:val="center"/>
          </w:tcPr>
          <w:p w14:paraId="4EF9C110">
            <w:pPr>
              <w:pStyle w:val="2192"/>
              <w:adjustRightInd w:val="0"/>
              <w:snapToGrid w:val="0"/>
              <w:spacing w:line="280" w:lineRule="exact"/>
              <w:rPr>
                <w:color w:val="000000"/>
                <w:szCs w:val="21"/>
              </w:rPr>
            </w:pPr>
          </w:p>
        </w:tc>
        <w:tc>
          <w:tcPr>
            <w:tcW w:w="1125" w:type="pct"/>
            <w:tcBorders>
              <w:tl2br w:val="nil"/>
              <w:tr2bl w:val="nil"/>
            </w:tcBorders>
            <w:vAlign w:val="center"/>
          </w:tcPr>
          <w:p w14:paraId="43847A18">
            <w:pPr>
              <w:pStyle w:val="2192"/>
              <w:adjustRightInd w:val="0"/>
              <w:snapToGrid w:val="0"/>
              <w:spacing w:line="280" w:lineRule="exact"/>
              <w:rPr>
                <w:color w:val="000000"/>
                <w:szCs w:val="21"/>
              </w:rPr>
            </w:pPr>
            <w:r>
              <w:rPr>
                <w:color w:val="000000"/>
                <w:szCs w:val="21"/>
              </w:rPr>
              <w:t>85</w:t>
            </w:r>
          </w:p>
        </w:tc>
      </w:tr>
      <w:tr w14:paraId="672383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5" w:hRule="atLeast"/>
          <w:jc w:val="center"/>
        </w:trPr>
        <w:tc>
          <w:tcPr>
            <w:tcW w:w="776" w:type="pct"/>
            <w:tcBorders>
              <w:tl2br w:val="nil"/>
              <w:tr2bl w:val="nil"/>
            </w:tcBorders>
            <w:vAlign w:val="center"/>
          </w:tcPr>
          <w:p w14:paraId="59B235A9">
            <w:pPr>
              <w:spacing w:line="280" w:lineRule="exact"/>
              <w:jc w:val="center"/>
              <w:rPr>
                <w:color w:val="000000"/>
                <w:sz w:val="21"/>
              </w:rPr>
            </w:pPr>
            <w:r>
              <w:rPr>
                <w:color w:val="000000"/>
                <w:sz w:val="21"/>
              </w:rPr>
              <w:t>空压站</w:t>
            </w:r>
          </w:p>
        </w:tc>
        <w:tc>
          <w:tcPr>
            <w:tcW w:w="700" w:type="pct"/>
            <w:tcBorders>
              <w:tl2br w:val="nil"/>
              <w:tr2bl w:val="nil"/>
            </w:tcBorders>
            <w:vAlign w:val="center"/>
          </w:tcPr>
          <w:p w14:paraId="60CCA677">
            <w:pPr>
              <w:pStyle w:val="2192"/>
              <w:adjustRightInd w:val="0"/>
              <w:snapToGrid w:val="0"/>
              <w:spacing w:line="280" w:lineRule="exact"/>
              <w:rPr>
                <w:color w:val="000000"/>
                <w:szCs w:val="21"/>
              </w:rPr>
            </w:pPr>
            <w:r>
              <w:rPr>
                <w:color w:val="000000"/>
                <w:szCs w:val="21"/>
              </w:rPr>
              <w:t>空压房</w:t>
            </w:r>
          </w:p>
        </w:tc>
        <w:tc>
          <w:tcPr>
            <w:tcW w:w="697" w:type="pct"/>
            <w:tcBorders>
              <w:tl2br w:val="nil"/>
              <w:tr2bl w:val="nil"/>
            </w:tcBorders>
            <w:vAlign w:val="center"/>
          </w:tcPr>
          <w:p w14:paraId="6EB77B69">
            <w:pPr>
              <w:spacing w:line="280" w:lineRule="exact"/>
              <w:jc w:val="center"/>
              <w:rPr>
                <w:color w:val="000000"/>
                <w:sz w:val="21"/>
              </w:rPr>
            </w:pPr>
            <w:r>
              <w:rPr>
                <w:color w:val="000000"/>
                <w:sz w:val="21"/>
              </w:rPr>
              <w:t>95~105</w:t>
            </w:r>
          </w:p>
        </w:tc>
        <w:tc>
          <w:tcPr>
            <w:tcW w:w="941" w:type="pct"/>
            <w:tcBorders>
              <w:tl2br w:val="nil"/>
              <w:tr2bl w:val="nil"/>
            </w:tcBorders>
            <w:vAlign w:val="center"/>
          </w:tcPr>
          <w:p w14:paraId="1B534EB2">
            <w:pPr>
              <w:pStyle w:val="2192"/>
              <w:adjustRightInd w:val="0"/>
              <w:snapToGrid w:val="0"/>
              <w:spacing w:line="280" w:lineRule="exact"/>
              <w:rPr>
                <w:color w:val="000000"/>
                <w:szCs w:val="21"/>
              </w:rPr>
            </w:pPr>
            <w:r>
              <w:rPr>
                <w:color w:val="000000"/>
                <w:szCs w:val="21"/>
              </w:rPr>
              <w:t>距西北场界约20m</w:t>
            </w:r>
          </w:p>
        </w:tc>
        <w:tc>
          <w:tcPr>
            <w:tcW w:w="759" w:type="pct"/>
            <w:vMerge w:val="continue"/>
            <w:tcBorders>
              <w:tl2br w:val="nil"/>
              <w:tr2bl w:val="nil"/>
            </w:tcBorders>
            <w:vAlign w:val="center"/>
          </w:tcPr>
          <w:p w14:paraId="07F56CF0">
            <w:pPr>
              <w:pStyle w:val="2192"/>
              <w:adjustRightInd w:val="0"/>
              <w:snapToGrid w:val="0"/>
              <w:spacing w:line="280" w:lineRule="exact"/>
              <w:rPr>
                <w:color w:val="000000"/>
                <w:szCs w:val="21"/>
              </w:rPr>
            </w:pPr>
          </w:p>
        </w:tc>
        <w:tc>
          <w:tcPr>
            <w:tcW w:w="1125" w:type="pct"/>
            <w:tcBorders>
              <w:tl2br w:val="nil"/>
              <w:tr2bl w:val="nil"/>
            </w:tcBorders>
            <w:vAlign w:val="center"/>
          </w:tcPr>
          <w:p w14:paraId="7D798E3F">
            <w:pPr>
              <w:pStyle w:val="2192"/>
              <w:adjustRightInd w:val="0"/>
              <w:snapToGrid w:val="0"/>
              <w:spacing w:line="280" w:lineRule="exact"/>
              <w:rPr>
                <w:color w:val="000000"/>
                <w:szCs w:val="21"/>
              </w:rPr>
            </w:pPr>
            <w:r>
              <w:rPr>
                <w:color w:val="000000"/>
                <w:szCs w:val="21"/>
              </w:rPr>
              <w:t>85</w:t>
            </w:r>
          </w:p>
        </w:tc>
      </w:tr>
      <w:tr w14:paraId="1F2326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5" w:hRule="atLeast"/>
          <w:jc w:val="center"/>
        </w:trPr>
        <w:tc>
          <w:tcPr>
            <w:tcW w:w="776" w:type="pct"/>
            <w:tcBorders>
              <w:tl2br w:val="nil"/>
              <w:tr2bl w:val="nil"/>
            </w:tcBorders>
            <w:vAlign w:val="center"/>
          </w:tcPr>
          <w:p w14:paraId="7DEB9EE9">
            <w:pPr>
              <w:spacing w:line="280" w:lineRule="exact"/>
              <w:jc w:val="center"/>
              <w:rPr>
                <w:color w:val="000000"/>
                <w:sz w:val="21"/>
              </w:rPr>
            </w:pPr>
            <w:r>
              <w:rPr>
                <w:color w:val="000000"/>
                <w:sz w:val="21"/>
              </w:rPr>
              <w:t>消防泵</w:t>
            </w:r>
          </w:p>
        </w:tc>
        <w:tc>
          <w:tcPr>
            <w:tcW w:w="700" w:type="pct"/>
            <w:tcBorders>
              <w:tl2br w:val="nil"/>
              <w:tr2bl w:val="nil"/>
            </w:tcBorders>
            <w:vAlign w:val="center"/>
          </w:tcPr>
          <w:p w14:paraId="6D897B22">
            <w:pPr>
              <w:pStyle w:val="2192"/>
              <w:adjustRightInd w:val="0"/>
              <w:snapToGrid w:val="0"/>
              <w:spacing w:line="280" w:lineRule="exact"/>
              <w:rPr>
                <w:color w:val="000000"/>
                <w:szCs w:val="21"/>
              </w:rPr>
            </w:pPr>
            <w:r>
              <w:rPr>
                <w:color w:val="000000"/>
                <w:szCs w:val="21"/>
              </w:rPr>
              <w:t>消防泵房</w:t>
            </w:r>
          </w:p>
        </w:tc>
        <w:tc>
          <w:tcPr>
            <w:tcW w:w="697" w:type="pct"/>
            <w:tcBorders>
              <w:tl2br w:val="nil"/>
              <w:tr2bl w:val="nil"/>
            </w:tcBorders>
            <w:vAlign w:val="center"/>
          </w:tcPr>
          <w:p w14:paraId="527DFBE8">
            <w:pPr>
              <w:spacing w:line="280" w:lineRule="exact"/>
              <w:jc w:val="center"/>
              <w:rPr>
                <w:color w:val="000000"/>
                <w:sz w:val="21"/>
              </w:rPr>
            </w:pPr>
            <w:r>
              <w:rPr>
                <w:color w:val="000000"/>
                <w:sz w:val="21"/>
              </w:rPr>
              <w:t>75-85</w:t>
            </w:r>
          </w:p>
        </w:tc>
        <w:tc>
          <w:tcPr>
            <w:tcW w:w="941" w:type="pct"/>
            <w:tcBorders>
              <w:tl2br w:val="nil"/>
              <w:tr2bl w:val="nil"/>
            </w:tcBorders>
            <w:vAlign w:val="center"/>
          </w:tcPr>
          <w:p w14:paraId="3EBC453A">
            <w:pPr>
              <w:pStyle w:val="2192"/>
              <w:adjustRightInd w:val="0"/>
              <w:snapToGrid w:val="0"/>
              <w:spacing w:line="280" w:lineRule="exact"/>
              <w:rPr>
                <w:color w:val="000000"/>
                <w:szCs w:val="21"/>
              </w:rPr>
            </w:pPr>
            <w:r>
              <w:rPr>
                <w:color w:val="000000"/>
                <w:szCs w:val="21"/>
              </w:rPr>
              <w:t>距西北场界约114m</w:t>
            </w:r>
          </w:p>
        </w:tc>
        <w:tc>
          <w:tcPr>
            <w:tcW w:w="759" w:type="pct"/>
            <w:vMerge w:val="continue"/>
            <w:tcBorders>
              <w:tl2br w:val="nil"/>
              <w:tr2bl w:val="nil"/>
            </w:tcBorders>
            <w:vAlign w:val="center"/>
          </w:tcPr>
          <w:p w14:paraId="2F4201ED">
            <w:pPr>
              <w:pStyle w:val="2192"/>
              <w:adjustRightInd w:val="0"/>
              <w:snapToGrid w:val="0"/>
              <w:spacing w:line="280" w:lineRule="exact"/>
              <w:rPr>
                <w:color w:val="000000"/>
                <w:szCs w:val="21"/>
              </w:rPr>
            </w:pPr>
          </w:p>
        </w:tc>
        <w:tc>
          <w:tcPr>
            <w:tcW w:w="1125" w:type="pct"/>
            <w:tcBorders>
              <w:tl2br w:val="nil"/>
              <w:tr2bl w:val="nil"/>
            </w:tcBorders>
            <w:vAlign w:val="center"/>
          </w:tcPr>
          <w:p w14:paraId="0879FACE">
            <w:pPr>
              <w:pStyle w:val="2192"/>
              <w:adjustRightInd w:val="0"/>
              <w:snapToGrid w:val="0"/>
              <w:spacing w:line="280" w:lineRule="exact"/>
              <w:rPr>
                <w:color w:val="000000"/>
                <w:szCs w:val="21"/>
              </w:rPr>
            </w:pPr>
            <w:r>
              <w:rPr>
                <w:color w:val="000000"/>
                <w:szCs w:val="21"/>
              </w:rPr>
              <w:t>75</w:t>
            </w:r>
          </w:p>
        </w:tc>
      </w:tr>
      <w:tr w14:paraId="0A07F1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5" w:hRule="atLeast"/>
          <w:jc w:val="center"/>
        </w:trPr>
        <w:tc>
          <w:tcPr>
            <w:tcW w:w="776" w:type="pct"/>
            <w:tcBorders>
              <w:tl2br w:val="nil"/>
              <w:tr2bl w:val="nil"/>
            </w:tcBorders>
            <w:vAlign w:val="center"/>
          </w:tcPr>
          <w:p w14:paraId="593281AE">
            <w:pPr>
              <w:spacing w:line="280" w:lineRule="exact"/>
              <w:jc w:val="center"/>
              <w:rPr>
                <w:color w:val="000000"/>
                <w:sz w:val="21"/>
              </w:rPr>
            </w:pPr>
            <w:r>
              <w:rPr>
                <w:color w:val="000000"/>
                <w:sz w:val="21"/>
              </w:rPr>
              <w:t>放空火炬</w:t>
            </w:r>
          </w:p>
        </w:tc>
        <w:tc>
          <w:tcPr>
            <w:tcW w:w="700" w:type="pct"/>
            <w:tcBorders>
              <w:tl2br w:val="nil"/>
              <w:tr2bl w:val="nil"/>
            </w:tcBorders>
            <w:vAlign w:val="center"/>
          </w:tcPr>
          <w:p w14:paraId="76F7908F">
            <w:pPr>
              <w:pStyle w:val="2192"/>
              <w:adjustRightInd w:val="0"/>
              <w:snapToGrid w:val="0"/>
              <w:spacing w:line="280" w:lineRule="exact"/>
              <w:rPr>
                <w:color w:val="000000"/>
                <w:szCs w:val="21"/>
              </w:rPr>
            </w:pPr>
            <w:r>
              <w:rPr>
                <w:color w:val="000000"/>
                <w:szCs w:val="21"/>
              </w:rPr>
              <w:t>火炬</w:t>
            </w:r>
          </w:p>
        </w:tc>
        <w:tc>
          <w:tcPr>
            <w:tcW w:w="697" w:type="pct"/>
            <w:tcBorders>
              <w:tl2br w:val="nil"/>
              <w:tr2bl w:val="nil"/>
            </w:tcBorders>
            <w:vAlign w:val="center"/>
          </w:tcPr>
          <w:p w14:paraId="0F766CEE">
            <w:pPr>
              <w:spacing w:line="280" w:lineRule="exact"/>
              <w:jc w:val="center"/>
              <w:rPr>
                <w:color w:val="000000"/>
                <w:sz w:val="21"/>
              </w:rPr>
            </w:pPr>
            <w:r>
              <w:rPr>
                <w:color w:val="000000"/>
                <w:sz w:val="21"/>
              </w:rPr>
              <w:t>95</w:t>
            </w:r>
          </w:p>
        </w:tc>
        <w:tc>
          <w:tcPr>
            <w:tcW w:w="941" w:type="pct"/>
            <w:tcBorders>
              <w:tl2br w:val="nil"/>
              <w:tr2bl w:val="nil"/>
            </w:tcBorders>
            <w:vAlign w:val="center"/>
          </w:tcPr>
          <w:p w14:paraId="7535274E">
            <w:pPr>
              <w:pStyle w:val="2192"/>
              <w:adjustRightInd w:val="0"/>
              <w:snapToGrid w:val="0"/>
              <w:spacing w:line="280" w:lineRule="exact"/>
              <w:rPr>
                <w:color w:val="000000"/>
                <w:szCs w:val="21"/>
              </w:rPr>
            </w:pPr>
            <w:r>
              <w:rPr>
                <w:color w:val="000000"/>
                <w:szCs w:val="21"/>
              </w:rPr>
              <w:t>-</w:t>
            </w:r>
          </w:p>
        </w:tc>
        <w:tc>
          <w:tcPr>
            <w:tcW w:w="759" w:type="pct"/>
            <w:vMerge w:val="continue"/>
            <w:tcBorders>
              <w:tl2br w:val="nil"/>
              <w:tr2bl w:val="nil"/>
            </w:tcBorders>
            <w:vAlign w:val="center"/>
          </w:tcPr>
          <w:p w14:paraId="1B4E4AFE">
            <w:pPr>
              <w:pStyle w:val="2192"/>
              <w:adjustRightInd w:val="0"/>
              <w:snapToGrid w:val="0"/>
              <w:spacing w:line="280" w:lineRule="exact"/>
              <w:rPr>
                <w:color w:val="000000"/>
                <w:szCs w:val="21"/>
              </w:rPr>
            </w:pPr>
          </w:p>
        </w:tc>
        <w:tc>
          <w:tcPr>
            <w:tcW w:w="1125" w:type="pct"/>
            <w:tcBorders>
              <w:tl2br w:val="nil"/>
              <w:tr2bl w:val="nil"/>
            </w:tcBorders>
            <w:vAlign w:val="center"/>
          </w:tcPr>
          <w:p w14:paraId="24826449">
            <w:pPr>
              <w:pStyle w:val="2192"/>
              <w:adjustRightInd w:val="0"/>
              <w:snapToGrid w:val="0"/>
              <w:spacing w:line="280" w:lineRule="exact"/>
              <w:rPr>
                <w:color w:val="000000"/>
                <w:szCs w:val="21"/>
              </w:rPr>
            </w:pPr>
            <w:r>
              <w:rPr>
                <w:color w:val="000000"/>
                <w:szCs w:val="21"/>
              </w:rPr>
              <w:t>95</w:t>
            </w:r>
          </w:p>
        </w:tc>
      </w:tr>
      <w:tr w14:paraId="6E9546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60" w:hRule="atLeast"/>
          <w:jc w:val="center"/>
        </w:trPr>
        <w:tc>
          <w:tcPr>
            <w:tcW w:w="776" w:type="pct"/>
            <w:tcBorders>
              <w:tl2br w:val="nil"/>
              <w:tr2bl w:val="nil"/>
            </w:tcBorders>
            <w:vAlign w:val="center"/>
          </w:tcPr>
          <w:p w14:paraId="0D9A35CD">
            <w:pPr>
              <w:spacing w:line="280" w:lineRule="exact"/>
              <w:jc w:val="center"/>
              <w:rPr>
                <w:color w:val="000000"/>
                <w:sz w:val="21"/>
              </w:rPr>
            </w:pPr>
            <w:r>
              <w:rPr>
                <w:color w:val="000000"/>
                <w:sz w:val="21"/>
              </w:rPr>
              <w:t>超压放空</w:t>
            </w:r>
          </w:p>
        </w:tc>
        <w:tc>
          <w:tcPr>
            <w:tcW w:w="700" w:type="pct"/>
            <w:tcBorders>
              <w:tl2br w:val="nil"/>
              <w:tr2bl w:val="nil"/>
            </w:tcBorders>
            <w:vAlign w:val="center"/>
          </w:tcPr>
          <w:p w14:paraId="29618F27">
            <w:pPr>
              <w:pStyle w:val="2192"/>
              <w:adjustRightInd w:val="0"/>
              <w:snapToGrid w:val="0"/>
              <w:spacing w:line="280" w:lineRule="exact"/>
              <w:rPr>
                <w:color w:val="000000"/>
                <w:szCs w:val="21"/>
              </w:rPr>
            </w:pPr>
            <w:r>
              <w:rPr>
                <w:color w:val="000000"/>
                <w:szCs w:val="21"/>
              </w:rPr>
              <w:t>偶发声源</w:t>
            </w:r>
          </w:p>
        </w:tc>
        <w:tc>
          <w:tcPr>
            <w:tcW w:w="697" w:type="pct"/>
            <w:tcBorders>
              <w:tl2br w:val="nil"/>
              <w:tr2bl w:val="nil"/>
            </w:tcBorders>
            <w:vAlign w:val="center"/>
          </w:tcPr>
          <w:p w14:paraId="40A5B598">
            <w:pPr>
              <w:spacing w:line="280" w:lineRule="exact"/>
              <w:jc w:val="center"/>
              <w:rPr>
                <w:color w:val="000000"/>
                <w:sz w:val="21"/>
              </w:rPr>
            </w:pPr>
            <w:r>
              <w:rPr>
                <w:color w:val="000000"/>
                <w:sz w:val="21"/>
              </w:rPr>
              <w:t>100</w:t>
            </w:r>
          </w:p>
        </w:tc>
        <w:tc>
          <w:tcPr>
            <w:tcW w:w="941" w:type="pct"/>
            <w:tcBorders>
              <w:tl2br w:val="nil"/>
              <w:tr2bl w:val="nil"/>
            </w:tcBorders>
            <w:vAlign w:val="center"/>
          </w:tcPr>
          <w:p w14:paraId="30D2314D">
            <w:pPr>
              <w:pStyle w:val="2192"/>
              <w:adjustRightInd w:val="0"/>
              <w:snapToGrid w:val="0"/>
              <w:spacing w:line="280" w:lineRule="exact"/>
              <w:rPr>
                <w:color w:val="000000"/>
                <w:szCs w:val="21"/>
              </w:rPr>
            </w:pPr>
            <w:r>
              <w:rPr>
                <w:color w:val="000000"/>
                <w:szCs w:val="21"/>
              </w:rPr>
              <w:t>-</w:t>
            </w:r>
          </w:p>
        </w:tc>
        <w:tc>
          <w:tcPr>
            <w:tcW w:w="759" w:type="pct"/>
            <w:vMerge w:val="continue"/>
            <w:tcBorders>
              <w:tl2br w:val="nil"/>
              <w:tr2bl w:val="nil"/>
            </w:tcBorders>
            <w:vAlign w:val="center"/>
          </w:tcPr>
          <w:p w14:paraId="1EEF1567">
            <w:pPr>
              <w:pStyle w:val="2192"/>
              <w:adjustRightInd w:val="0"/>
              <w:snapToGrid w:val="0"/>
              <w:spacing w:line="280" w:lineRule="exact"/>
              <w:rPr>
                <w:color w:val="000000"/>
                <w:szCs w:val="21"/>
              </w:rPr>
            </w:pPr>
          </w:p>
        </w:tc>
        <w:tc>
          <w:tcPr>
            <w:tcW w:w="1125" w:type="pct"/>
            <w:tcBorders>
              <w:tl2br w:val="nil"/>
              <w:tr2bl w:val="nil"/>
            </w:tcBorders>
            <w:vAlign w:val="center"/>
          </w:tcPr>
          <w:p w14:paraId="20252AFB">
            <w:pPr>
              <w:pStyle w:val="2192"/>
              <w:adjustRightInd w:val="0"/>
              <w:snapToGrid w:val="0"/>
              <w:spacing w:line="280" w:lineRule="exact"/>
              <w:rPr>
                <w:color w:val="000000"/>
                <w:szCs w:val="21"/>
              </w:rPr>
            </w:pPr>
            <w:r>
              <w:rPr>
                <w:color w:val="000000"/>
                <w:szCs w:val="21"/>
              </w:rPr>
              <w:t>100</w:t>
            </w:r>
          </w:p>
        </w:tc>
      </w:tr>
    </w:tbl>
    <w:p w14:paraId="1CA77CE1">
      <w:pPr>
        <w:ind w:firstLine="480"/>
        <w:rPr>
          <w:color w:val="000000"/>
          <w:szCs w:val="24"/>
        </w:rPr>
      </w:pPr>
      <w:r>
        <w:rPr>
          <w:color w:val="000000"/>
          <w:szCs w:val="24"/>
        </w:rPr>
        <w:t>（4）固体废物</w:t>
      </w:r>
    </w:p>
    <w:p w14:paraId="0885F028">
      <w:pPr>
        <w:ind w:firstLine="480"/>
        <w:rPr>
          <w:color w:val="000000"/>
          <w:sz w:val="21"/>
        </w:rPr>
      </w:pPr>
      <w:r>
        <w:rPr>
          <w:color w:val="000000"/>
          <w:szCs w:val="24"/>
        </w:rPr>
        <w:t>现有工程固体废物主要来源为生活垃圾以及每年更换的废活性炭分子筛和吸附剂。本项目固体废物产生情况见表2-18。</w:t>
      </w:r>
    </w:p>
    <w:p w14:paraId="4113E1A7">
      <w:pPr>
        <w:ind w:firstLine="877" w:firstLineChars="418"/>
        <w:jc w:val="center"/>
        <w:rPr>
          <w:color w:val="000000"/>
          <w:sz w:val="21"/>
        </w:rPr>
      </w:pPr>
      <w:r>
        <w:rPr>
          <w:color w:val="000000"/>
          <w:sz w:val="21"/>
        </w:rPr>
        <w:t>表2-18  现有工程固体废物排放情况一览表  单位t/a</w:t>
      </w:r>
    </w:p>
    <w:tbl>
      <w:tblPr>
        <w:tblStyle w:val="73"/>
        <w:tblW w:w="4997"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00"/>
        <w:gridCol w:w="1736"/>
        <w:gridCol w:w="1495"/>
        <w:gridCol w:w="1598"/>
        <w:gridCol w:w="1667"/>
        <w:gridCol w:w="2058"/>
      </w:tblGrid>
      <w:tr w14:paraId="7A95BC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8" w:hRule="atLeast"/>
        </w:trPr>
        <w:tc>
          <w:tcPr>
            <w:tcW w:w="276" w:type="pct"/>
            <w:tcBorders>
              <w:tl2br w:val="nil"/>
              <w:tr2bl w:val="nil"/>
            </w:tcBorders>
            <w:vAlign w:val="center"/>
          </w:tcPr>
          <w:p w14:paraId="652636E7">
            <w:pPr>
              <w:spacing w:line="320" w:lineRule="exact"/>
              <w:jc w:val="center"/>
              <w:rPr>
                <w:color w:val="000000"/>
                <w:sz w:val="21"/>
              </w:rPr>
            </w:pPr>
            <w:r>
              <w:rPr>
                <w:color w:val="000000"/>
                <w:sz w:val="21"/>
              </w:rPr>
              <w:t>序号</w:t>
            </w:r>
          </w:p>
        </w:tc>
        <w:tc>
          <w:tcPr>
            <w:tcW w:w="958" w:type="pct"/>
            <w:tcBorders>
              <w:tl2br w:val="nil"/>
              <w:tr2bl w:val="nil"/>
            </w:tcBorders>
            <w:vAlign w:val="center"/>
          </w:tcPr>
          <w:p w14:paraId="3FDBF5E6">
            <w:pPr>
              <w:spacing w:line="320" w:lineRule="exact"/>
              <w:jc w:val="center"/>
              <w:rPr>
                <w:color w:val="000000"/>
                <w:sz w:val="21"/>
              </w:rPr>
            </w:pPr>
            <w:r>
              <w:rPr>
                <w:color w:val="000000"/>
                <w:sz w:val="21"/>
              </w:rPr>
              <w:t>污染物名称</w:t>
            </w:r>
          </w:p>
        </w:tc>
        <w:tc>
          <w:tcPr>
            <w:tcW w:w="825" w:type="pct"/>
            <w:tcBorders>
              <w:tl2br w:val="nil"/>
              <w:tr2bl w:val="nil"/>
            </w:tcBorders>
            <w:vAlign w:val="center"/>
          </w:tcPr>
          <w:p w14:paraId="4E75FD65">
            <w:pPr>
              <w:spacing w:line="320" w:lineRule="exact"/>
              <w:jc w:val="center"/>
              <w:rPr>
                <w:color w:val="000000"/>
                <w:sz w:val="21"/>
              </w:rPr>
            </w:pPr>
            <w:r>
              <w:rPr>
                <w:color w:val="000000"/>
                <w:sz w:val="21"/>
              </w:rPr>
              <w:t>产生</w:t>
            </w:r>
          </w:p>
          <w:p w14:paraId="184E6BB3">
            <w:pPr>
              <w:spacing w:line="320" w:lineRule="exact"/>
              <w:jc w:val="center"/>
              <w:rPr>
                <w:color w:val="000000"/>
                <w:sz w:val="21"/>
              </w:rPr>
            </w:pPr>
            <w:r>
              <w:rPr>
                <w:color w:val="000000"/>
                <w:sz w:val="21"/>
              </w:rPr>
              <w:t>工序</w:t>
            </w:r>
          </w:p>
        </w:tc>
        <w:tc>
          <w:tcPr>
            <w:tcW w:w="882" w:type="pct"/>
            <w:tcBorders>
              <w:tl2br w:val="nil"/>
              <w:tr2bl w:val="nil"/>
            </w:tcBorders>
            <w:vAlign w:val="center"/>
          </w:tcPr>
          <w:p w14:paraId="5D2C00D7">
            <w:pPr>
              <w:spacing w:line="320" w:lineRule="exact"/>
              <w:jc w:val="center"/>
              <w:rPr>
                <w:color w:val="000000"/>
                <w:sz w:val="21"/>
              </w:rPr>
            </w:pPr>
            <w:r>
              <w:rPr>
                <w:color w:val="000000"/>
                <w:sz w:val="21"/>
              </w:rPr>
              <w:t>产生量</w:t>
            </w:r>
          </w:p>
        </w:tc>
        <w:tc>
          <w:tcPr>
            <w:tcW w:w="920" w:type="pct"/>
            <w:tcBorders>
              <w:tl2br w:val="nil"/>
              <w:tr2bl w:val="nil"/>
            </w:tcBorders>
            <w:vAlign w:val="center"/>
          </w:tcPr>
          <w:p w14:paraId="12CFCEFA">
            <w:pPr>
              <w:spacing w:line="320" w:lineRule="exact"/>
              <w:jc w:val="center"/>
              <w:rPr>
                <w:color w:val="000000"/>
                <w:sz w:val="21"/>
              </w:rPr>
            </w:pPr>
            <w:r>
              <w:rPr>
                <w:color w:val="000000"/>
                <w:sz w:val="21"/>
              </w:rPr>
              <w:t>污染物主要</w:t>
            </w:r>
            <w:r>
              <w:rPr>
                <w:rFonts w:hint="eastAsia"/>
                <w:color w:val="000000"/>
                <w:sz w:val="21"/>
              </w:rPr>
              <w:t>化学成分</w:t>
            </w:r>
          </w:p>
        </w:tc>
        <w:tc>
          <w:tcPr>
            <w:tcW w:w="1136" w:type="pct"/>
            <w:tcBorders>
              <w:tl2br w:val="nil"/>
              <w:tr2bl w:val="nil"/>
            </w:tcBorders>
            <w:vAlign w:val="center"/>
          </w:tcPr>
          <w:p w14:paraId="585B48A4">
            <w:pPr>
              <w:spacing w:line="320" w:lineRule="exact"/>
              <w:jc w:val="center"/>
              <w:rPr>
                <w:color w:val="000000"/>
                <w:sz w:val="21"/>
              </w:rPr>
            </w:pPr>
            <w:r>
              <w:rPr>
                <w:color w:val="000000"/>
                <w:sz w:val="21"/>
              </w:rPr>
              <w:t>处置措施</w:t>
            </w:r>
          </w:p>
        </w:tc>
      </w:tr>
      <w:tr w14:paraId="5A42A7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8" w:hRule="atLeast"/>
        </w:trPr>
        <w:tc>
          <w:tcPr>
            <w:tcW w:w="276" w:type="pct"/>
            <w:tcBorders>
              <w:tl2br w:val="nil"/>
              <w:tr2bl w:val="nil"/>
            </w:tcBorders>
            <w:vAlign w:val="center"/>
          </w:tcPr>
          <w:p w14:paraId="0304F435">
            <w:pPr>
              <w:spacing w:line="320" w:lineRule="exact"/>
              <w:jc w:val="center"/>
              <w:rPr>
                <w:color w:val="000000"/>
                <w:sz w:val="21"/>
              </w:rPr>
            </w:pPr>
            <w:r>
              <w:rPr>
                <w:color w:val="000000"/>
                <w:sz w:val="21"/>
              </w:rPr>
              <w:t>1</w:t>
            </w:r>
          </w:p>
        </w:tc>
        <w:tc>
          <w:tcPr>
            <w:tcW w:w="958" w:type="pct"/>
            <w:tcBorders>
              <w:tl2br w:val="nil"/>
              <w:tr2bl w:val="nil"/>
            </w:tcBorders>
            <w:vAlign w:val="center"/>
          </w:tcPr>
          <w:p w14:paraId="335E3E7C">
            <w:pPr>
              <w:spacing w:line="280" w:lineRule="exact"/>
              <w:jc w:val="center"/>
              <w:textAlignment w:val="baseline"/>
              <w:rPr>
                <w:color w:val="000000"/>
                <w:sz w:val="21"/>
              </w:rPr>
            </w:pPr>
            <w:r>
              <w:rPr>
                <w:color w:val="000000"/>
                <w:sz w:val="21"/>
              </w:rPr>
              <w:t>贫胺过滤器失效的废吸附剂（S1）</w:t>
            </w:r>
          </w:p>
        </w:tc>
        <w:tc>
          <w:tcPr>
            <w:tcW w:w="825" w:type="pct"/>
            <w:tcBorders>
              <w:tl2br w:val="nil"/>
              <w:tr2bl w:val="nil"/>
            </w:tcBorders>
            <w:vAlign w:val="center"/>
          </w:tcPr>
          <w:p w14:paraId="04779400">
            <w:pPr>
              <w:spacing w:line="320" w:lineRule="exact"/>
              <w:jc w:val="center"/>
              <w:rPr>
                <w:color w:val="000000"/>
                <w:sz w:val="21"/>
              </w:rPr>
            </w:pPr>
            <w:r>
              <w:rPr>
                <w:color w:val="000000"/>
                <w:sz w:val="21"/>
              </w:rPr>
              <w:t>胺再生</w:t>
            </w:r>
          </w:p>
          <w:p w14:paraId="15AABE43">
            <w:pPr>
              <w:spacing w:line="320" w:lineRule="exact"/>
              <w:jc w:val="center"/>
              <w:rPr>
                <w:color w:val="000000"/>
                <w:sz w:val="21"/>
              </w:rPr>
            </w:pPr>
            <w:r>
              <w:rPr>
                <w:color w:val="000000"/>
                <w:sz w:val="21"/>
              </w:rPr>
              <w:t>过滤器</w:t>
            </w:r>
          </w:p>
        </w:tc>
        <w:tc>
          <w:tcPr>
            <w:tcW w:w="882" w:type="pct"/>
            <w:tcBorders>
              <w:tl2br w:val="nil"/>
              <w:tr2bl w:val="nil"/>
            </w:tcBorders>
            <w:vAlign w:val="center"/>
          </w:tcPr>
          <w:p w14:paraId="5FD82696">
            <w:pPr>
              <w:spacing w:line="320" w:lineRule="exact"/>
              <w:jc w:val="center"/>
              <w:rPr>
                <w:color w:val="000000"/>
                <w:sz w:val="21"/>
              </w:rPr>
            </w:pPr>
            <w:r>
              <w:rPr>
                <w:color w:val="000000"/>
                <w:sz w:val="21"/>
              </w:rPr>
              <w:t>2.1t/次（4年1次）</w:t>
            </w:r>
          </w:p>
        </w:tc>
        <w:tc>
          <w:tcPr>
            <w:tcW w:w="920" w:type="pct"/>
            <w:tcBorders>
              <w:tl2br w:val="nil"/>
              <w:tr2bl w:val="nil"/>
            </w:tcBorders>
            <w:vAlign w:val="center"/>
          </w:tcPr>
          <w:p w14:paraId="6BE4D9EC">
            <w:pPr>
              <w:spacing w:line="320" w:lineRule="exact"/>
              <w:jc w:val="center"/>
              <w:rPr>
                <w:color w:val="000000"/>
                <w:sz w:val="21"/>
              </w:rPr>
            </w:pPr>
            <w:r>
              <w:rPr>
                <w:color w:val="000000"/>
                <w:sz w:val="21"/>
              </w:rPr>
              <w:t>吸附剂</w:t>
            </w:r>
          </w:p>
        </w:tc>
        <w:tc>
          <w:tcPr>
            <w:tcW w:w="1136" w:type="pct"/>
            <w:vMerge w:val="restart"/>
            <w:tcBorders>
              <w:tl2br w:val="nil"/>
              <w:tr2bl w:val="nil"/>
            </w:tcBorders>
            <w:vAlign w:val="center"/>
          </w:tcPr>
          <w:p w14:paraId="08409470">
            <w:pPr>
              <w:spacing w:line="320" w:lineRule="exact"/>
              <w:jc w:val="center"/>
              <w:rPr>
                <w:color w:val="000000"/>
                <w:sz w:val="21"/>
              </w:rPr>
            </w:pPr>
            <w:r>
              <w:rPr>
                <w:color w:val="000000"/>
                <w:sz w:val="21"/>
              </w:rPr>
              <w:t>属危废，送危废资质单位进行处置</w:t>
            </w:r>
          </w:p>
        </w:tc>
      </w:tr>
      <w:tr w14:paraId="655106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8" w:hRule="atLeast"/>
        </w:trPr>
        <w:tc>
          <w:tcPr>
            <w:tcW w:w="276" w:type="pct"/>
            <w:tcBorders>
              <w:tl2br w:val="nil"/>
              <w:tr2bl w:val="nil"/>
            </w:tcBorders>
            <w:vAlign w:val="center"/>
          </w:tcPr>
          <w:p w14:paraId="55AAF5EE">
            <w:pPr>
              <w:spacing w:line="320" w:lineRule="exact"/>
              <w:jc w:val="center"/>
              <w:rPr>
                <w:color w:val="000000"/>
                <w:sz w:val="21"/>
              </w:rPr>
            </w:pPr>
            <w:r>
              <w:rPr>
                <w:color w:val="000000"/>
                <w:sz w:val="21"/>
              </w:rPr>
              <w:t>2</w:t>
            </w:r>
          </w:p>
        </w:tc>
        <w:tc>
          <w:tcPr>
            <w:tcW w:w="958" w:type="pct"/>
            <w:tcBorders>
              <w:tl2br w:val="nil"/>
              <w:tr2bl w:val="nil"/>
            </w:tcBorders>
            <w:vAlign w:val="center"/>
          </w:tcPr>
          <w:p w14:paraId="1C1F58D0">
            <w:pPr>
              <w:spacing w:line="280" w:lineRule="exact"/>
              <w:jc w:val="center"/>
              <w:textAlignment w:val="baseline"/>
              <w:rPr>
                <w:color w:val="000000"/>
                <w:sz w:val="21"/>
              </w:rPr>
            </w:pPr>
            <w:r>
              <w:rPr>
                <w:color w:val="000000"/>
                <w:sz w:val="21"/>
              </w:rPr>
              <w:t>脱汞塔废吸附剂（S2）</w:t>
            </w:r>
          </w:p>
        </w:tc>
        <w:tc>
          <w:tcPr>
            <w:tcW w:w="825" w:type="pct"/>
            <w:tcBorders>
              <w:tl2br w:val="nil"/>
              <w:tr2bl w:val="nil"/>
            </w:tcBorders>
            <w:vAlign w:val="center"/>
          </w:tcPr>
          <w:p w14:paraId="7E38567B">
            <w:pPr>
              <w:spacing w:line="320" w:lineRule="exact"/>
              <w:jc w:val="center"/>
              <w:rPr>
                <w:color w:val="000000"/>
                <w:sz w:val="21"/>
              </w:rPr>
            </w:pPr>
            <w:r>
              <w:rPr>
                <w:color w:val="000000"/>
                <w:sz w:val="21"/>
              </w:rPr>
              <w:t>脱汞器</w:t>
            </w:r>
          </w:p>
        </w:tc>
        <w:tc>
          <w:tcPr>
            <w:tcW w:w="882" w:type="pct"/>
            <w:tcBorders>
              <w:tl2br w:val="nil"/>
              <w:tr2bl w:val="nil"/>
            </w:tcBorders>
            <w:vAlign w:val="center"/>
          </w:tcPr>
          <w:p w14:paraId="01B907C8">
            <w:pPr>
              <w:spacing w:line="320" w:lineRule="exact"/>
              <w:jc w:val="center"/>
              <w:rPr>
                <w:color w:val="000000"/>
                <w:sz w:val="21"/>
              </w:rPr>
            </w:pPr>
            <w:r>
              <w:rPr>
                <w:color w:val="000000"/>
                <w:sz w:val="21"/>
              </w:rPr>
              <w:t>3.5t/次</w:t>
            </w:r>
          </w:p>
          <w:p w14:paraId="5EFB2AAE">
            <w:pPr>
              <w:spacing w:line="320" w:lineRule="exact"/>
              <w:jc w:val="center"/>
              <w:rPr>
                <w:color w:val="000000"/>
                <w:sz w:val="21"/>
              </w:rPr>
            </w:pPr>
            <w:r>
              <w:rPr>
                <w:color w:val="000000"/>
                <w:sz w:val="21"/>
              </w:rPr>
              <w:t>（4年1次）</w:t>
            </w:r>
          </w:p>
        </w:tc>
        <w:tc>
          <w:tcPr>
            <w:tcW w:w="920" w:type="pct"/>
            <w:tcBorders>
              <w:tl2br w:val="nil"/>
              <w:tr2bl w:val="nil"/>
            </w:tcBorders>
            <w:vAlign w:val="center"/>
          </w:tcPr>
          <w:p w14:paraId="0B7B48FD">
            <w:pPr>
              <w:spacing w:line="320" w:lineRule="exact"/>
              <w:jc w:val="center"/>
              <w:rPr>
                <w:color w:val="000000"/>
                <w:sz w:val="21"/>
              </w:rPr>
            </w:pPr>
            <w:r>
              <w:rPr>
                <w:color w:val="000000"/>
                <w:sz w:val="21"/>
              </w:rPr>
              <w:t>吸附剂</w:t>
            </w:r>
          </w:p>
        </w:tc>
        <w:tc>
          <w:tcPr>
            <w:tcW w:w="1136" w:type="pct"/>
            <w:vMerge w:val="continue"/>
            <w:tcBorders>
              <w:tl2br w:val="nil"/>
              <w:tr2bl w:val="nil"/>
            </w:tcBorders>
            <w:vAlign w:val="center"/>
          </w:tcPr>
          <w:p w14:paraId="37086C26">
            <w:pPr>
              <w:spacing w:line="320" w:lineRule="exact"/>
              <w:jc w:val="center"/>
              <w:rPr>
                <w:color w:val="000000"/>
                <w:sz w:val="21"/>
              </w:rPr>
            </w:pPr>
          </w:p>
        </w:tc>
      </w:tr>
      <w:tr w14:paraId="10A990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8" w:hRule="atLeast"/>
        </w:trPr>
        <w:tc>
          <w:tcPr>
            <w:tcW w:w="276" w:type="pct"/>
            <w:tcBorders>
              <w:tl2br w:val="nil"/>
              <w:tr2bl w:val="nil"/>
            </w:tcBorders>
            <w:vAlign w:val="center"/>
          </w:tcPr>
          <w:p w14:paraId="30A1F00C">
            <w:pPr>
              <w:spacing w:line="320" w:lineRule="exact"/>
              <w:jc w:val="center"/>
              <w:rPr>
                <w:color w:val="000000"/>
                <w:sz w:val="21"/>
              </w:rPr>
            </w:pPr>
            <w:r>
              <w:rPr>
                <w:color w:val="000000"/>
                <w:sz w:val="21"/>
              </w:rPr>
              <w:t>3</w:t>
            </w:r>
          </w:p>
        </w:tc>
        <w:tc>
          <w:tcPr>
            <w:tcW w:w="958" w:type="pct"/>
            <w:tcBorders>
              <w:tl2br w:val="nil"/>
              <w:tr2bl w:val="nil"/>
            </w:tcBorders>
            <w:vAlign w:val="center"/>
          </w:tcPr>
          <w:p w14:paraId="6ECF4F9B">
            <w:pPr>
              <w:spacing w:line="320" w:lineRule="exact"/>
              <w:jc w:val="center"/>
              <w:rPr>
                <w:color w:val="000000"/>
                <w:sz w:val="21"/>
              </w:rPr>
            </w:pPr>
            <w:r>
              <w:rPr>
                <w:color w:val="000000"/>
                <w:sz w:val="21"/>
              </w:rPr>
              <w:t>干燥器废分子筛（S3）</w:t>
            </w:r>
          </w:p>
        </w:tc>
        <w:tc>
          <w:tcPr>
            <w:tcW w:w="825" w:type="pct"/>
            <w:tcBorders>
              <w:tl2br w:val="nil"/>
              <w:tr2bl w:val="nil"/>
            </w:tcBorders>
            <w:vAlign w:val="center"/>
          </w:tcPr>
          <w:p w14:paraId="6DDE9792">
            <w:pPr>
              <w:spacing w:line="320" w:lineRule="exact"/>
              <w:jc w:val="center"/>
              <w:rPr>
                <w:color w:val="000000"/>
                <w:sz w:val="21"/>
              </w:rPr>
            </w:pPr>
            <w:r>
              <w:rPr>
                <w:color w:val="000000"/>
                <w:sz w:val="21"/>
              </w:rPr>
              <w:t>干燥器</w:t>
            </w:r>
          </w:p>
        </w:tc>
        <w:tc>
          <w:tcPr>
            <w:tcW w:w="882" w:type="pct"/>
            <w:tcBorders>
              <w:tl2br w:val="nil"/>
              <w:tr2bl w:val="nil"/>
            </w:tcBorders>
            <w:vAlign w:val="center"/>
          </w:tcPr>
          <w:p w14:paraId="40AAB6A5">
            <w:pPr>
              <w:spacing w:line="320" w:lineRule="exact"/>
              <w:jc w:val="center"/>
              <w:rPr>
                <w:color w:val="000000"/>
                <w:sz w:val="21"/>
              </w:rPr>
            </w:pPr>
            <w:r>
              <w:rPr>
                <w:color w:val="000000"/>
                <w:sz w:val="21"/>
              </w:rPr>
              <w:t>18t/次</w:t>
            </w:r>
          </w:p>
          <w:p w14:paraId="743D47D8">
            <w:pPr>
              <w:spacing w:line="320" w:lineRule="exact"/>
              <w:jc w:val="center"/>
              <w:rPr>
                <w:color w:val="000000"/>
                <w:sz w:val="21"/>
              </w:rPr>
            </w:pPr>
            <w:r>
              <w:rPr>
                <w:color w:val="000000"/>
                <w:sz w:val="21"/>
              </w:rPr>
              <w:t>（4年1次）</w:t>
            </w:r>
          </w:p>
        </w:tc>
        <w:tc>
          <w:tcPr>
            <w:tcW w:w="920" w:type="pct"/>
            <w:tcBorders>
              <w:tl2br w:val="nil"/>
              <w:tr2bl w:val="nil"/>
            </w:tcBorders>
            <w:vAlign w:val="center"/>
          </w:tcPr>
          <w:p w14:paraId="2BED95E5">
            <w:pPr>
              <w:spacing w:line="320" w:lineRule="exact"/>
              <w:jc w:val="center"/>
              <w:rPr>
                <w:color w:val="000000"/>
                <w:sz w:val="21"/>
              </w:rPr>
            </w:pPr>
            <w:r>
              <w:rPr>
                <w:color w:val="000000"/>
                <w:sz w:val="21"/>
              </w:rPr>
              <w:t>分子筛</w:t>
            </w:r>
          </w:p>
        </w:tc>
        <w:tc>
          <w:tcPr>
            <w:tcW w:w="1136" w:type="pct"/>
            <w:vMerge w:val="restart"/>
            <w:tcBorders>
              <w:tl2br w:val="nil"/>
              <w:tr2bl w:val="nil"/>
            </w:tcBorders>
            <w:vAlign w:val="center"/>
          </w:tcPr>
          <w:p w14:paraId="08DB3E15">
            <w:pPr>
              <w:spacing w:line="320" w:lineRule="exact"/>
              <w:jc w:val="center"/>
              <w:rPr>
                <w:color w:val="000000"/>
                <w:sz w:val="21"/>
              </w:rPr>
            </w:pPr>
            <w:r>
              <w:rPr>
                <w:color w:val="000000"/>
                <w:sz w:val="21"/>
              </w:rPr>
              <w:t>属一般工业固废，送工业固废处置场处置</w:t>
            </w:r>
          </w:p>
        </w:tc>
      </w:tr>
      <w:tr w14:paraId="76D1D4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8" w:hRule="atLeast"/>
        </w:trPr>
        <w:tc>
          <w:tcPr>
            <w:tcW w:w="500" w:type="dxa"/>
            <w:tcBorders>
              <w:tl2br w:val="nil"/>
              <w:tr2bl w:val="nil"/>
            </w:tcBorders>
            <w:vAlign w:val="center"/>
          </w:tcPr>
          <w:p w14:paraId="7215CC2F">
            <w:pPr>
              <w:spacing w:line="320" w:lineRule="exact"/>
              <w:jc w:val="center"/>
              <w:rPr>
                <w:color w:val="000000"/>
                <w:sz w:val="21"/>
              </w:rPr>
            </w:pPr>
            <w:r>
              <w:rPr>
                <w:color w:val="000000"/>
                <w:sz w:val="21"/>
              </w:rPr>
              <w:t>4</w:t>
            </w:r>
          </w:p>
        </w:tc>
        <w:tc>
          <w:tcPr>
            <w:tcW w:w="958" w:type="pct"/>
            <w:tcBorders>
              <w:tl2br w:val="nil"/>
              <w:tr2bl w:val="nil"/>
            </w:tcBorders>
            <w:vAlign w:val="center"/>
          </w:tcPr>
          <w:p w14:paraId="33F2B5EA">
            <w:pPr>
              <w:spacing w:line="320" w:lineRule="exact"/>
              <w:jc w:val="center"/>
              <w:rPr>
                <w:color w:val="000000"/>
                <w:sz w:val="21"/>
              </w:rPr>
            </w:pPr>
            <w:r>
              <w:rPr>
                <w:color w:val="000000"/>
                <w:sz w:val="21"/>
              </w:rPr>
              <w:t>制冷剂干燥产生的废分子筛（S4）</w:t>
            </w:r>
          </w:p>
        </w:tc>
        <w:tc>
          <w:tcPr>
            <w:tcW w:w="825" w:type="pct"/>
            <w:tcBorders>
              <w:tl2br w:val="nil"/>
              <w:tr2bl w:val="nil"/>
            </w:tcBorders>
            <w:vAlign w:val="center"/>
          </w:tcPr>
          <w:p w14:paraId="149C16BD">
            <w:pPr>
              <w:spacing w:line="320" w:lineRule="exact"/>
              <w:jc w:val="center"/>
              <w:rPr>
                <w:color w:val="000000"/>
                <w:sz w:val="21"/>
              </w:rPr>
            </w:pPr>
            <w:r>
              <w:rPr>
                <w:color w:val="000000"/>
                <w:sz w:val="21"/>
              </w:rPr>
              <w:t>制冷剂干燥</w:t>
            </w:r>
          </w:p>
        </w:tc>
        <w:tc>
          <w:tcPr>
            <w:tcW w:w="882" w:type="pct"/>
            <w:tcBorders>
              <w:tl2br w:val="nil"/>
              <w:tr2bl w:val="nil"/>
            </w:tcBorders>
            <w:vAlign w:val="center"/>
          </w:tcPr>
          <w:p w14:paraId="48CF6AC8">
            <w:pPr>
              <w:spacing w:line="320" w:lineRule="exact"/>
              <w:jc w:val="center"/>
              <w:rPr>
                <w:color w:val="000000"/>
                <w:sz w:val="21"/>
              </w:rPr>
            </w:pPr>
            <w:r>
              <w:rPr>
                <w:color w:val="000000"/>
                <w:sz w:val="21"/>
              </w:rPr>
              <w:t>3t/次</w:t>
            </w:r>
          </w:p>
          <w:p w14:paraId="106EF41E">
            <w:pPr>
              <w:spacing w:line="320" w:lineRule="exact"/>
              <w:jc w:val="center"/>
              <w:rPr>
                <w:color w:val="000000"/>
                <w:sz w:val="21"/>
              </w:rPr>
            </w:pPr>
            <w:r>
              <w:rPr>
                <w:color w:val="000000"/>
                <w:sz w:val="21"/>
              </w:rPr>
              <w:t>（4年1次）</w:t>
            </w:r>
          </w:p>
        </w:tc>
        <w:tc>
          <w:tcPr>
            <w:tcW w:w="920" w:type="pct"/>
            <w:tcBorders>
              <w:tl2br w:val="nil"/>
              <w:tr2bl w:val="nil"/>
            </w:tcBorders>
            <w:vAlign w:val="center"/>
          </w:tcPr>
          <w:p w14:paraId="7B457533">
            <w:pPr>
              <w:spacing w:line="320" w:lineRule="exact"/>
              <w:jc w:val="center"/>
              <w:rPr>
                <w:color w:val="000000"/>
                <w:sz w:val="21"/>
              </w:rPr>
            </w:pPr>
            <w:r>
              <w:rPr>
                <w:color w:val="000000"/>
                <w:sz w:val="21"/>
              </w:rPr>
              <w:t>分子筛</w:t>
            </w:r>
          </w:p>
        </w:tc>
        <w:tc>
          <w:tcPr>
            <w:tcW w:w="1136" w:type="pct"/>
            <w:vMerge w:val="continue"/>
            <w:tcBorders>
              <w:tl2br w:val="nil"/>
              <w:tr2bl w:val="nil"/>
            </w:tcBorders>
            <w:vAlign w:val="center"/>
          </w:tcPr>
          <w:p w14:paraId="39C5AFEC">
            <w:pPr>
              <w:spacing w:line="320" w:lineRule="exact"/>
              <w:jc w:val="center"/>
              <w:rPr>
                <w:color w:val="000000"/>
                <w:sz w:val="21"/>
              </w:rPr>
            </w:pPr>
          </w:p>
        </w:tc>
      </w:tr>
      <w:tr w14:paraId="346031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7" w:hRule="atLeast"/>
        </w:trPr>
        <w:tc>
          <w:tcPr>
            <w:tcW w:w="500" w:type="dxa"/>
            <w:tcBorders>
              <w:tl2br w:val="nil"/>
              <w:tr2bl w:val="nil"/>
            </w:tcBorders>
            <w:vAlign w:val="center"/>
          </w:tcPr>
          <w:p w14:paraId="066D92CE">
            <w:pPr>
              <w:spacing w:line="320" w:lineRule="exact"/>
              <w:jc w:val="center"/>
              <w:rPr>
                <w:color w:val="000000"/>
                <w:sz w:val="21"/>
              </w:rPr>
            </w:pPr>
            <w:r>
              <w:rPr>
                <w:color w:val="000000"/>
                <w:sz w:val="21"/>
              </w:rPr>
              <w:t>5</w:t>
            </w:r>
          </w:p>
        </w:tc>
        <w:tc>
          <w:tcPr>
            <w:tcW w:w="958" w:type="pct"/>
            <w:tcBorders>
              <w:tl2br w:val="nil"/>
              <w:tr2bl w:val="nil"/>
            </w:tcBorders>
            <w:vAlign w:val="center"/>
          </w:tcPr>
          <w:p w14:paraId="09F7A297">
            <w:pPr>
              <w:spacing w:line="320" w:lineRule="exact"/>
              <w:jc w:val="center"/>
              <w:rPr>
                <w:color w:val="000000"/>
                <w:sz w:val="21"/>
              </w:rPr>
            </w:pPr>
            <w:r>
              <w:rPr>
                <w:color w:val="000000"/>
                <w:sz w:val="21"/>
              </w:rPr>
              <w:t>生活垃圾</w:t>
            </w:r>
          </w:p>
        </w:tc>
        <w:tc>
          <w:tcPr>
            <w:tcW w:w="825" w:type="pct"/>
            <w:tcBorders>
              <w:tl2br w:val="nil"/>
              <w:tr2bl w:val="nil"/>
            </w:tcBorders>
            <w:vAlign w:val="center"/>
          </w:tcPr>
          <w:p w14:paraId="32C29597">
            <w:pPr>
              <w:spacing w:line="320" w:lineRule="exact"/>
              <w:jc w:val="center"/>
              <w:rPr>
                <w:color w:val="000000"/>
                <w:sz w:val="21"/>
              </w:rPr>
            </w:pPr>
            <w:r>
              <w:rPr>
                <w:color w:val="000000"/>
                <w:sz w:val="21"/>
              </w:rPr>
              <w:t>职工</w:t>
            </w:r>
          </w:p>
        </w:tc>
        <w:tc>
          <w:tcPr>
            <w:tcW w:w="882" w:type="pct"/>
            <w:tcBorders>
              <w:tl2br w:val="nil"/>
              <w:tr2bl w:val="nil"/>
            </w:tcBorders>
            <w:vAlign w:val="center"/>
          </w:tcPr>
          <w:p w14:paraId="257F1239">
            <w:pPr>
              <w:spacing w:line="320" w:lineRule="exact"/>
              <w:jc w:val="center"/>
              <w:rPr>
                <w:color w:val="000000"/>
                <w:sz w:val="21"/>
              </w:rPr>
            </w:pPr>
            <w:r>
              <w:rPr>
                <w:color w:val="000000"/>
                <w:sz w:val="21"/>
              </w:rPr>
              <w:t>19.8t/a</w:t>
            </w:r>
          </w:p>
        </w:tc>
        <w:tc>
          <w:tcPr>
            <w:tcW w:w="920" w:type="pct"/>
            <w:tcBorders>
              <w:tl2br w:val="nil"/>
              <w:tr2bl w:val="nil"/>
            </w:tcBorders>
            <w:vAlign w:val="center"/>
          </w:tcPr>
          <w:p w14:paraId="4A09ABB1">
            <w:pPr>
              <w:spacing w:line="320" w:lineRule="exact"/>
              <w:jc w:val="center"/>
              <w:rPr>
                <w:color w:val="000000"/>
                <w:sz w:val="21"/>
              </w:rPr>
            </w:pPr>
            <w:r>
              <w:rPr>
                <w:color w:val="000000"/>
                <w:sz w:val="21"/>
              </w:rPr>
              <w:t>生活垃圾</w:t>
            </w:r>
          </w:p>
        </w:tc>
        <w:tc>
          <w:tcPr>
            <w:tcW w:w="1136" w:type="pct"/>
            <w:vMerge w:val="restart"/>
            <w:tcBorders>
              <w:tl2br w:val="nil"/>
              <w:tr2bl w:val="nil"/>
            </w:tcBorders>
            <w:vAlign w:val="center"/>
          </w:tcPr>
          <w:p w14:paraId="53007050">
            <w:pPr>
              <w:spacing w:line="320" w:lineRule="exact"/>
              <w:jc w:val="center"/>
              <w:rPr>
                <w:color w:val="000000"/>
                <w:sz w:val="21"/>
              </w:rPr>
            </w:pPr>
            <w:r>
              <w:rPr>
                <w:color w:val="000000"/>
                <w:sz w:val="21"/>
              </w:rPr>
              <w:t>由环卫部门统一清运</w:t>
            </w:r>
          </w:p>
        </w:tc>
      </w:tr>
      <w:tr w14:paraId="440DEC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5" w:hRule="atLeast"/>
        </w:trPr>
        <w:tc>
          <w:tcPr>
            <w:tcW w:w="500" w:type="dxa"/>
            <w:tcBorders>
              <w:tl2br w:val="nil"/>
              <w:tr2bl w:val="nil"/>
            </w:tcBorders>
            <w:vAlign w:val="center"/>
          </w:tcPr>
          <w:p w14:paraId="7724E06F">
            <w:pPr>
              <w:spacing w:line="320" w:lineRule="exact"/>
              <w:jc w:val="center"/>
              <w:rPr>
                <w:color w:val="000000"/>
                <w:sz w:val="21"/>
              </w:rPr>
            </w:pPr>
            <w:r>
              <w:rPr>
                <w:color w:val="000000"/>
                <w:sz w:val="21"/>
              </w:rPr>
              <w:t>6</w:t>
            </w:r>
          </w:p>
        </w:tc>
        <w:tc>
          <w:tcPr>
            <w:tcW w:w="958" w:type="pct"/>
            <w:tcBorders>
              <w:tl2br w:val="nil"/>
              <w:tr2bl w:val="nil"/>
            </w:tcBorders>
            <w:vAlign w:val="center"/>
          </w:tcPr>
          <w:p w14:paraId="304E0DC1">
            <w:pPr>
              <w:spacing w:line="320" w:lineRule="exact"/>
              <w:jc w:val="center"/>
              <w:rPr>
                <w:color w:val="000000"/>
                <w:sz w:val="21"/>
              </w:rPr>
            </w:pPr>
            <w:r>
              <w:rPr>
                <w:color w:val="000000"/>
                <w:sz w:val="21"/>
              </w:rPr>
              <w:t>污泥</w:t>
            </w:r>
          </w:p>
        </w:tc>
        <w:tc>
          <w:tcPr>
            <w:tcW w:w="825" w:type="pct"/>
            <w:tcBorders>
              <w:tl2br w:val="nil"/>
              <w:tr2bl w:val="nil"/>
            </w:tcBorders>
            <w:vAlign w:val="center"/>
          </w:tcPr>
          <w:p w14:paraId="6FA1FB80">
            <w:pPr>
              <w:spacing w:line="320" w:lineRule="exact"/>
              <w:jc w:val="center"/>
              <w:rPr>
                <w:color w:val="000000"/>
                <w:sz w:val="21"/>
              </w:rPr>
            </w:pPr>
            <w:r>
              <w:rPr>
                <w:color w:val="000000"/>
                <w:sz w:val="21"/>
              </w:rPr>
              <w:t>化粪池</w:t>
            </w:r>
          </w:p>
        </w:tc>
        <w:tc>
          <w:tcPr>
            <w:tcW w:w="882" w:type="pct"/>
            <w:tcBorders>
              <w:tl2br w:val="nil"/>
              <w:tr2bl w:val="nil"/>
            </w:tcBorders>
            <w:vAlign w:val="center"/>
          </w:tcPr>
          <w:p w14:paraId="6B0346D3">
            <w:pPr>
              <w:spacing w:line="320" w:lineRule="exact"/>
              <w:jc w:val="center"/>
              <w:rPr>
                <w:color w:val="000000"/>
                <w:sz w:val="21"/>
              </w:rPr>
            </w:pPr>
            <w:r>
              <w:rPr>
                <w:color w:val="000000"/>
                <w:sz w:val="21"/>
              </w:rPr>
              <w:t>2t/a</w:t>
            </w:r>
          </w:p>
        </w:tc>
        <w:tc>
          <w:tcPr>
            <w:tcW w:w="920" w:type="pct"/>
            <w:tcBorders>
              <w:tl2br w:val="nil"/>
              <w:tr2bl w:val="nil"/>
            </w:tcBorders>
            <w:vAlign w:val="center"/>
          </w:tcPr>
          <w:p w14:paraId="21988702">
            <w:pPr>
              <w:spacing w:line="320" w:lineRule="exact"/>
              <w:jc w:val="center"/>
              <w:rPr>
                <w:color w:val="000000"/>
                <w:sz w:val="21"/>
              </w:rPr>
            </w:pPr>
            <w:r>
              <w:rPr>
                <w:color w:val="000000"/>
                <w:sz w:val="21"/>
              </w:rPr>
              <w:t>污泥</w:t>
            </w:r>
          </w:p>
        </w:tc>
        <w:tc>
          <w:tcPr>
            <w:tcW w:w="1136" w:type="pct"/>
            <w:vMerge w:val="continue"/>
            <w:tcBorders>
              <w:tl2br w:val="nil"/>
              <w:tr2bl w:val="nil"/>
            </w:tcBorders>
            <w:vAlign w:val="center"/>
          </w:tcPr>
          <w:p w14:paraId="7D9065E2">
            <w:pPr>
              <w:spacing w:line="320" w:lineRule="exact"/>
              <w:jc w:val="center"/>
              <w:rPr>
                <w:color w:val="000000"/>
                <w:sz w:val="21"/>
              </w:rPr>
            </w:pPr>
          </w:p>
        </w:tc>
      </w:tr>
      <w:tr w14:paraId="3BB82D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8" w:hRule="atLeast"/>
        </w:trPr>
        <w:tc>
          <w:tcPr>
            <w:tcW w:w="500" w:type="dxa"/>
            <w:tcBorders>
              <w:tl2br w:val="nil"/>
              <w:tr2bl w:val="nil"/>
            </w:tcBorders>
            <w:vAlign w:val="center"/>
          </w:tcPr>
          <w:p w14:paraId="492AEFD6">
            <w:pPr>
              <w:spacing w:line="320" w:lineRule="exact"/>
              <w:jc w:val="center"/>
              <w:rPr>
                <w:color w:val="000000"/>
                <w:sz w:val="21"/>
              </w:rPr>
            </w:pPr>
            <w:r>
              <w:rPr>
                <w:color w:val="000000"/>
                <w:sz w:val="21"/>
              </w:rPr>
              <w:t>7</w:t>
            </w:r>
          </w:p>
        </w:tc>
        <w:tc>
          <w:tcPr>
            <w:tcW w:w="958" w:type="pct"/>
            <w:tcBorders>
              <w:tl2br w:val="nil"/>
              <w:tr2bl w:val="nil"/>
            </w:tcBorders>
            <w:vAlign w:val="center"/>
          </w:tcPr>
          <w:p w14:paraId="35C650E1">
            <w:pPr>
              <w:spacing w:line="280" w:lineRule="exact"/>
              <w:jc w:val="center"/>
              <w:rPr>
                <w:color w:val="000000"/>
                <w:sz w:val="21"/>
              </w:rPr>
            </w:pPr>
            <w:r>
              <w:rPr>
                <w:color w:val="000000"/>
                <w:sz w:val="21"/>
              </w:rPr>
              <w:t>实验室废液</w:t>
            </w:r>
          </w:p>
        </w:tc>
        <w:tc>
          <w:tcPr>
            <w:tcW w:w="825" w:type="pct"/>
            <w:tcBorders>
              <w:tl2br w:val="nil"/>
              <w:tr2bl w:val="nil"/>
            </w:tcBorders>
            <w:vAlign w:val="center"/>
          </w:tcPr>
          <w:p w14:paraId="4D5E9138">
            <w:pPr>
              <w:spacing w:line="280" w:lineRule="exact"/>
              <w:jc w:val="center"/>
              <w:rPr>
                <w:color w:val="000000"/>
                <w:sz w:val="21"/>
              </w:rPr>
            </w:pPr>
            <w:r>
              <w:rPr>
                <w:color w:val="000000"/>
                <w:sz w:val="21"/>
              </w:rPr>
              <w:t>化验室</w:t>
            </w:r>
          </w:p>
        </w:tc>
        <w:tc>
          <w:tcPr>
            <w:tcW w:w="882" w:type="pct"/>
            <w:tcBorders>
              <w:tl2br w:val="nil"/>
              <w:tr2bl w:val="nil"/>
            </w:tcBorders>
            <w:vAlign w:val="center"/>
          </w:tcPr>
          <w:p w14:paraId="687A4C84">
            <w:pPr>
              <w:spacing w:line="280" w:lineRule="exact"/>
              <w:jc w:val="center"/>
              <w:rPr>
                <w:color w:val="000000"/>
                <w:sz w:val="21"/>
              </w:rPr>
            </w:pPr>
            <w:r>
              <w:rPr>
                <w:color w:val="000000"/>
                <w:sz w:val="21"/>
              </w:rPr>
              <w:t>少量</w:t>
            </w:r>
          </w:p>
        </w:tc>
        <w:tc>
          <w:tcPr>
            <w:tcW w:w="920" w:type="pct"/>
            <w:tcBorders>
              <w:tl2br w:val="nil"/>
              <w:tr2bl w:val="nil"/>
            </w:tcBorders>
            <w:vAlign w:val="center"/>
          </w:tcPr>
          <w:p w14:paraId="3ABDC89F">
            <w:pPr>
              <w:spacing w:line="320" w:lineRule="exact"/>
              <w:jc w:val="center"/>
              <w:rPr>
                <w:color w:val="000000"/>
                <w:sz w:val="21"/>
              </w:rPr>
            </w:pPr>
            <w:r>
              <w:rPr>
                <w:color w:val="000000"/>
                <w:sz w:val="21"/>
              </w:rPr>
              <w:t>危险废物</w:t>
            </w:r>
          </w:p>
        </w:tc>
        <w:tc>
          <w:tcPr>
            <w:tcW w:w="1136" w:type="pct"/>
            <w:vMerge w:val="restart"/>
            <w:tcBorders>
              <w:tl2br w:val="nil"/>
              <w:tr2bl w:val="nil"/>
            </w:tcBorders>
            <w:vAlign w:val="center"/>
          </w:tcPr>
          <w:p w14:paraId="3B1ACE40">
            <w:pPr>
              <w:spacing w:line="320" w:lineRule="exact"/>
              <w:rPr>
                <w:color w:val="000000"/>
                <w:sz w:val="21"/>
              </w:rPr>
            </w:pPr>
            <w:r>
              <w:rPr>
                <w:color w:val="000000"/>
                <w:sz w:val="21"/>
              </w:rPr>
              <w:t>属危废，送危废资质单位进行处置</w:t>
            </w:r>
          </w:p>
        </w:tc>
      </w:tr>
      <w:tr w14:paraId="2AB209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trPr>
        <w:tc>
          <w:tcPr>
            <w:tcW w:w="500" w:type="dxa"/>
            <w:tcBorders>
              <w:tl2br w:val="nil"/>
              <w:tr2bl w:val="nil"/>
            </w:tcBorders>
            <w:vAlign w:val="center"/>
          </w:tcPr>
          <w:p w14:paraId="2DED489E">
            <w:pPr>
              <w:spacing w:line="320" w:lineRule="exact"/>
              <w:jc w:val="center"/>
              <w:rPr>
                <w:color w:val="000000"/>
                <w:sz w:val="21"/>
              </w:rPr>
            </w:pPr>
            <w:r>
              <w:rPr>
                <w:color w:val="000000"/>
                <w:sz w:val="21"/>
              </w:rPr>
              <w:t>8</w:t>
            </w:r>
          </w:p>
        </w:tc>
        <w:tc>
          <w:tcPr>
            <w:tcW w:w="958" w:type="pct"/>
            <w:tcBorders>
              <w:tl2br w:val="nil"/>
              <w:tr2bl w:val="nil"/>
            </w:tcBorders>
            <w:vAlign w:val="center"/>
          </w:tcPr>
          <w:p w14:paraId="4F7086FF">
            <w:pPr>
              <w:spacing w:line="280" w:lineRule="exact"/>
              <w:jc w:val="center"/>
              <w:rPr>
                <w:color w:val="000000"/>
                <w:sz w:val="21"/>
              </w:rPr>
            </w:pPr>
            <w:r>
              <w:rPr>
                <w:color w:val="000000"/>
                <w:sz w:val="21"/>
              </w:rPr>
              <w:t>胺闪蒸罐污泥</w:t>
            </w:r>
          </w:p>
        </w:tc>
        <w:tc>
          <w:tcPr>
            <w:tcW w:w="825" w:type="pct"/>
            <w:tcBorders>
              <w:tl2br w:val="nil"/>
              <w:tr2bl w:val="nil"/>
            </w:tcBorders>
            <w:vAlign w:val="center"/>
          </w:tcPr>
          <w:p w14:paraId="1A084F58">
            <w:pPr>
              <w:spacing w:line="280" w:lineRule="exact"/>
              <w:jc w:val="center"/>
              <w:rPr>
                <w:color w:val="000000"/>
                <w:sz w:val="21"/>
              </w:rPr>
            </w:pPr>
            <w:r>
              <w:rPr>
                <w:color w:val="000000"/>
                <w:sz w:val="21"/>
              </w:rPr>
              <w:t>胺闪蒸罐</w:t>
            </w:r>
          </w:p>
        </w:tc>
        <w:tc>
          <w:tcPr>
            <w:tcW w:w="882" w:type="pct"/>
            <w:tcBorders>
              <w:tl2br w:val="nil"/>
              <w:tr2bl w:val="nil"/>
            </w:tcBorders>
            <w:vAlign w:val="center"/>
          </w:tcPr>
          <w:p w14:paraId="721F0039">
            <w:pPr>
              <w:spacing w:line="280" w:lineRule="exact"/>
              <w:jc w:val="center"/>
              <w:rPr>
                <w:color w:val="000000"/>
                <w:sz w:val="21"/>
              </w:rPr>
            </w:pPr>
            <w:r>
              <w:rPr>
                <w:color w:val="000000"/>
                <w:sz w:val="21"/>
              </w:rPr>
              <w:t xml:space="preserve">1t/a </w:t>
            </w:r>
          </w:p>
        </w:tc>
        <w:tc>
          <w:tcPr>
            <w:tcW w:w="920" w:type="pct"/>
            <w:tcBorders>
              <w:tl2br w:val="nil"/>
              <w:tr2bl w:val="nil"/>
            </w:tcBorders>
            <w:vAlign w:val="center"/>
          </w:tcPr>
          <w:p w14:paraId="35A66C09">
            <w:pPr>
              <w:spacing w:line="320" w:lineRule="exact"/>
              <w:jc w:val="center"/>
              <w:rPr>
                <w:color w:val="000000"/>
                <w:sz w:val="21"/>
              </w:rPr>
            </w:pPr>
            <w:r>
              <w:rPr>
                <w:color w:val="000000"/>
                <w:sz w:val="21"/>
              </w:rPr>
              <w:t>危险废物</w:t>
            </w:r>
          </w:p>
        </w:tc>
        <w:tc>
          <w:tcPr>
            <w:tcW w:w="1136" w:type="pct"/>
            <w:vMerge w:val="continue"/>
            <w:tcBorders>
              <w:tl2br w:val="nil"/>
              <w:tr2bl w:val="nil"/>
            </w:tcBorders>
            <w:vAlign w:val="center"/>
          </w:tcPr>
          <w:p w14:paraId="0D675D60">
            <w:pPr>
              <w:spacing w:line="320" w:lineRule="exact"/>
              <w:rPr>
                <w:color w:val="000000"/>
                <w:sz w:val="21"/>
              </w:rPr>
            </w:pPr>
          </w:p>
        </w:tc>
      </w:tr>
      <w:tr w14:paraId="2D6C86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500" w:type="dxa"/>
            <w:tcBorders>
              <w:tl2br w:val="nil"/>
              <w:tr2bl w:val="nil"/>
            </w:tcBorders>
            <w:vAlign w:val="center"/>
          </w:tcPr>
          <w:p w14:paraId="7BF5839A">
            <w:pPr>
              <w:spacing w:line="320" w:lineRule="exact"/>
              <w:jc w:val="center"/>
              <w:rPr>
                <w:color w:val="000000"/>
                <w:sz w:val="21"/>
              </w:rPr>
            </w:pPr>
            <w:r>
              <w:rPr>
                <w:color w:val="000000"/>
                <w:sz w:val="21"/>
              </w:rPr>
              <w:t>10</w:t>
            </w:r>
          </w:p>
        </w:tc>
        <w:tc>
          <w:tcPr>
            <w:tcW w:w="958" w:type="pct"/>
            <w:tcBorders>
              <w:tl2br w:val="nil"/>
              <w:tr2bl w:val="nil"/>
            </w:tcBorders>
            <w:vAlign w:val="center"/>
          </w:tcPr>
          <w:p w14:paraId="6D95FC40">
            <w:pPr>
              <w:spacing w:line="280" w:lineRule="exact"/>
              <w:jc w:val="center"/>
              <w:rPr>
                <w:color w:val="000000"/>
                <w:sz w:val="21"/>
              </w:rPr>
            </w:pPr>
            <w:r>
              <w:rPr>
                <w:color w:val="000000"/>
                <w:sz w:val="21"/>
              </w:rPr>
              <w:t>废机油桶、废药剂桶</w:t>
            </w:r>
          </w:p>
        </w:tc>
        <w:tc>
          <w:tcPr>
            <w:tcW w:w="825" w:type="pct"/>
            <w:tcBorders>
              <w:tl2br w:val="nil"/>
              <w:tr2bl w:val="nil"/>
            </w:tcBorders>
            <w:vAlign w:val="center"/>
          </w:tcPr>
          <w:p w14:paraId="195400C9">
            <w:pPr>
              <w:spacing w:line="280" w:lineRule="exact"/>
              <w:jc w:val="center"/>
              <w:rPr>
                <w:color w:val="000000"/>
                <w:sz w:val="21"/>
              </w:rPr>
            </w:pPr>
            <w:r>
              <w:rPr>
                <w:color w:val="000000"/>
                <w:sz w:val="21"/>
              </w:rPr>
              <w:t>维修等</w:t>
            </w:r>
          </w:p>
        </w:tc>
        <w:tc>
          <w:tcPr>
            <w:tcW w:w="882" w:type="pct"/>
            <w:tcBorders>
              <w:tl2br w:val="nil"/>
              <w:tr2bl w:val="nil"/>
            </w:tcBorders>
            <w:vAlign w:val="center"/>
          </w:tcPr>
          <w:p w14:paraId="3C0A878B">
            <w:pPr>
              <w:spacing w:line="280" w:lineRule="exact"/>
              <w:jc w:val="center"/>
              <w:rPr>
                <w:color w:val="000000"/>
                <w:sz w:val="21"/>
              </w:rPr>
            </w:pPr>
            <w:r>
              <w:rPr>
                <w:color w:val="000000"/>
                <w:sz w:val="21"/>
              </w:rPr>
              <w:t xml:space="preserve">0.3t/a </w:t>
            </w:r>
          </w:p>
        </w:tc>
        <w:tc>
          <w:tcPr>
            <w:tcW w:w="920" w:type="pct"/>
            <w:tcBorders>
              <w:tl2br w:val="nil"/>
              <w:tr2bl w:val="nil"/>
            </w:tcBorders>
            <w:vAlign w:val="center"/>
          </w:tcPr>
          <w:p w14:paraId="65C638A9">
            <w:pPr>
              <w:spacing w:line="320" w:lineRule="exact"/>
              <w:jc w:val="center"/>
              <w:rPr>
                <w:color w:val="000000"/>
                <w:sz w:val="21"/>
              </w:rPr>
            </w:pPr>
            <w:r>
              <w:rPr>
                <w:color w:val="000000"/>
                <w:sz w:val="21"/>
              </w:rPr>
              <w:t>危险废物</w:t>
            </w:r>
          </w:p>
        </w:tc>
        <w:tc>
          <w:tcPr>
            <w:tcW w:w="1136" w:type="pct"/>
            <w:vMerge w:val="continue"/>
            <w:tcBorders>
              <w:tl2br w:val="nil"/>
              <w:tr2bl w:val="nil"/>
            </w:tcBorders>
            <w:vAlign w:val="center"/>
          </w:tcPr>
          <w:p w14:paraId="5D3C67A4">
            <w:pPr>
              <w:spacing w:line="320" w:lineRule="exact"/>
              <w:rPr>
                <w:color w:val="000000"/>
                <w:sz w:val="21"/>
              </w:rPr>
            </w:pPr>
          </w:p>
        </w:tc>
      </w:tr>
      <w:tr w14:paraId="0D13FD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trPr>
        <w:tc>
          <w:tcPr>
            <w:tcW w:w="500" w:type="dxa"/>
            <w:tcBorders>
              <w:tl2br w:val="nil"/>
              <w:tr2bl w:val="nil"/>
            </w:tcBorders>
            <w:vAlign w:val="center"/>
          </w:tcPr>
          <w:p w14:paraId="0D201685">
            <w:pPr>
              <w:spacing w:line="320" w:lineRule="exact"/>
              <w:jc w:val="center"/>
              <w:rPr>
                <w:color w:val="000000"/>
                <w:sz w:val="21"/>
              </w:rPr>
            </w:pPr>
            <w:r>
              <w:rPr>
                <w:color w:val="000000"/>
                <w:sz w:val="21"/>
              </w:rPr>
              <w:t>11</w:t>
            </w:r>
          </w:p>
        </w:tc>
        <w:tc>
          <w:tcPr>
            <w:tcW w:w="958" w:type="pct"/>
            <w:tcBorders>
              <w:tl2br w:val="nil"/>
              <w:tr2bl w:val="nil"/>
            </w:tcBorders>
            <w:vAlign w:val="center"/>
          </w:tcPr>
          <w:p w14:paraId="75BDB903">
            <w:pPr>
              <w:spacing w:line="280" w:lineRule="exact"/>
              <w:jc w:val="center"/>
              <w:rPr>
                <w:color w:val="000000"/>
                <w:sz w:val="21"/>
              </w:rPr>
            </w:pPr>
            <w:r>
              <w:rPr>
                <w:color w:val="000000"/>
                <w:sz w:val="21"/>
              </w:rPr>
              <w:t>废矿物油、废润滑油</w:t>
            </w:r>
          </w:p>
        </w:tc>
        <w:tc>
          <w:tcPr>
            <w:tcW w:w="825" w:type="pct"/>
            <w:tcBorders>
              <w:tl2br w:val="nil"/>
              <w:tr2bl w:val="nil"/>
            </w:tcBorders>
            <w:vAlign w:val="center"/>
          </w:tcPr>
          <w:p w14:paraId="669AB9FE">
            <w:pPr>
              <w:spacing w:line="280" w:lineRule="exact"/>
              <w:jc w:val="center"/>
              <w:rPr>
                <w:color w:val="000000"/>
                <w:sz w:val="21"/>
              </w:rPr>
            </w:pPr>
            <w:r>
              <w:rPr>
                <w:color w:val="000000"/>
                <w:sz w:val="21"/>
              </w:rPr>
              <w:t>维修等</w:t>
            </w:r>
          </w:p>
        </w:tc>
        <w:tc>
          <w:tcPr>
            <w:tcW w:w="882" w:type="pct"/>
            <w:tcBorders>
              <w:tl2br w:val="nil"/>
              <w:tr2bl w:val="nil"/>
            </w:tcBorders>
            <w:vAlign w:val="center"/>
          </w:tcPr>
          <w:p w14:paraId="7DA431C4">
            <w:pPr>
              <w:spacing w:line="280" w:lineRule="exact"/>
              <w:jc w:val="center"/>
              <w:rPr>
                <w:color w:val="000000"/>
                <w:sz w:val="21"/>
              </w:rPr>
            </w:pPr>
            <w:r>
              <w:rPr>
                <w:color w:val="000000"/>
                <w:sz w:val="21"/>
              </w:rPr>
              <w:t xml:space="preserve">1t/a </w:t>
            </w:r>
          </w:p>
        </w:tc>
        <w:tc>
          <w:tcPr>
            <w:tcW w:w="920" w:type="pct"/>
            <w:tcBorders>
              <w:tl2br w:val="nil"/>
              <w:tr2bl w:val="nil"/>
            </w:tcBorders>
            <w:vAlign w:val="center"/>
          </w:tcPr>
          <w:p w14:paraId="56C9B379">
            <w:pPr>
              <w:spacing w:line="320" w:lineRule="exact"/>
              <w:jc w:val="center"/>
              <w:rPr>
                <w:color w:val="000000"/>
                <w:sz w:val="21"/>
              </w:rPr>
            </w:pPr>
            <w:r>
              <w:rPr>
                <w:color w:val="000000"/>
                <w:sz w:val="21"/>
              </w:rPr>
              <w:t>危险废物</w:t>
            </w:r>
          </w:p>
        </w:tc>
        <w:tc>
          <w:tcPr>
            <w:tcW w:w="1136" w:type="pct"/>
            <w:vMerge w:val="continue"/>
            <w:tcBorders>
              <w:tl2br w:val="nil"/>
              <w:tr2bl w:val="nil"/>
            </w:tcBorders>
            <w:vAlign w:val="center"/>
          </w:tcPr>
          <w:p w14:paraId="645BB1BB">
            <w:pPr>
              <w:spacing w:line="320" w:lineRule="exact"/>
              <w:rPr>
                <w:color w:val="000000"/>
                <w:sz w:val="21"/>
              </w:rPr>
            </w:pPr>
          </w:p>
        </w:tc>
      </w:tr>
    </w:tbl>
    <w:p w14:paraId="059D93AB">
      <w:pPr>
        <w:pStyle w:val="771"/>
        <w:rPr>
          <w:b/>
          <w:bCs w:val="0"/>
          <w:color w:val="000000"/>
        </w:rPr>
      </w:pPr>
      <w:r>
        <w:rPr>
          <w:b/>
          <w:bCs w:val="0"/>
          <w:color w:val="000000"/>
        </w:rPr>
        <w:t>2.3.3环保设施运行情况</w:t>
      </w:r>
    </w:p>
    <w:p w14:paraId="08D20D95">
      <w:pPr>
        <w:ind w:firstLine="520"/>
        <w:rPr>
          <w:color w:val="000000"/>
          <w:szCs w:val="24"/>
        </w:rPr>
      </w:pPr>
      <w:r>
        <w:rPr>
          <w:color w:val="000000"/>
          <w:szCs w:val="24"/>
        </w:rPr>
        <w:t>（1）废气</w:t>
      </w:r>
    </w:p>
    <w:p w14:paraId="5A3F0873">
      <w:pPr>
        <w:ind w:firstLine="522"/>
        <w:rPr>
          <w:color w:val="000000"/>
          <w:szCs w:val="24"/>
        </w:rPr>
      </w:pPr>
      <w:r>
        <w:rPr>
          <w:color w:val="000000"/>
          <w:szCs w:val="24"/>
        </w:rPr>
        <w:t>分子筛再生气和LNG储罐闪蒸汽进入原料气净化单元进行净化回用；胺汽提塔废气主要含CO</w:t>
      </w:r>
      <w:r>
        <w:rPr>
          <w:color w:val="000000"/>
          <w:szCs w:val="24"/>
          <w:vertAlign w:val="subscript"/>
        </w:rPr>
        <w:t>2</w:t>
      </w:r>
      <w:r>
        <w:rPr>
          <w:color w:val="000000"/>
          <w:szCs w:val="24"/>
        </w:rPr>
        <w:t>和少量烃类物质，由15m高的烟囱直接排放。导热油炉以天然气为燃料，燃烧废气颗粒物、SO</w:t>
      </w:r>
      <w:r>
        <w:rPr>
          <w:color w:val="000000"/>
          <w:szCs w:val="24"/>
          <w:vertAlign w:val="subscript"/>
        </w:rPr>
        <w:t>2</w:t>
      </w:r>
      <w:r>
        <w:rPr>
          <w:color w:val="000000"/>
          <w:szCs w:val="24"/>
        </w:rPr>
        <w:t>、NO</w:t>
      </w:r>
      <w:r>
        <w:rPr>
          <w:rFonts w:hint="eastAsia"/>
          <w:color w:val="000000"/>
          <w:szCs w:val="24"/>
          <w:vertAlign w:val="subscript"/>
        </w:rPr>
        <w:t>X</w:t>
      </w:r>
      <w:r>
        <w:rPr>
          <w:color w:val="000000"/>
          <w:szCs w:val="24"/>
        </w:rPr>
        <w:t>通过1个25m高排气筒排放；胺闪蒸罐废气和冷剂储罐闪蒸汽通过管道部分通过压缩机回用作为分子筛的再生气体，部分进入废液罐内。在废液罐内蒸发的气体则送至80m高架火炬（包含长明火炬1个）进行焚烧。</w:t>
      </w:r>
    </w:p>
    <w:p w14:paraId="2ECD1632">
      <w:pPr>
        <w:ind w:firstLine="520"/>
        <w:rPr>
          <w:color w:val="000000"/>
          <w:szCs w:val="24"/>
        </w:rPr>
      </w:pPr>
      <w:r>
        <w:rPr>
          <w:color w:val="000000"/>
          <w:szCs w:val="24"/>
        </w:rPr>
        <w:t>项目胺汽提塔废气排放口（G1）硫化氢排放浓度较小，对环境影响不大。根据2021年监测报告（CQGH2021AF0798），导热油炉废气排放口颗粒物排放浓度10.4mg/m</w:t>
      </w:r>
      <w:r>
        <w:rPr>
          <w:color w:val="000000"/>
          <w:szCs w:val="24"/>
          <w:vertAlign w:val="superscript"/>
        </w:rPr>
        <w:t>3</w:t>
      </w:r>
      <w:r>
        <w:rPr>
          <w:color w:val="000000"/>
          <w:szCs w:val="24"/>
        </w:rPr>
        <w:t>，SO</w:t>
      </w:r>
      <w:r>
        <w:rPr>
          <w:color w:val="000000"/>
          <w:szCs w:val="24"/>
          <w:vertAlign w:val="subscript"/>
        </w:rPr>
        <w:t>2</w:t>
      </w:r>
      <w:r>
        <w:rPr>
          <w:color w:val="000000"/>
          <w:szCs w:val="24"/>
        </w:rPr>
        <w:t>排放浓度7mg/m</w:t>
      </w:r>
      <w:r>
        <w:rPr>
          <w:color w:val="000000"/>
          <w:szCs w:val="24"/>
          <w:vertAlign w:val="superscript"/>
        </w:rPr>
        <w:t>3</w:t>
      </w:r>
      <w:r>
        <w:rPr>
          <w:color w:val="000000"/>
          <w:szCs w:val="24"/>
        </w:rPr>
        <w:t>，NO</w:t>
      </w:r>
      <w:r>
        <w:rPr>
          <w:rFonts w:hint="eastAsia"/>
          <w:color w:val="000000"/>
          <w:szCs w:val="24"/>
          <w:vertAlign w:val="subscript"/>
        </w:rPr>
        <w:t>X</w:t>
      </w:r>
      <w:r>
        <w:rPr>
          <w:color w:val="000000"/>
          <w:szCs w:val="24"/>
        </w:rPr>
        <w:t>排放浓度39mg/m</w:t>
      </w:r>
      <w:r>
        <w:rPr>
          <w:color w:val="000000"/>
          <w:szCs w:val="24"/>
          <w:vertAlign w:val="superscript"/>
        </w:rPr>
        <w:t>3</w:t>
      </w:r>
      <w:r>
        <w:rPr>
          <w:color w:val="000000"/>
          <w:szCs w:val="24"/>
        </w:rPr>
        <w:t>，能满足《锅炉大气污染物排放标准》（DB50/658-2016）重庆市地方标准第1号修改单表3标准（颗粒物排放浓度30g/m</w:t>
      </w:r>
      <w:r>
        <w:rPr>
          <w:color w:val="000000"/>
          <w:szCs w:val="24"/>
          <w:vertAlign w:val="superscript"/>
        </w:rPr>
        <w:t>3</w:t>
      </w:r>
      <w:r>
        <w:rPr>
          <w:color w:val="000000"/>
          <w:szCs w:val="24"/>
        </w:rPr>
        <w:t>，SO</w:t>
      </w:r>
      <w:r>
        <w:rPr>
          <w:color w:val="000000"/>
          <w:szCs w:val="24"/>
          <w:vertAlign w:val="subscript"/>
        </w:rPr>
        <w:t>2</w:t>
      </w:r>
      <w:r>
        <w:rPr>
          <w:color w:val="000000"/>
          <w:szCs w:val="24"/>
        </w:rPr>
        <w:t>排放浓度100mg/m</w:t>
      </w:r>
      <w:r>
        <w:rPr>
          <w:color w:val="000000"/>
          <w:szCs w:val="24"/>
          <w:vertAlign w:val="superscript"/>
        </w:rPr>
        <w:t>3</w:t>
      </w:r>
      <w:r>
        <w:rPr>
          <w:color w:val="000000"/>
          <w:szCs w:val="24"/>
        </w:rPr>
        <w:t>，NO</w:t>
      </w:r>
      <w:r>
        <w:rPr>
          <w:rFonts w:hint="eastAsia"/>
          <w:color w:val="000000"/>
          <w:szCs w:val="24"/>
          <w:vertAlign w:val="subscript"/>
        </w:rPr>
        <w:t>X</w:t>
      </w:r>
      <w:r>
        <w:rPr>
          <w:color w:val="000000"/>
          <w:szCs w:val="24"/>
        </w:rPr>
        <w:t>排放浓度50mg/m</w:t>
      </w:r>
      <w:r>
        <w:rPr>
          <w:color w:val="000000"/>
          <w:szCs w:val="24"/>
          <w:vertAlign w:val="superscript"/>
        </w:rPr>
        <w:t>3</w:t>
      </w:r>
      <w:r>
        <w:rPr>
          <w:color w:val="000000"/>
          <w:szCs w:val="24"/>
        </w:rPr>
        <w:t>）标准限值要求。厂界外硫化氢最大浓度0.01g/m</w:t>
      </w:r>
      <w:r>
        <w:rPr>
          <w:color w:val="000000"/>
          <w:szCs w:val="24"/>
          <w:vertAlign w:val="superscript"/>
        </w:rPr>
        <w:t>3</w:t>
      </w:r>
      <w:r>
        <w:rPr>
          <w:color w:val="000000"/>
          <w:szCs w:val="24"/>
        </w:rPr>
        <w:t>，满足《恶臭污染物排放标准》（GB14554-93）中表1二级新扩改建标准要求，非甲烷总烃最大排放浓度2.44g/m</w:t>
      </w:r>
      <w:r>
        <w:rPr>
          <w:color w:val="000000"/>
          <w:szCs w:val="24"/>
          <w:vertAlign w:val="superscript"/>
        </w:rPr>
        <w:t>3</w:t>
      </w:r>
      <w:r>
        <w:rPr>
          <w:color w:val="000000"/>
          <w:szCs w:val="24"/>
        </w:rPr>
        <w:t>，满足《大气污染物综合排放标准》（DB50/418-2016）表1标准限值要求。</w:t>
      </w:r>
    </w:p>
    <w:p w14:paraId="0B331790">
      <w:pPr>
        <w:ind w:firstLine="522"/>
        <w:rPr>
          <w:color w:val="000000"/>
          <w:szCs w:val="24"/>
        </w:rPr>
      </w:pPr>
      <w:r>
        <w:rPr>
          <w:color w:val="000000"/>
          <w:szCs w:val="24"/>
        </w:rPr>
        <w:t>（2）废水</w:t>
      </w:r>
    </w:p>
    <w:p w14:paraId="5DDF517F">
      <w:pPr>
        <w:ind w:firstLine="522"/>
        <w:rPr>
          <w:color w:val="000000"/>
          <w:szCs w:val="24"/>
        </w:rPr>
      </w:pPr>
      <w:r>
        <w:rPr>
          <w:color w:val="000000"/>
          <w:szCs w:val="24"/>
        </w:rPr>
        <w:t>据污水性质、处理要求、处理方法、污染程度的不同，遵循“清污分流、污污分治、雨污分流”的原则，目前全厂生产废水、生活污水分别经管道、污水池收集后，经泵提升合并后，经同一外排口输送至园区潘家污水处理厂集中处理。</w:t>
      </w:r>
    </w:p>
    <w:p w14:paraId="02CE0B8F">
      <w:pPr>
        <w:ind w:firstLine="522"/>
        <w:rPr>
          <w:color w:val="000000"/>
          <w:szCs w:val="24"/>
        </w:rPr>
      </w:pPr>
      <w:r>
        <w:rPr>
          <w:color w:val="000000"/>
          <w:szCs w:val="24"/>
        </w:rPr>
        <w:t>生产废水经重力由生产废水管道排入生产废水池，再由泵提升，在项目界区内与生活污水管道合并后输送至园区潘家坝污水处理厂统一处理。其中胺闪蒸罐废水定期委外处置。</w:t>
      </w:r>
    </w:p>
    <w:p w14:paraId="76D49A8E">
      <w:pPr>
        <w:ind w:firstLine="522"/>
        <w:rPr>
          <w:color w:val="000000"/>
          <w:szCs w:val="24"/>
        </w:rPr>
      </w:pPr>
      <w:r>
        <w:rPr>
          <w:color w:val="000000"/>
          <w:szCs w:val="24"/>
        </w:rPr>
        <w:t>生活污水：先经化粪池处理后再进入生活污水提升池，经泵提升后与收集的生产废水管道汇合后统一输送至园区潘家坝污水处理厂处理。</w:t>
      </w:r>
    </w:p>
    <w:p w14:paraId="4C15DC33">
      <w:pPr>
        <w:ind w:firstLine="522"/>
        <w:rPr>
          <w:color w:val="000000"/>
          <w:szCs w:val="24"/>
        </w:rPr>
      </w:pPr>
      <w:r>
        <w:rPr>
          <w:color w:val="000000"/>
          <w:szCs w:val="24"/>
        </w:rPr>
        <w:t>循环冷却水:循环冷却水排入雨水管网。</w:t>
      </w:r>
    </w:p>
    <w:p w14:paraId="1F6743A1">
      <w:pPr>
        <w:ind w:firstLine="522"/>
        <w:rPr>
          <w:color w:val="000000"/>
          <w:szCs w:val="24"/>
        </w:rPr>
      </w:pPr>
      <w:r>
        <w:rPr>
          <w:color w:val="000000"/>
          <w:szCs w:val="24"/>
        </w:rPr>
        <w:t>根据2021年企业自行监测报告（见附件8），该项目生产废水排放口W1中的PH、化学需氧量、悬浮物、动植物油、石油类均满足《污水综合排放标准》（GB8978-1996）表4中三级标准要求。总磷、总氮、氯化物满足《重庆市涪陵区拓源污水治理有限公司白涛化工园区潘家坝污水处理厂进水水质设计标准》；生活污水排放口W2中的PH、化学需氧量、悬浮物、动植物油、石油类均满足《污水综合排放标准》（GB8978-1996）表4中三级标准要求， 五日生化需氧量、总磷、总氮、氯化物满足《重庆市涪陵区拓源污水治理有限公司白涛化工园区潘家坝污水处理厂进水水质设计标准》要求。</w:t>
      </w:r>
    </w:p>
    <w:p w14:paraId="392566C7">
      <w:pPr>
        <w:ind w:firstLine="520"/>
        <w:rPr>
          <w:color w:val="000000"/>
          <w:szCs w:val="24"/>
        </w:rPr>
      </w:pPr>
      <w:r>
        <w:rPr>
          <w:color w:val="000000"/>
          <w:szCs w:val="24"/>
        </w:rPr>
        <w:t>（3）噪声</w:t>
      </w:r>
    </w:p>
    <w:p w14:paraId="55EB2A66">
      <w:pPr>
        <w:ind w:firstLine="520"/>
        <w:rPr>
          <w:color w:val="000000"/>
          <w:szCs w:val="24"/>
        </w:rPr>
      </w:pPr>
      <w:r>
        <w:rPr>
          <w:color w:val="000000"/>
          <w:szCs w:val="24"/>
        </w:rPr>
        <w:t>项目噪声主要来自各种泵类设备、制冷压缩机、循环水站、放空火炬噪声，噪声级范围75～100dB(A)，以及系统超压放空的偶发性高强声源，可达100dB（A）。为了减轻各类噪声对工人操作环境和周围声环境影响，根据各类噪声的声源特征，设置了以下噪声防治措施：</w:t>
      </w:r>
    </w:p>
    <w:p w14:paraId="7CD1694D">
      <w:pPr>
        <w:ind w:firstLine="520"/>
        <w:rPr>
          <w:color w:val="000000"/>
          <w:szCs w:val="24"/>
        </w:rPr>
      </w:pPr>
      <w:r>
        <w:rPr>
          <w:color w:val="000000"/>
          <w:szCs w:val="24"/>
        </w:rPr>
        <w:t>①在放空火炬出口加装消音器和消声风道，水泵出入口处装</w:t>
      </w:r>
      <w:r>
        <w:rPr>
          <w:rFonts w:hint="eastAsia"/>
          <w:color w:val="000000"/>
          <w:szCs w:val="24"/>
        </w:rPr>
        <w:t>避震</w:t>
      </w:r>
      <w:r>
        <w:rPr>
          <w:color w:val="000000"/>
          <w:szCs w:val="24"/>
        </w:rPr>
        <w:t>喉，降低噪声传播，在安装高噪设备时应加</w:t>
      </w:r>
      <w:r>
        <w:rPr>
          <w:rFonts w:hint="eastAsia"/>
          <w:color w:val="000000"/>
          <w:szCs w:val="24"/>
        </w:rPr>
        <w:t>防震</w:t>
      </w:r>
      <w:r>
        <w:rPr>
          <w:color w:val="000000"/>
          <w:szCs w:val="24"/>
        </w:rPr>
        <w:t>设施，降低设备噪声对厂界环境的影响。</w:t>
      </w:r>
    </w:p>
    <w:p w14:paraId="7B378D62">
      <w:pPr>
        <w:ind w:firstLine="520"/>
        <w:rPr>
          <w:color w:val="000000"/>
          <w:szCs w:val="24"/>
        </w:rPr>
      </w:pPr>
      <w:r>
        <w:rPr>
          <w:color w:val="000000"/>
          <w:szCs w:val="24"/>
        </w:rPr>
        <w:t>②充分利用厂内建筑物的隔声作用，以减轻各类声源对周围环境的影响。</w:t>
      </w:r>
    </w:p>
    <w:p w14:paraId="34984F73">
      <w:pPr>
        <w:ind w:firstLine="520"/>
        <w:rPr>
          <w:color w:val="000000"/>
          <w:szCs w:val="24"/>
        </w:rPr>
      </w:pPr>
      <w:r>
        <w:rPr>
          <w:color w:val="000000"/>
          <w:szCs w:val="24"/>
        </w:rPr>
        <w:t>③货物运输车辆应配备低音喇叭，在厂区门前做到不鸣或少鸣笛，以减轻交通噪声对周围环境的影响。</w:t>
      </w:r>
    </w:p>
    <w:p w14:paraId="76AF6732">
      <w:pPr>
        <w:ind w:firstLine="520"/>
        <w:rPr>
          <w:color w:val="000000"/>
          <w:szCs w:val="24"/>
        </w:rPr>
      </w:pPr>
      <w:r>
        <w:rPr>
          <w:color w:val="000000"/>
          <w:szCs w:val="24"/>
        </w:rPr>
        <w:t>④在引进设备中，在满足工艺要求的前提下应尽量采用低噪声设备，设备安装中基础做减振处理。</w:t>
      </w:r>
    </w:p>
    <w:p w14:paraId="47ED729C">
      <w:pPr>
        <w:ind w:firstLine="520"/>
        <w:rPr>
          <w:color w:val="000000"/>
          <w:szCs w:val="24"/>
        </w:rPr>
      </w:pPr>
      <w:r>
        <w:rPr>
          <w:color w:val="000000"/>
          <w:szCs w:val="24"/>
        </w:rPr>
        <w:t>⑤加强厂区周围及噪声源周围的绿化工作。</w:t>
      </w:r>
    </w:p>
    <w:p w14:paraId="28F93ABB">
      <w:pPr>
        <w:ind w:firstLine="520"/>
        <w:rPr>
          <w:color w:val="000000"/>
          <w:szCs w:val="24"/>
        </w:rPr>
      </w:pPr>
      <w:r>
        <w:rPr>
          <w:color w:val="000000"/>
          <w:szCs w:val="24"/>
        </w:rPr>
        <w:t>根据2021年自行监测报告（见附件8），厂界东、西、南、北各厂界均满足《工业企业厂界环境噪声排放标准》（GB12348-2008）3类区标准要求。未发生噪声扰民现象。</w:t>
      </w:r>
    </w:p>
    <w:p w14:paraId="4D758E0E">
      <w:pPr>
        <w:ind w:firstLine="520"/>
        <w:rPr>
          <w:color w:val="000000"/>
          <w:szCs w:val="24"/>
        </w:rPr>
      </w:pPr>
      <w:r>
        <w:rPr>
          <w:color w:val="000000"/>
          <w:szCs w:val="24"/>
        </w:rPr>
        <w:t>（4）固废</w:t>
      </w:r>
    </w:p>
    <w:p w14:paraId="06356CC4">
      <w:pPr>
        <w:ind w:firstLine="520"/>
        <w:rPr>
          <w:color w:val="000000"/>
          <w:szCs w:val="24"/>
        </w:rPr>
      </w:pPr>
      <w:r>
        <w:rPr>
          <w:color w:val="000000"/>
          <w:szCs w:val="24"/>
        </w:rPr>
        <w:t>项目营运期一般固废主要为干燥器废分子筛、制冷剂干燥产生的废分子筛，交由回收单位进行处置。项目危险废物主要包括贫胺过滤器活性炭吸附剂、脱汞塔废吸附剂、实验室废液、胺闪蒸罐污泥、废机油桶、废药剂桶、废润滑油、废矿物油等，外委危废资质的单位进行处置。由于部分危废产生周期较长（一般3-4年），企业尚未产生贫胺过滤器活性炭吸附剂、脱汞塔废吸附剂、胺闪蒸罐污泥，因此，这些危废将在产生前3个月再与有资质单位签订处理协议。实验室废液、废机油桶、废药剂桶、废润滑油、废矿物油已与危废单位签订协议，定期交于危废资质单位处理。</w:t>
      </w:r>
    </w:p>
    <w:p w14:paraId="785D9BA2">
      <w:pPr>
        <w:ind w:firstLine="520"/>
        <w:rPr>
          <w:color w:val="000000"/>
          <w:szCs w:val="24"/>
        </w:rPr>
      </w:pPr>
      <w:r>
        <w:rPr>
          <w:color w:val="000000"/>
          <w:szCs w:val="24"/>
        </w:rPr>
        <w:t>（5）环境风险</w:t>
      </w:r>
    </w:p>
    <w:p w14:paraId="18641633">
      <w:pPr>
        <w:widowControl w:val="0"/>
        <w:ind w:firstLine="480" w:firstLineChars="200"/>
        <w:rPr>
          <w:color w:val="000000"/>
          <w:szCs w:val="24"/>
        </w:rPr>
      </w:pPr>
      <w:r>
        <w:rPr>
          <w:color w:val="000000"/>
          <w:szCs w:val="24"/>
        </w:rPr>
        <w:t>项目</w:t>
      </w:r>
      <w:r>
        <w:rPr>
          <w:color w:val="000000"/>
        </w:rPr>
        <w:t>LNG储罐为</w:t>
      </w:r>
      <w:r>
        <w:rPr>
          <w:color w:val="000000"/>
          <w:szCs w:val="24"/>
        </w:rPr>
        <w:t>重大危险源</w:t>
      </w:r>
      <w:r>
        <w:rPr>
          <w:color w:val="000000"/>
        </w:rPr>
        <w:t>，</w:t>
      </w:r>
      <w:r>
        <w:rPr>
          <w:color w:val="000000"/>
          <w:szCs w:val="24"/>
        </w:rPr>
        <w:t>建设单位结合LNG工厂情况设立了</w:t>
      </w:r>
      <w:r>
        <w:rPr>
          <w:rFonts w:hint="eastAsia"/>
          <w:color w:val="000000"/>
          <w:szCs w:val="24"/>
          <w:lang w:eastAsia="zh-CN"/>
        </w:rPr>
        <w:t>安全</w:t>
      </w:r>
      <w:r>
        <w:rPr>
          <w:color w:val="000000"/>
          <w:szCs w:val="24"/>
        </w:rPr>
        <w:t>质量部为安全环保管理机构，公司总经理是环境保护管理工作的主要负责人，负责全公司环境保护工作的部署。</w:t>
      </w:r>
      <w:r>
        <w:rPr>
          <w:rFonts w:hint="eastAsia"/>
          <w:color w:val="000000"/>
          <w:szCs w:val="24"/>
        </w:rPr>
        <w:t>厂区设有围堰、防火堤、初期雨水收集池、事故池以及各种应急物资装备等防范风险事故，2021年</w:t>
      </w:r>
      <w:r>
        <w:rPr>
          <w:color w:val="000000"/>
          <w:szCs w:val="24"/>
        </w:rPr>
        <w:t>建设单位委托有资质单位编制了环境风险评价报告和环境风险应急预案，并报重庆市涪陵区环境保护局备案（环境风险评价报告备案编号：5001022021050003；突发环境事件应急预案备案编号：500102-2021-020-M）。并针对LNG 储罐制定了泄漏爆炸专项应急预案。</w:t>
      </w:r>
    </w:p>
    <w:p w14:paraId="26044639">
      <w:pPr>
        <w:pStyle w:val="8"/>
        <w:spacing w:beforeLines="0" w:afterLines="0" w:line="360" w:lineRule="auto"/>
        <w:rPr>
          <w:color w:val="000000"/>
          <w:sz w:val="24"/>
          <w:szCs w:val="24"/>
        </w:rPr>
      </w:pPr>
      <w:bookmarkStart w:id="205" w:name="_Toc1460"/>
      <w:r>
        <w:rPr>
          <w:color w:val="000000"/>
          <w:sz w:val="24"/>
          <w:szCs w:val="24"/>
        </w:rPr>
        <w:t>2.3.4现有工程污染物排放汇总表</w:t>
      </w:r>
      <w:bookmarkEnd w:id="205"/>
    </w:p>
    <w:p w14:paraId="061C60AE">
      <w:pPr>
        <w:jc w:val="both"/>
        <w:rPr>
          <w:color w:val="000000"/>
        </w:rPr>
      </w:pPr>
      <w:r>
        <w:rPr>
          <w:color w:val="000000"/>
        </w:rPr>
        <w:t xml:space="preserve">   现有工程污染物排放情况见表2.3.4-1。</w:t>
      </w:r>
    </w:p>
    <w:p w14:paraId="7CBD5F2A">
      <w:pPr>
        <w:ind w:firstLine="480" w:firstLineChars="200"/>
        <w:jc w:val="center"/>
        <w:rPr>
          <w:color w:val="000000"/>
        </w:rPr>
      </w:pPr>
      <w:r>
        <w:rPr>
          <w:color w:val="000000"/>
        </w:rPr>
        <w:t>表2.3.4-1现有工程污染物排放情况表</w:t>
      </w:r>
    </w:p>
    <w:tbl>
      <w:tblPr>
        <w:tblStyle w:val="73"/>
        <w:tblW w:w="5118" w:type="pct"/>
        <w:tblInd w:w="0"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1206"/>
        <w:gridCol w:w="671"/>
        <w:gridCol w:w="1617"/>
        <w:gridCol w:w="1168"/>
        <w:gridCol w:w="1107"/>
        <w:gridCol w:w="1107"/>
        <w:gridCol w:w="1070"/>
        <w:gridCol w:w="901"/>
      </w:tblGrid>
      <w:tr w14:paraId="0695E5C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878" w:type="pct"/>
            <w:gridSpan w:val="2"/>
            <w:tcBorders>
              <w:tl2br w:val="nil"/>
              <w:tr2bl w:val="nil"/>
            </w:tcBorders>
            <w:vAlign w:val="center"/>
          </w:tcPr>
          <w:p w14:paraId="003BE90E">
            <w:pPr>
              <w:pStyle w:val="2191"/>
              <w:rPr>
                <w:color w:val="000000"/>
                <w:szCs w:val="21"/>
              </w:rPr>
            </w:pPr>
            <w:r>
              <w:rPr>
                <w:color w:val="000000"/>
                <w:szCs w:val="21"/>
              </w:rPr>
              <w:t>污染源</w:t>
            </w:r>
          </w:p>
        </w:tc>
        <w:tc>
          <w:tcPr>
            <w:tcW w:w="361" w:type="pct"/>
            <w:tcBorders>
              <w:tl2br w:val="nil"/>
              <w:tr2bl w:val="nil"/>
            </w:tcBorders>
            <w:vAlign w:val="center"/>
          </w:tcPr>
          <w:p w14:paraId="6F33C3A4">
            <w:pPr>
              <w:pStyle w:val="2191"/>
              <w:rPr>
                <w:color w:val="000000"/>
                <w:szCs w:val="21"/>
              </w:rPr>
            </w:pPr>
            <w:r>
              <w:rPr>
                <w:color w:val="000000"/>
                <w:szCs w:val="21"/>
              </w:rPr>
              <w:t>类型</w:t>
            </w:r>
          </w:p>
        </w:tc>
        <w:tc>
          <w:tcPr>
            <w:tcW w:w="871" w:type="pct"/>
            <w:tcBorders>
              <w:tl2br w:val="nil"/>
              <w:tr2bl w:val="nil"/>
            </w:tcBorders>
            <w:vAlign w:val="center"/>
          </w:tcPr>
          <w:p w14:paraId="5BBCE794">
            <w:pPr>
              <w:pStyle w:val="2191"/>
              <w:rPr>
                <w:color w:val="000000"/>
                <w:szCs w:val="21"/>
              </w:rPr>
            </w:pPr>
            <w:r>
              <w:rPr>
                <w:color w:val="000000"/>
                <w:szCs w:val="21"/>
              </w:rPr>
              <w:t>污染物</w:t>
            </w:r>
          </w:p>
        </w:tc>
        <w:tc>
          <w:tcPr>
            <w:tcW w:w="629" w:type="pct"/>
            <w:tcBorders>
              <w:tl2br w:val="nil"/>
              <w:tr2bl w:val="nil"/>
            </w:tcBorders>
            <w:vAlign w:val="center"/>
          </w:tcPr>
          <w:p w14:paraId="180564DE">
            <w:pPr>
              <w:pStyle w:val="2191"/>
              <w:rPr>
                <w:color w:val="000000"/>
                <w:szCs w:val="21"/>
              </w:rPr>
            </w:pPr>
            <w:r>
              <w:rPr>
                <w:color w:val="000000"/>
                <w:szCs w:val="21"/>
              </w:rPr>
              <w:t>现有工程排放量t/a</w:t>
            </w:r>
          </w:p>
        </w:tc>
        <w:tc>
          <w:tcPr>
            <w:tcW w:w="597" w:type="pct"/>
            <w:tcBorders>
              <w:tl2br w:val="nil"/>
              <w:tr2bl w:val="nil"/>
            </w:tcBorders>
            <w:vAlign w:val="center"/>
          </w:tcPr>
          <w:p w14:paraId="100BC37E">
            <w:pPr>
              <w:pStyle w:val="2191"/>
              <w:jc w:val="both"/>
              <w:rPr>
                <w:color w:val="000000"/>
                <w:szCs w:val="21"/>
              </w:rPr>
            </w:pPr>
            <w:r>
              <w:rPr>
                <w:color w:val="000000"/>
                <w:szCs w:val="21"/>
              </w:rPr>
              <w:t>环评批复量t/a</w:t>
            </w:r>
          </w:p>
        </w:tc>
        <w:tc>
          <w:tcPr>
            <w:tcW w:w="597" w:type="pct"/>
            <w:tcBorders>
              <w:tl2br w:val="nil"/>
              <w:tr2bl w:val="nil"/>
            </w:tcBorders>
            <w:vAlign w:val="center"/>
          </w:tcPr>
          <w:p w14:paraId="5AFAEB9E">
            <w:pPr>
              <w:pStyle w:val="2191"/>
              <w:rPr>
                <w:color w:val="000000"/>
                <w:szCs w:val="21"/>
              </w:rPr>
            </w:pPr>
            <w:r>
              <w:rPr>
                <w:color w:val="000000"/>
                <w:szCs w:val="21"/>
              </w:rPr>
              <w:t>现有工程排放浓度</w:t>
            </w:r>
          </w:p>
        </w:tc>
        <w:tc>
          <w:tcPr>
            <w:tcW w:w="577" w:type="pct"/>
            <w:tcBorders>
              <w:tl2br w:val="nil"/>
              <w:tr2bl w:val="nil"/>
            </w:tcBorders>
            <w:vAlign w:val="center"/>
          </w:tcPr>
          <w:p w14:paraId="106B3C6E">
            <w:pPr>
              <w:pStyle w:val="2191"/>
              <w:jc w:val="both"/>
              <w:rPr>
                <w:color w:val="000000"/>
                <w:szCs w:val="21"/>
              </w:rPr>
            </w:pPr>
            <w:r>
              <w:rPr>
                <w:color w:val="000000"/>
                <w:szCs w:val="21"/>
              </w:rPr>
              <w:t>执行标准值</w:t>
            </w:r>
          </w:p>
        </w:tc>
        <w:tc>
          <w:tcPr>
            <w:tcW w:w="485" w:type="pct"/>
            <w:tcBorders>
              <w:tl2br w:val="nil"/>
              <w:tr2bl w:val="nil"/>
            </w:tcBorders>
            <w:vAlign w:val="center"/>
          </w:tcPr>
          <w:p w14:paraId="148FBF7D">
            <w:pPr>
              <w:pStyle w:val="2191"/>
              <w:jc w:val="both"/>
              <w:rPr>
                <w:color w:val="000000"/>
                <w:szCs w:val="21"/>
              </w:rPr>
            </w:pPr>
            <w:r>
              <w:rPr>
                <w:color w:val="000000"/>
                <w:szCs w:val="21"/>
              </w:rPr>
              <w:t>达标情况</w:t>
            </w:r>
          </w:p>
        </w:tc>
      </w:tr>
      <w:tr w14:paraId="5DA4F15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29" w:type="pct"/>
            <w:vMerge w:val="restart"/>
            <w:tcBorders>
              <w:tl2br w:val="nil"/>
              <w:tr2bl w:val="nil"/>
            </w:tcBorders>
            <w:vAlign w:val="center"/>
          </w:tcPr>
          <w:p w14:paraId="7A7BB68D">
            <w:pPr>
              <w:pStyle w:val="2191"/>
              <w:rPr>
                <w:color w:val="000000"/>
                <w:szCs w:val="21"/>
              </w:rPr>
            </w:pPr>
            <w:r>
              <w:rPr>
                <w:color w:val="000000"/>
                <w:szCs w:val="21"/>
              </w:rPr>
              <w:t>废气</w:t>
            </w:r>
          </w:p>
        </w:tc>
        <w:tc>
          <w:tcPr>
            <w:tcW w:w="648" w:type="pct"/>
            <w:tcBorders>
              <w:tl2br w:val="nil"/>
              <w:tr2bl w:val="nil"/>
            </w:tcBorders>
            <w:vAlign w:val="center"/>
          </w:tcPr>
          <w:p w14:paraId="6F266E49">
            <w:pPr>
              <w:spacing w:line="320" w:lineRule="exact"/>
              <w:jc w:val="center"/>
              <w:rPr>
                <w:color w:val="000000"/>
                <w:sz w:val="21"/>
              </w:rPr>
            </w:pPr>
            <w:r>
              <w:rPr>
                <w:color w:val="000000"/>
                <w:spacing w:val="24"/>
                <w:sz w:val="21"/>
              </w:rPr>
              <w:t>胺闪蒸罐废气</w:t>
            </w:r>
          </w:p>
        </w:tc>
        <w:tc>
          <w:tcPr>
            <w:tcW w:w="361" w:type="pct"/>
            <w:tcBorders>
              <w:tl2br w:val="nil"/>
              <w:tr2bl w:val="nil"/>
            </w:tcBorders>
            <w:vAlign w:val="center"/>
          </w:tcPr>
          <w:p w14:paraId="45F52F28">
            <w:pPr>
              <w:pStyle w:val="2191"/>
              <w:rPr>
                <w:color w:val="000000"/>
                <w:szCs w:val="21"/>
              </w:rPr>
            </w:pPr>
            <w:r>
              <w:rPr>
                <w:color w:val="000000"/>
                <w:szCs w:val="21"/>
              </w:rPr>
              <w:t>有组织</w:t>
            </w:r>
          </w:p>
        </w:tc>
        <w:tc>
          <w:tcPr>
            <w:tcW w:w="871" w:type="pct"/>
            <w:tcBorders>
              <w:tl2br w:val="nil"/>
              <w:tr2bl w:val="nil"/>
            </w:tcBorders>
            <w:vAlign w:val="center"/>
          </w:tcPr>
          <w:p w14:paraId="2579EE26">
            <w:pPr>
              <w:spacing w:line="320" w:lineRule="exact"/>
              <w:jc w:val="center"/>
              <w:rPr>
                <w:color w:val="000000"/>
                <w:sz w:val="21"/>
              </w:rPr>
            </w:pPr>
            <w:r>
              <w:rPr>
                <w:color w:val="000000"/>
                <w:sz w:val="21"/>
              </w:rPr>
              <w:t>H</w:t>
            </w:r>
            <w:r>
              <w:rPr>
                <w:color w:val="000000"/>
                <w:sz w:val="21"/>
                <w:vertAlign w:val="subscript"/>
              </w:rPr>
              <w:t>2</w:t>
            </w:r>
            <w:r>
              <w:rPr>
                <w:color w:val="000000"/>
                <w:sz w:val="21"/>
              </w:rPr>
              <w:t>S</w:t>
            </w:r>
          </w:p>
        </w:tc>
        <w:tc>
          <w:tcPr>
            <w:tcW w:w="629" w:type="pct"/>
            <w:tcBorders>
              <w:tl2br w:val="nil"/>
              <w:tr2bl w:val="nil"/>
            </w:tcBorders>
            <w:vAlign w:val="center"/>
          </w:tcPr>
          <w:p w14:paraId="0357E22F">
            <w:pPr>
              <w:jc w:val="center"/>
              <w:textAlignment w:val="center"/>
              <w:rPr>
                <w:color w:val="000000"/>
                <w:sz w:val="21"/>
              </w:rPr>
            </w:pPr>
            <w:r>
              <w:rPr>
                <w:color w:val="000000"/>
                <w:sz w:val="21"/>
              </w:rPr>
              <w:t>少量</w:t>
            </w:r>
          </w:p>
        </w:tc>
        <w:tc>
          <w:tcPr>
            <w:tcW w:w="597" w:type="pct"/>
            <w:tcBorders>
              <w:tl2br w:val="nil"/>
              <w:tr2bl w:val="nil"/>
            </w:tcBorders>
            <w:vAlign w:val="center"/>
          </w:tcPr>
          <w:p w14:paraId="1E769CFE">
            <w:pPr>
              <w:jc w:val="center"/>
              <w:textAlignment w:val="center"/>
              <w:rPr>
                <w:color w:val="000000"/>
                <w:sz w:val="21"/>
              </w:rPr>
            </w:pPr>
            <w:r>
              <w:rPr>
                <w:color w:val="000000"/>
                <w:kern w:val="0"/>
                <w:sz w:val="21"/>
              </w:rPr>
              <w:t>/</w:t>
            </w:r>
          </w:p>
        </w:tc>
        <w:tc>
          <w:tcPr>
            <w:tcW w:w="597" w:type="pct"/>
            <w:tcBorders>
              <w:tl2br w:val="nil"/>
              <w:tr2bl w:val="nil"/>
            </w:tcBorders>
            <w:vAlign w:val="center"/>
          </w:tcPr>
          <w:p w14:paraId="6C72916F">
            <w:pPr>
              <w:jc w:val="center"/>
              <w:textAlignment w:val="center"/>
              <w:rPr>
                <w:color w:val="000000"/>
                <w:sz w:val="21"/>
              </w:rPr>
            </w:pPr>
            <w:r>
              <w:rPr>
                <w:color w:val="000000"/>
                <w:sz w:val="21"/>
              </w:rPr>
              <w:t>2.69mg/m</w:t>
            </w:r>
            <w:r>
              <w:rPr>
                <w:color w:val="000000"/>
                <w:sz w:val="21"/>
                <w:vertAlign w:val="superscript"/>
              </w:rPr>
              <w:t>3</w:t>
            </w:r>
          </w:p>
        </w:tc>
        <w:tc>
          <w:tcPr>
            <w:tcW w:w="577" w:type="pct"/>
            <w:tcBorders>
              <w:tl2br w:val="nil"/>
              <w:tr2bl w:val="nil"/>
            </w:tcBorders>
            <w:vAlign w:val="center"/>
          </w:tcPr>
          <w:p w14:paraId="4CEA980C">
            <w:pPr>
              <w:jc w:val="center"/>
              <w:textAlignment w:val="center"/>
              <w:rPr>
                <w:color w:val="000000"/>
                <w:kern w:val="0"/>
                <w:sz w:val="21"/>
              </w:rPr>
            </w:pPr>
            <w:r>
              <w:rPr>
                <w:color w:val="000000"/>
                <w:kern w:val="0"/>
                <w:sz w:val="21"/>
              </w:rPr>
              <w:t>/</w:t>
            </w:r>
          </w:p>
        </w:tc>
        <w:tc>
          <w:tcPr>
            <w:tcW w:w="485" w:type="pct"/>
            <w:tcBorders>
              <w:tl2br w:val="nil"/>
              <w:tr2bl w:val="nil"/>
            </w:tcBorders>
            <w:vAlign w:val="center"/>
          </w:tcPr>
          <w:p w14:paraId="380041D3">
            <w:pPr>
              <w:jc w:val="center"/>
              <w:textAlignment w:val="center"/>
              <w:rPr>
                <w:color w:val="000000"/>
                <w:kern w:val="0"/>
                <w:sz w:val="21"/>
              </w:rPr>
            </w:pPr>
            <w:r>
              <w:rPr>
                <w:color w:val="000000"/>
                <w:kern w:val="0"/>
                <w:sz w:val="21"/>
              </w:rPr>
              <w:t>/</w:t>
            </w:r>
          </w:p>
        </w:tc>
      </w:tr>
      <w:tr w14:paraId="040BFE1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229" w:type="pct"/>
            <w:vMerge w:val="continue"/>
            <w:tcBorders>
              <w:tl2br w:val="nil"/>
              <w:tr2bl w:val="nil"/>
            </w:tcBorders>
            <w:vAlign w:val="center"/>
          </w:tcPr>
          <w:p w14:paraId="7E13E0B9">
            <w:pPr>
              <w:pStyle w:val="2191"/>
              <w:rPr>
                <w:color w:val="000000"/>
                <w:szCs w:val="21"/>
              </w:rPr>
            </w:pPr>
          </w:p>
        </w:tc>
        <w:tc>
          <w:tcPr>
            <w:tcW w:w="648" w:type="pct"/>
            <w:vMerge w:val="restart"/>
            <w:tcBorders>
              <w:tl2br w:val="nil"/>
              <w:tr2bl w:val="nil"/>
            </w:tcBorders>
            <w:vAlign w:val="center"/>
          </w:tcPr>
          <w:p w14:paraId="17A2735B">
            <w:pPr>
              <w:spacing w:line="320" w:lineRule="exact"/>
              <w:jc w:val="center"/>
              <w:rPr>
                <w:color w:val="000000"/>
                <w:sz w:val="21"/>
              </w:rPr>
            </w:pPr>
            <w:r>
              <w:rPr>
                <w:color w:val="000000"/>
                <w:spacing w:val="24"/>
                <w:sz w:val="21"/>
              </w:rPr>
              <w:t>导热油炉</w:t>
            </w:r>
          </w:p>
        </w:tc>
        <w:tc>
          <w:tcPr>
            <w:tcW w:w="361" w:type="pct"/>
            <w:vMerge w:val="restart"/>
            <w:tcBorders>
              <w:tl2br w:val="nil"/>
              <w:tr2bl w:val="nil"/>
            </w:tcBorders>
            <w:vAlign w:val="center"/>
          </w:tcPr>
          <w:p w14:paraId="2410592D">
            <w:pPr>
              <w:spacing w:line="240" w:lineRule="auto"/>
              <w:jc w:val="center"/>
              <w:rPr>
                <w:color w:val="000000"/>
              </w:rPr>
            </w:pPr>
            <w:r>
              <w:rPr>
                <w:color w:val="000000"/>
                <w:sz w:val="21"/>
              </w:rPr>
              <w:t>有组织</w:t>
            </w:r>
          </w:p>
        </w:tc>
        <w:tc>
          <w:tcPr>
            <w:tcW w:w="871" w:type="pct"/>
            <w:tcBorders>
              <w:tl2br w:val="nil"/>
              <w:tr2bl w:val="nil"/>
            </w:tcBorders>
            <w:vAlign w:val="center"/>
          </w:tcPr>
          <w:p w14:paraId="2381A539">
            <w:pPr>
              <w:pStyle w:val="409"/>
              <w:spacing w:line="320" w:lineRule="exact"/>
              <w:jc w:val="center"/>
              <w:rPr>
                <w:rFonts w:ascii="Times New Roman" w:hAnsi="Times New Roman" w:eastAsia="宋体"/>
                <w:color w:val="000000"/>
              </w:rPr>
            </w:pPr>
            <w:r>
              <w:rPr>
                <w:rFonts w:ascii="Times New Roman" w:hAnsi="Times New Roman" w:eastAsia="宋体"/>
                <w:color w:val="000000"/>
              </w:rPr>
              <w:t>颗粒物</w:t>
            </w:r>
          </w:p>
        </w:tc>
        <w:tc>
          <w:tcPr>
            <w:tcW w:w="629" w:type="pct"/>
            <w:tcBorders>
              <w:tl2br w:val="nil"/>
              <w:tr2bl w:val="nil"/>
            </w:tcBorders>
            <w:vAlign w:val="center"/>
          </w:tcPr>
          <w:p w14:paraId="3D88E950">
            <w:pPr>
              <w:spacing w:line="320" w:lineRule="exact"/>
              <w:jc w:val="center"/>
              <w:rPr>
                <w:color w:val="000000"/>
                <w:spacing w:val="24"/>
                <w:sz w:val="21"/>
              </w:rPr>
            </w:pPr>
            <w:r>
              <w:rPr>
                <w:color w:val="000000"/>
                <w:spacing w:val="24"/>
                <w:sz w:val="21"/>
              </w:rPr>
              <w:t>0.209</w:t>
            </w:r>
          </w:p>
        </w:tc>
        <w:tc>
          <w:tcPr>
            <w:tcW w:w="597" w:type="pct"/>
            <w:tcBorders>
              <w:tl2br w:val="nil"/>
              <w:tr2bl w:val="nil"/>
            </w:tcBorders>
            <w:vAlign w:val="center"/>
          </w:tcPr>
          <w:p w14:paraId="7F33A652">
            <w:pPr>
              <w:spacing w:line="320" w:lineRule="exact"/>
              <w:jc w:val="center"/>
              <w:rPr>
                <w:color w:val="000000"/>
                <w:sz w:val="21"/>
              </w:rPr>
            </w:pPr>
            <w:r>
              <w:rPr>
                <w:rFonts w:hint="eastAsia"/>
                <w:color w:val="000000"/>
                <w:sz w:val="21"/>
              </w:rPr>
              <w:t>/</w:t>
            </w:r>
          </w:p>
        </w:tc>
        <w:tc>
          <w:tcPr>
            <w:tcW w:w="597" w:type="pct"/>
            <w:tcBorders>
              <w:tl2br w:val="nil"/>
              <w:tr2bl w:val="nil"/>
            </w:tcBorders>
            <w:vAlign w:val="center"/>
          </w:tcPr>
          <w:p w14:paraId="40B713C7">
            <w:pPr>
              <w:spacing w:line="320" w:lineRule="exact"/>
              <w:jc w:val="center"/>
              <w:rPr>
                <w:color w:val="000000"/>
                <w:sz w:val="21"/>
              </w:rPr>
            </w:pPr>
            <w:r>
              <w:rPr>
                <w:color w:val="000000"/>
                <w:sz w:val="21"/>
              </w:rPr>
              <w:t>9.4mg/m</w:t>
            </w:r>
            <w:r>
              <w:rPr>
                <w:color w:val="000000"/>
                <w:sz w:val="21"/>
                <w:vertAlign w:val="superscript"/>
              </w:rPr>
              <w:t>3</w:t>
            </w:r>
          </w:p>
        </w:tc>
        <w:tc>
          <w:tcPr>
            <w:tcW w:w="577" w:type="pct"/>
            <w:tcBorders>
              <w:tl2br w:val="nil"/>
              <w:tr2bl w:val="nil"/>
            </w:tcBorders>
            <w:vAlign w:val="center"/>
          </w:tcPr>
          <w:p w14:paraId="056C4717">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30mg/m</w:t>
            </w:r>
            <w:r>
              <w:rPr>
                <w:rFonts w:ascii="Times New Roman" w:hAnsi="Times New Roman"/>
                <w:color w:val="000000"/>
                <w:kern w:val="2"/>
                <w:sz w:val="21"/>
                <w:szCs w:val="21"/>
                <w:vertAlign w:val="superscript"/>
              </w:rPr>
              <w:t>3</w:t>
            </w:r>
          </w:p>
        </w:tc>
        <w:tc>
          <w:tcPr>
            <w:tcW w:w="485" w:type="pct"/>
            <w:tcBorders>
              <w:tl2br w:val="nil"/>
              <w:tr2bl w:val="nil"/>
            </w:tcBorders>
            <w:vAlign w:val="center"/>
          </w:tcPr>
          <w:p w14:paraId="0E12CB11">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达标</w:t>
            </w:r>
          </w:p>
        </w:tc>
      </w:tr>
      <w:tr w14:paraId="5F14200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229" w:type="pct"/>
            <w:vMerge w:val="continue"/>
            <w:tcBorders>
              <w:tl2br w:val="nil"/>
              <w:tr2bl w:val="nil"/>
            </w:tcBorders>
            <w:vAlign w:val="center"/>
          </w:tcPr>
          <w:p w14:paraId="78B9802C">
            <w:pPr>
              <w:pStyle w:val="2191"/>
              <w:rPr>
                <w:color w:val="000000"/>
                <w:szCs w:val="21"/>
              </w:rPr>
            </w:pPr>
          </w:p>
        </w:tc>
        <w:tc>
          <w:tcPr>
            <w:tcW w:w="648" w:type="pct"/>
            <w:vMerge w:val="continue"/>
            <w:tcBorders>
              <w:tl2br w:val="nil"/>
              <w:tr2bl w:val="nil"/>
            </w:tcBorders>
            <w:vAlign w:val="center"/>
          </w:tcPr>
          <w:p w14:paraId="073F6385">
            <w:pPr>
              <w:spacing w:line="320" w:lineRule="exact"/>
              <w:jc w:val="center"/>
              <w:rPr>
                <w:color w:val="000000"/>
                <w:spacing w:val="24"/>
                <w:sz w:val="21"/>
              </w:rPr>
            </w:pPr>
          </w:p>
        </w:tc>
        <w:tc>
          <w:tcPr>
            <w:tcW w:w="361" w:type="pct"/>
            <w:vMerge w:val="continue"/>
            <w:tcBorders>
              <w:tl2br w:val="nil"/>
              <w:tr2bl w:val="nil"/>
            </w:tcBorders>
            <w:vAlign w:val="center"/>
          </w:tcPr>
          <w:p w14:paraId="1F6DBF12">
            <w:pPr>
              <w:spacing w:line="240" w:lineRule="auto"/>
              <w:jc w:val="center"/>
              <w:rPr>
                <w:color w:val="000000"/>
                <w:sz w:val="21"/>
              </w:rPr>
            </w:pPr>
          </w:p>
        </w:tc>
        <w:tc>
          <w:tcPr>
            <w:tcW w:w="871" w:type="pct"/>
            <w:tcBorders>
              <w:tl2br w:val="nil"/>
              <w:tr2bl w:val="nil"/>
            </w:tcBorders>
            <w:vAlign w:val="center"/>
          </w:tcPr>
          <w:p w14:paraId="56F03D06">
            <w:pPr>
              <w:pStyle w:val="409"/>
              <w:spacing w:line="320" w:lineRule="exact"/>
              <w:jc w:val="center"/>
              <w:rPr>
                <w:rFonts w:ascii="Times New Roman" w:hAnsi="Times New Roman" w:eastAsia="宋体"/>
                <w:color w:val="000000"/>
              </w:rPr>
            </w:pPr>
            <w:r>
              <w:rPr>
                <w:rFonts w:ascii="Times New Roman" w:hAnsi="Times New Roman" w:eastAsia="宋体"/>
                <w:color w:val="000000"/>
              </w:rPr>
              <w:t>NO</w:t>
            </w:r>
            <w:r>
              <w:rPr>
                <w:rFonts w:hint="eastAsia" w:ascii="Times New Roman" w:hAnsi="Times New Roman" w:eastAsia="宋体"/>
                <w:color w:val="000000"/>
                <w:sz w:val="24"/>
                <w:szCs w:val="24"/>
                <w:vertAlign w:val="subscript"/>
              </w:rPr>
              <w:t>X</w:t>
            </w:r>
          </w:p>
        </w:tc>
        <w:tc>
          <w:tcPr>
            <w:tcW w:w="629" w:type="pct"/>
            <w:tcBorders>
              <w:tl2br w:val="nil"/>
              <w:tr2bl w:val="nil"/>
            </w:tcBorders>
            <w:vAlign w:val="center"/>
          </w:tcPr>
          <w:p w14:paraId="679019F8">
            <w:pPr>
              <w:spacing w:line="320" w:lineRule="exact"/>
              <w:jc w:val="center"/>
              <w:rPr>
                <w:color w:val="000000"/>
                <w:spacing w:val="24"/>
                <w:sz w:val="21"/>
              </w:rPr>
            </w:pPr>
            <w:r>
              <w:rPr>
                <w:color w:val="000000"/>
                <w:spacing w:val="24"/>
                <w:sz w:val="21"/>
              </w:rPr>
              <w:t>0.154</w:t>
            </w:r>
          </w:p>
        </w:tc>
        <w:tc>
          <w:tcPr>
            <w:tcW w:w="597" w:type="pct"/>
            <w:tcBorders>
              <w:tl2br w:val="nil"/>
              <w:tr2bl w:val="nil"/>
            </w:tcBorders>
            <w:vAlign w:val="center"/>
          </w:tcPr>
          <w:p w14:paraId="0790B768">
            <w:pPr>
              <w:spacing w:line="320" w:lineRule="exact"/>
              <w:jc w:val="center"/>
              <w:rPr>
                <w:color w:val="000000"/>
                <w:spacing w:val="24"/>
                <w:sz w:val="21"/>
              </w:rPr>
            </w:pPr>
            <w:r>
              <w:rPr>
                <w:rFonts w:hint="eastAsia"/>
                <w:color w:val="000000"/>
                <w:spacing w:val="24"/>
                <w:sz w:val="21"/>
              </w:rPr>
              <w:t>2.848</w:t>
            </w:r>
          </w:p>
        </w:tc>
        <w:tc>
          <w:tcPr>
            <w:tcW w:w="597" w:type="pct"/>
            <w:tcBorders>
              <w:tl2br w:val="nil"/>
              <w:tr2bl w:val="nil"/>
            </w:tcBorders>
            <w:vAlign w:val="center"/>
          </w:tcPr>
          <w:p w14:paraId="563A2722">
            <w:pPr>
              <w:spacing w:line="320" w:lineRule="exact"/>
              <w:jc w:val="center"/>
              <w:rPr>
                <w:color w:val="000000"/>
                <w:sz w:val="21"/>
              </w:rPr>
            </w:pPr>
            <w:r>
              <w:rPr>
                <w:color w:val="000000"/>
                <w:sz w:val="21"/>
              </w:rPr>
              <w:t>46mg/m</w:t>
            </w:r>
            <w:r>
              <w:rPr>
                <w:color w:val="000000"/>
                <w:sz w:val="21"/>
                <w:vertAlign w:val="superscript"/>
              </w:rPr>
              <w:t>3</w:t>
            </w:r>
          </w:p>
        </w:tc>
        <w:tc>
          <w:tcPr>
            <w:tcW w:w="577" w:type="pct"/>
            <w:tcBorders>
              <w:tl2br w:val="nil"/>
              <w:tr2bl w:val="nil"/>
            </w:tcBorders>
            <w:vAlign w:val="center"/>
          </w:tcPr>
          <w:p w14:paraId="73AF9EF0">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50mg/m</w:t>
            </w:r>
            <w:r>
              <w:rPr>
                <w:rFonts w:ascii="Times New Roman" w:hAnsi="Times New Roman"/>
                <w:color w:val="000000"/>
                <w:kern w:val="2"/>
                <w:sz w:val="21"/>
                <w:szCs w:val="21"/>
                <w:vertAlign w:val="superscript"/>
              </w:rPr>
              <w:t>3</w:t>
            </w:r>
          </w:p>
        </w:tc>
        <w:tc>
          <w:tcPr>
            <w:tcW w:w="485" w:type="pct"/>
            <w:tcBorders>
              <w:tl2br w:val="nil"/>
              <w:tr2bl w:val="nil"/>
            </w:tcBorders>
            <w:vAlign w:val="center"/>
          </w:tcPr>
          <w:p w14:paraId="7AF88157">
            <w:pPr>
              <w:widowControl w:val="0"/>
              <w:jc w:val="center"/>
              <w:rPr>
                <w:color w:val="000000"/>
                <w:sz w:val="21"/>
              </w:rPr>
            </w:pPr>
            <w:r>
              <w:rPr>
                <w:color w:val="000000"/>
                <w:sz w:val="21"/>
              </w:rPr>
              <w:t>达标</w:t>
            </w:r>
          </w:p>
        </w:tc>
      </w:tr>
      <w:tr w14:paraId="323803C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29" w:type="pct"/>
            <w:vMerge w:val="continue"/>
            <w:tcBorders>
              <w:tl2br w:val="nil"/>
              <w:tr2bl w:val="nil"/>
            </w:tcBorders>
            <w:vAlign w:val="center"/>
          </w:tcPr>
          <w:p w14:paraId="42052E7F">
            <w:pPr>
              <w:pStyle w:val="2191"/>
              <w:rPr>
                <w:color w:val="000000"/>
                <w:szCs w:val="21"/>
              </w:rPr>
            </w:pPr>
          </w:p>
        </w:tc>
        <w:tc>
          <w:tcPr>
            <w:tcW w:w="648" w:type="pct"/>
            <w:vMerge w:val="continue"/>
            <w:tcBorders>
              <w:tl2br w:val="nil"/>
              <w:tr2bl w:val="nil"/>
            </w:tcBorders>
            <w:vAlign w:val="center"/>
          </w:tcPr>
          <w:p w14:paraId="6050925B">
            <w:pPr>
              <w:pStyle w:val="12"/>
              <w:spacing w:line="240" w:lineRule="auto"/>
              <w:rPr>
                <w:color w:val="000000"/>
                <w:sz w:val="21"/>
                <w:szCs w:val="21"/>
              </w:rPr>
            </w:pPr>
          </w:p>
        </w:tc>
        <w:tc>
          <w:tcPr>
            <w:tcW w:w="361" w:type="pct"/>
            <w:vMerge w:val="continue"/>
            <w:tcBorders>
              <w:tl2br w:val="nil"/>
              <w:tr2bl w:val="nil"/>
            </w:tcBorders>
            <w:vAlign w:val="center"/>
          </w:tcPr>
          <w:p w14:paraId="73D62C7F">
            <w:pPr>
              <w:pStyle w:val="12"/>
              <w:spacing w:line="240" w:lineRule="auto"/>
              <w:rPr>
                <w:color w:val="000000"/>
                <w:sz w:val="21"/>
                <w:szCs w:val="21"/>
              </w:rPr>
            </w:pPr>
          </w:p>
        </w:tc>
        <w:tc>
          <w:tcPr>
            <w:tcW w:w="871" w:type="pct"/>
            <w:tcBorders>
              <w:tl2br w:val="nil"/>
              <w:tr2bl w:val="nil"/>
            </w:tcBorders>
            <w:vAlign w:val="center"/>
          </w:tcPr>
          <w:p w14:paraId="155D2C1E">
            <w:pPr>
              <w:pStyle w:val="409"/>
              <w:spacing w:line="320" w:lineRule="exact"/>
              <w:jc w:val="center"/>
              <w:rPr>
                <w:rFonts w:ascii="Times New Roman" w:hAnsi="Times New Roman" w:eastAsia="宋体"/>
                <w:color w:val="000000"/>
              </w:rPr>
            </w:pPr>
            <w:r>
              <w:rPr>
                <w:rFonts w:ascii="Times New Roman" w:hAnsi="Times New Roman" w:eastAsia="宋体"/>
                <w:color w:val="000000"/>
              </w:rPr>
              <w:t>SO</w:t>
            </w:r>
            <w:r>
              <w:rPr>
                <w:rFonts w:ascii="Times New Roman" w:hAnsi="Times New Roman" w:eastAsia="宋体"/>
                <w:color w:val="000000"/>
                <w:vertAlign w:val="subscript"/>
              </w:rPr>
              <w:t>2</w:t>
            </w:r>
          </w:p>
        </w:tc>
        <w:tc>
          <w:tcPr>
            <w:tcW w:w="629" w:type="pct"/>
            <w:tcBorders>
              <w:tl2br w:val="nil"/>
              <w:tr2bl w:val="nil"/>
            </w:tcBorders>
            <w:vAlign w:val="center"/>
          </w:tcPr>
          <w:p w14:paraId="7505ABE9">
            <w:pPr>
              <w:spacing w:line="320" w:lineRule="exact"/>
              <w:jc w:val="center"/>
              <w:rPr>
                <w:color w:val="000000"/>
                <w:spacing w:val="24"/>
                <w:sz w:val="21"/>
              </w:rPr>
            </w:pPr>
            <w:r>
              <w:rPr>
                <w:color w:val="000000"/>
                <w:spacing w:val="24"/>
                <w:sz w:val="21"/>
              </w:rPr>
              <w:t>1.032</w:t>
            </w:r>
          </w:p>
        </w:tc>
        <w:tc>
          <w:tcPr>
            <w:tcW w:w="597" w:type="pct"/>
            <w:tcBorders>
              <w:tl2br w:val="nil"/>
              <w:tr2bl w:val="nil"/>
            </w:tcBorders>
            <w:vAlign w:val="center"/>
          </w:tcPr>
          <w:p w14:paraId="6E2AC6AD">
            <w:pPr>
              <w:spacing w:line="320" w:lineRule="exact"/>
              <w:jc w:val="center"/>
              <w:rPr>
                <w:color w:val="000000"/>
                <w:spacing w:val="24"/>
                <w:sz w:val="21"/>
              </w:rPr>
            </w:pPr>
            <w:r>
              <w:rPr>
                <w:rFonts w:hint="eastAsia"/>
                <w:color w:val="000000"/>
                <w:spacing w:val="24"/>
                <w:sz w:val="21"/>
              </w:rPr>
              <w:t>0.422</w:t>
            </w:r>
          </w:p>
        </w:tc>
        <w:tc>
          <w:tcPr>
            <w:tcW w:w="597" w:type="pct"/>
            <w:tcBorders>
              <w:tl2br w:val="nil"/>
              <w:tr2bl w:val="nil"/>
            </w:tcBorders>
            <w:vAlign w:val="center"/>
          </w:tcPr>
          <w:p w14:paraId="0CE036B7">
            <w:pPr>
              <w:spacing w:line="320" w:lineRule="exact"/>
              <w:jc w:val="center"/>
              <w:rPr>
                <w:color w:val="000000"/>
                <w:sz w:val="21"/>
              </w:rPr>
            </w:pPr>
            <w:r>
              <w:rPr>
                <w:color w:val="000000"/>
                <w:sz w:val="21"/>
              </w:rPr>
              <w:t>7mg/m</w:t>
            </w:r>
            <w:r>
              <w:rPr>
                <w:color w:val="000000"/>
                <w:sz w:val="21"/>
                <w:vertAlign w:val="superscript"/>
              </w:rPr>
              <w:t>3</w:t>
            </w:r>
          </w:p>
        </w:tc>
        <w:tc>
          <w:tcPr>
            <w:tcW w:w="577" w:type="pct"/>
            <w:tcBorders>
              <w:tl2br w:val="nil"/>
              <w:tr2bl w:val="nil"/>
            </w:tcBorders>
            <w:vAlign w:val="center"/>
          </w:tcPr>
          <w:p w14:paraId="7FB390FA">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100mg/m</w:t>
            </w:r>
            <w:r>
              <w:rPr>
                <w:rFonts w:ascii="Times New Roman" w:hAnsi="Times New Roman"/>
                <w:color w:val="000000"/>
                <w:kern w:val="2"/>
                <w:sz w:val="21"/>
                <w:szCs w:val="21"/>
                <w:vertAlign w:val="superscript"/>
              </w:rPr>
              <w:t>3</w:t>
            </w:r>
          </w:p>
        </w:tc>
        <w:tc>
          <w:tcPr>
            <w:tcW w:w="485" w:type="pct"/>
            <w:tcBorders>
              <w:tl2br w:val="nil"/>
              <w:tr2bl w:val="nil"/>
            </w:tcBorders>
            <w:vAlign w:val="center"/>
          </w:tcPr>
          <w:p w14:paraId="731A62E6">
            <w:pPr>
              <w:widowControl w:val="0"/>
              <w:jc w:val="center"/>
              <w:rPr>
                <w:color w:val="000000"/>
                <w:sz w:val="21"/>
              </w:rPr>
            </w:pPr>
            <w:r>
              <w:rPr>
                <w:color w:val="000000"/>
                <w:sz w:val="21"/>
              </w:rPr>
              <w:t>达标</w:t>
            </w:r>
          </w:p>
        </w:tc>
      </w:tr>
      <w:tr w14:paraId="0F0D5E2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229" w:type="pct"/>
            <w:vMerge w:val="continue"/>
            <w:tcBorders>
              <w:tl2br w:val="nil"/>
              <w:tr2bl w:val="nil"/>
            </w:tcBorders>
            <w:vAlign w:val="center"/>
          </w:tcPr>
          <w:p w14:paraId="6EF44976">
            <w:pPr>
              <w:pStyle w:val="2191"/>
              <w:rPr>
                <w:color w:val="000000"/>
                <w:szCs w:val="21"/>
              </w:rPr>
            </w:pPr>
          </w:p>
        </w:tc>
        <w:tc>
          <w:tcPr>
            <w:tcW w:w="648" w:type="pct"/>
            <w:vMerge w:val="restart"/>
            <w:tcBorders>
              <w:tl2br w:val="nil"/>
              <w:tr2bl w:val="nil"/>
            </w:tcBorders>
            <w:vAlign w:val="center"/>
          </w:tcPr>
          <w:p w14:paraId="6CB82667">
            <w:pPr>
              <w:spacing w:line="320" w:lineRule="exact"/>
              <w:jc w:val="center"/>
              <w:rPr>
                <w:color w:val="000000"/>
                <w:sz w:val="21"/>
              </w:rPr>
            </w:pPr>
            <w:r>
              <w:rPr>
                <w:color w:val="000000"/>
                <w:sz w:val="21"/>
              </w:rPr>
              <w:t>高架火炬</w:t>
            </w:r>
          </w:p>
        </w:tc>
        <w:tc>
          <w:tcPr>
            <w:tcW w:w="361" w:type="pct"/>
            <w:vMerge w:val="restart"/>
            <w:tcBorders>
              <w:tl2br w:val="nil"/>
              <w:tr2bl w:val="nil"/>
            </w:tcBorders>
            <w:vAlign w:val="center"/>
          </w:tcPr>
          <w:p w14:paraId="486DC785">
            <w:pPr>
              <w:spacing w:line="240" w:lineRule="auto"/>
              <w:jc w:val="center"/>
              <w:rPr>
                <w:color w:val="000000"/>
                <w:sz w:val="21"/>
              </w:rPr>
            </w:pPr>
            <w:r>
              <w:rPr>
                <w:color w:val="000000"/>
                <w:sz w:val="21"/>
              </w:rPr>
              <w:t>有组织</w:t>
            </w:r>
          </w:p>
        </w:tc>
        <w:tc>
          <w:tcPr>
            <w:tcW w:w="871" w:type="pct"/>
            <w:tcBorders>
              <w:tl2br w:val="nil"/>
              <w:tr2bl w:val="nil"/>
            </w:tcBorders>
            <w:vAlign w:val="center"/>
          </w:tcPr>
          <w:p w14:paraId="61A21A12">
            <w:pPr>
              <w:pStyle w:val="409"/>
              <w:spacing w:line="320" w:lineRule="exact"/>
              <w:jc w:val="center"/>
              <w:rPr>
                <w:rFonts w:ascii="Times New Roman" w:hAnsi="Times New Roman" w:eastAsia="宋体"/>
                <w:color w:val="000000"/>
              </w:rPr>
            </w:pPr>
            <w:r>
              <w:rPr>
                <w:rFonts w:ascii="Times New Roman" w:hAnsi="Times New Roman" w:eastAsia="宋体"/>
                <w:color w:val="000000"/>
              </w:rPr>
              <w:t>颗粒物</w:t>
            </w:r>
          </w:p>
        </w:tc>
        <w:tc>
          <w:tcPr>
            <w:tcW w:w="629" w:type="pct"/>
            <w:tcBorders>
              <w:tl2br w:val="nil"/>
              <w:tr2bl w:val="nil"/>
            </w:tcBorders>
            <w:vAlign w:val="center"/>
          </w:tcPr>
          <w:p w14:paraId="532EE474">
            <w:pPr>
              <w:pStyle w:val="409"/>
              <w:spacing w:line="320" w:lineRule="exact"/>
              <w:jc w:val="center"/>
              <w:rPr>
                <w:rFonts w:ascii="Times New Roman" w:hAnsi="Times New Roman" w:eastAsia="宋体"/>
                <w:color w:val="000000"/>
              </w:rPr>
            </w:pPr>
            <w:r>
              <w:rPr>
                <w:rFonts w:ascii="Times New Roman" w:hAnsi="Times New Roman" w:eastAsia="宋体"/>
                <w:color w:val="000000"/>
              </w:rPr>
              <w:t>0.06</w:t>
            </w:r>
          </w:p>
        </w:tc>
        <w:tc>
          <w:tcPr>
            <w:tcW w:w="1109" w:type="dxa"/>
            <w:tcBorders>
              <w:tl2br w:val="nil"/>
              <w:tr2bl w:val="nil"/>
            </w:tcBorders>
            <w:vAlign w:val="center"/>
          </w:tcPr>
          <w:p w14:paraId="26CAF7EF">
            <w:pPr>
              <w:spacing w:line="320" w:lineRule="exact"/>
              <w:jc w:val="center"/>
              <w:rPr>
                <w:color w:val="000000"/>
                <w:spacing w:val="24"/>
                <w:sz w:val="21"/>
              </w:rPr>
            </w:pPr>
            <w:r>
              <w:rPr>
                <w:rFonts w:hint="eastAsia"/>
                <w:color w:val="000000"/>
                <w:spacing w:val="24"/>
                <w:sz w:val="21"/>
              </w:rPr>
              <w:t>/</w:t>
            </w:r>
          </w:p>
        </w:tc>
        <w:tc>
          <w:tcPr>
            <w:tcW w:w="597" w:type="pct"/>
            <w:tcBorders>
              <w:tl2br w:val="nil"/>
              <w:tr2bl w:val="nil"/>
            </w:tcBorders>
            <w:vAlign w:val="center"/>
          </w:tcPr>
          <w:p w14:paraId="61CC4E0C">
            <w:pPr>
              <w:spacing w:line="280" w:lineRule="exact"/>
              <w:jc w:val="center"/>
              <w:rPr>
                <w:color w:val="000000"/>
                <w:sz w:val="21"/>
              </w:rPr>
            </w:pPr>
            <w:r>
              <w:rPr>
                <w:color w:val="000000"/>
                <w:sz w:val="21"/>
              </w:rPr>
              <w:t>59.2mg/m</w:t>
            </w:r>
            <w:r>
              <w:rPr>
                <w:color w:val="000000"/>
                <w:sz w:val="21"/>
                <w:vertAlign w:val="superscript"/>
              </w:rPr>
              <w:t>3</w:t>
            </w:r>
          </w:p>
        </w:tc>
        <w:tc>
          <w:tcPr>
            <w:tcW w:w="577" w:type="pct"/>
            <w:tcBorders>
              <w:tl2br w:val="nil"/>
              <w:tr2bl w:val="nil"/>
            </w:tcBorders>
            <w:vAlign w:val="center"/>
          </w:tcPr>
          <w:p w14:paraId="4780C5EC">
            <w:pPr>
              <w:widowControl w:val="0"/>
              <w:jc w:val="center"/>
              <w:rPr>
                <w:color w:val="000000"/>
                <w:sz w:val="21"/>
              </w:rPr>
            </w:pPr>
            <w:r>
              <w:rPr>
                <w:color w:val="000000"/>
                <w:sz w:val="21"/>
              </w:rPr>
              <w:t>/</w:t>
            </w:r>
          </w:p>
        </w:tc>
        <w:tc>
          <w:tcPr>
            <w:tcW w:w="485" w:type="pct"/>
            <w:tcBorders>
              <w:tl2br w:val="nil"/>
              <w:tr2bl w:val="nil"/>
            </w:tcBorders>
            <w:vAlign w:val="center"/>
          </w:tcPr>
          <w:p w14:paraId="61970B83">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达标</w:t>
            </w:r>
          </w:p>
        </w:tc>
      </w:tr>
      <w:tr w14:paraId="751F914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82" w:hRule="atLeast"/>
        </w:trPr>
        <w:tc>
          <w:tcPr>
            <w:tcW w:w="229" w:type="pct"/>
            <w:vMerge w:val="continue"/>
            <w:tcBorders>
              <w:tl2br w:val="nil"/>
              <w:tr2bl w:val="nil"/>
            </w:tcBorders>
            <w:vAlign w:val="center"/>
          </w:tcPr>
          <w:p w14:paraId="2CC122B0">
            <w:pPr>
              <w:pStyle w:val="2191"/>
              <w:rPr>
                <w:color w:val="000000"/>
                <w:szCs w:val="21"/>
              </w:rPr>
            </w:pPr>
          </w:p>
        </w:tc>
        <w:tc>
          <w:tcPr>
            <w:tcW w:w="648" w:type="pct"/>
            <w:vMerge w:val="continue"/>
            <w:tcBorders>
              <w:tl2br w:val="nil"/>
              <w:tr2bl w:val="nil"/>
            </w:tcBorders>
            <w:vAlign w:val="center"/>
          </w:tcPr>
          <w:p w14:paraId="3D5F10ED">
            <w:pPr>
              <w:spacing w:line="320" w:lineRule="exact"/>
              <w:jc w:val="center"/>
              <w:rPr>
                <w:color w:val="000000"/>
                <w:sz w:val="21"/>
              </w:rPr>
            </w:pPr>
          </w:p>
        </w:tc>
        <w:tc>
          <w:tcPr>
            <w:tcW w:w="361" w:type="pct"/>
            <w:vMerge w:val="continue"/>
            <w:tcBorders>
              <w:tl2br w:val="nil"/>
              <w:tr2bl w:val="nil"/>
            </w:tcBorders>
            <w:vAlign w:val="center"/>
          </w:tcPr>
          <w:p w14:paraId="052137E9">
            <w:pPr>
              <w:spacing w:line="240" w:lineRule="auto"/>
              <w:jc w:val="center"/>
              <w:rPr>
                <w:color w:val="000000"/>
                <w:sz w:val="21"/>
              </w:rPr>
            </w:pPr>
          </w:p>
        </w:tc>
        <w:tc>
          <w:tcPr>
            <w:tcW w:w="871" w:type="pct"/>
            <w:tcBorders>
              <w:tl2br w:val="nil"/>
              <w:tr2bl w:val="nil"/>
            </w:tcBorders>
            <w:vAlign w:val="center"/>
          </w:tcPr>
          <w:p w14:paraId="2B949B83">
            <w:pPr>
              <w:pStyle w:val="409"/>
              <w:spacing w:line="320" w:lineRule="exact"/>
              <w:jc w:val="center"/>
              <w:rPr>
                <w:rFonts w:ascii="Times New Roman" w:hAnsi="Times New Roman" w:eastAsia="宋体"/>
                <w:color w:val="000000"/>
              </w:rPr>
            </w:pPr>
            <w:r>
              <w:rPr>
                <w:rFonts w:ascii="Times New Roman" w:hAnsi="Times New Roman" w:eastAsia="宋体"/>
                <w:color w:val="000000"/>
              </w:rPr>
              <w:t>NO</w:t>
            </w:r>
            <w:r>
              <w:rPr>
                <w:rFonts w:hint="eastAsia" w:ascii="Times New Roman" w:hAnsi="Times New Roman" w:eastAsia="宋体"/>
                <w:color w:val="000000"/>
                <w:sz w:val="24"/>
                <w:szCs w:val="24"/>
                <w:vertAlign w:val="subscript"/>
              </w:rPr>
              <w:t>X</w:t>
            </w:r>
          </w:p>
        </w:tc>
        <w:tc>
          <w:tcPr>
            <w:tcW w:w="629" w:type="pct"/>
            <w:tcBorders>
              <w:tl2br w:val="nil"/>
              <w:tr2bl w:val="nil"/>
            </w:tcBorders>
            <w:vAlign w:val="center"/>
          </w:tcPr>
          <w:p w14:paraId="06204CED">
            <w:pPr>
              <w:pStyle w:val="409"/>
              <w:spacing w:line="320" w:lineRule="exact"/>
              <w:jc w:val="center"/>
              <w:rPr>
                <w:rFonts w:ascii="Times New Roman" w:hAnsi="Times New Roman" w:eastAsia="宋体"/>
                <w:color w:val="000000"/>
              </w:rPr>
            </w:pPr>
            <w:r>
              <w:rPr>
                <w:rFonts w:ascii="Times New Roman" w:hAnsi="Times New Roman" w:eastAsia="宋体"/>
                <w:color w:val="000000"/>
              </w:rPr>
              <w:t>0.18</w:t>
            </w:r>
          </w:p>
        </w:tc>
        <w:tc>
          <w:tcPr>
            <w:tcW w:w="1109" w:type="dxa"/>
            <w:tcBorders>
              <w:tl2br w:val="nil"/>
              <w:tr2bl w:val="nil"/>
            </w:tcBorders>
            <w:vAlign w:val="center"/>
          </w:tcPr>
          <w:p w14:paraId="26FB71B3">
            <w:pPr>
              <w:spacing w:line="320" w:lineRule="exact"/>
              <w:jc w:val="center"/>
              <w:rPr>
                <w:color w:val="000000"/>
                <w:spacing w:val="24"/>
                <w:sz w:val="21"/>
              </w:rPr>
            </w:pPr>
            <w:r>
              <w:rPr>
                <w:color w:val="000000"/>
                <w:spacing w:val="24"/>
                <w:sz w:val="21"/>
              </w:rPr>
              <w:t>0.18</w:t>
            </w:r>
          </w:p>
        </w:tc>
        <w:tc>
          <w:tcPr>
            <w:tcW w:w="597" w:type="pct"/>
            <w:tcBorders>
              <w:tl2br w:val="nil"/>
              <w:tr2bl w:val="nil"/>
            </w:tcBorders>
            <w:vAlign w:val="center"/>
          </w:tcPr>
          <w:p w14:paraId="3D227E16">
            <w:pPr>
              <w:spacing w:line="280" w:lineRule="exact"/>
              <w:jc w:val="center"/>
              <w:rPr>
                <w:color w:val="000000"/>
                <w:sz w:val="21"/>
              </w:rPr>
            </w:pPr>
            <w:r>
              <w:rPr>
                <w:color w:val="000000"/>
                <w:sz w:val="21"/>
              </w:rPr>
              <w:t>20mg/m</w:t>
            </w:r>
            <w:r>
              <w:rPr>
                <w:color w:val="000000"/>
                <w:sz w:val="21"/>
                <w:vertAlign w:val="superscript"/>
              </w:rPr>
              <w:t>3</w:t>
            </w:r>
          </w:p>
        </w:tc>
        <w:tc>
          <w:tcPr>
            <w:tcW w:w="577" w:type="pct"/>
            <w:tcBorders>
              <w:tl2br w:val="nil"/>
              <w:tr2bl w:val="nil"/>
            </w:tcBorders>
            <w:vAlign w:val="center"/>
          </w:tcPr>
          <w:p w14:paraId="145502F9">
            <w:pPr>
              <w:widowControl w:val="0"/>
              <w:jc w:val="center"/>
              <w:rPr>
                <w:color w:val="000000"/>
                <w:sz w:val="21"/>
              </w:rPr>
            </w:pPr>
            <w:r>
              <w:rPr>
                <w:color w:val="000000"/>
                <w:sz w:val="21"/>
              </w:rPr>
              <w:t>/</w:t>
            </w:r>
          </w:p>
        </w:tc>
        <w:tc>
          <w:tcPr>
            <w:tcW w:w="485" w:type="pct"/>
            <w:tcBorders>
              <w:tl2br w:val="nil"/>
              <w:tr2bl w:val="nil"/>
            </w:tcBorders>
            <w:vAlign w:val="center"/>
          </w:tcPr>
          <w:p w14:paraId="45FB4791">
            <w:pPr>
              <w:widowControl w:val="0"/>
              <w:jc w:val="center"/>
              <w:rPr>
                <w:color w:val="000000"/>
                <w:sz w:val="21"/>
              </w:rPr>
            </w:pPr>
            <w:r>
              <w:rPr>
                <w:color w:val="000000"/>
                <w:sz w:val="21"/>
              </w:rPr>
              <w:t>达标</w:t>
            </w:r>
          </w:p>
        </w:tc>
      </w:tr>
      <w:tr w14:paraId="7EE84A5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29" w:type="pct"/>
            <w:vMerge w:val="continue"/>
            <w:tcBorders>
              <w:tl2br w:val="nil"/>
              <w:tr2bl w:val="nil"/>
            </w:tcBorders>
            <w:vAlign w:val="center"/>
          </w:tcPr>
          <w:p w14:paraId="7015FF59">
            <w:pPr>
              <w:pStyle w:val="2191"/>
              <w:rPr>
                <w:color w:val="000000"/>
                <w:szCs w:val="21"/>
              </w:rPr>
            </w:pPr>
          </w:p>
        </w:tc>
        <w:tc>
          <w:tcPr>
            <w:tcW w:w="648" w:type="pct"/>
            <w:vMerge w:val="continue"/>
            <w:tcBorders>
              <w:tl2br w:val="nil"/>
              <w:tr2bl w:val="nil"/>
            </w:tcBorders>
            <w:vAlign w:val="center"/>
          </w:tcPr>
          <w:p w14:paraId="47DD9FD6">
            <w:pPr>
              <w:pStyle w:val="12"/>
              <w:spacing w:line="240" w:lineRule="auto"/>
              <w:rPr>
                <w:color w:val="000000"/>
                <w:sz w:val="21"/>
                <w:szCs w:val="21"/>
              </w:rPr>
            </w:pPr>
          </w:p>
        </w:tc>
        <w:tc>
          <w:tcPr>
            <w:tcW w:w="361" w:type="pct"/>
            <w:vMerge w:val="continue"/>
            <w:tcBorders>
              <w:tl2br w:val="nil"/>
              <w:tr2bl w:val="nil"/>
            </w:tcBorders>
            <w:vAlign w:val="center"/>
          </w:tcPr>
          <w:p w14:paraId="34FF4C2A">
            <w:pPr>
              <w:pStyle w:val="12"/>
              <w:spacing w:line="240" w:lineRule="auto"/>
              <w:rPr>
                <w:color w:val="000000"/>
                <w:sz w:val="21"/>
                <w:szCs w:val="21"/>
              </w:rPr>
            </w:pPr>
          </w:p>
        </w:tc>
        <w:tc>
          <w:tcPr>
            <w:tcW w:w="871" w:type="pct"/>
            <w:tcBorders>
              <w:tl2br w:val="nil"/>
              <w:tr2bl w:val="nil"/>
            </w:tcBorders>
            <w:vAlign w:val="center"/>
          </w:tcPr>
          <w:p w14:paraId="78FDEE8C">
            <w:pPr>
              <w:pStyle w:val="409"/>
              <w:spacing w:line="320" w:lineRule="exact"/>
              <w:jc w:val="center"/>
              <w:rPr>
                <w:rFonts w:ascii="Times New Roman" w:hAnsi="Times New Roman" w:eastAsia="宋体"/>
                <w:color w:val="000000"/>
              </w:rPr>
            </w:pPr>
            <w:r>
              <w:rPr>
                <w:rFonts w:ascii="Times New Roman" w:hAnsi="Times New Roman" w:eastAsia="宋体"/>
                <w:color w:val="000000"/>
              </w:rPr>
              <w:t>SO</w:t>
            </w:r>
            <w:r>
              <w:rPr>
                <w:rFonts w:ascii="Times New Roman" w:hAnsi="Times New Roman" w:eastAsia="宋体"/>
                <w:color w:val="000000"/>
                <w:vertAlign w:val="subscript"/>
              </w:rPr>
              <w:t>2</w:t>
            </w:r>
          </w:p>
        </w:tc>
        <w:tc>
          <w:tcPr>
            <w:tcW w:w="629" w:type="pct"/>
            <w:tcBorders>
              <w:tl2br w:val="nil"/>
              <w:tr2bl w:val="nil"/>
            </w:tcBorders>
            <w:vAlign w:val="center"/>
          </w:tcPr>
          <w:p w14:paraId="2D7428A0">
            <w:pPr>
              <w:pStyle w:val="409"/>
              <w:spacing w:line="320" w:lineRule="exact"/>
              <w:jc w:val="center"/>
              <w:rPr>
                <w:rFonts w:ascii="Times New Roman" w:hAnsi="Times New Roman" w:eastAsia="宋体"/>
                <w:color w:val="000000"/>
              </w:rPr>
            </w:pPr>
            <w:r>
              <w:rPr>
                <w:rFonts w:ascii="Times New Roman" w:hAnsi="Times New Roman" w:eastAsia="宋体"/>
                <w:color w:val="000000"/>
              </w:rPr>
              <w:t>0.03</w:t>
            </w:r>
          </w:p>
        </w:tc>
        <w:tc>
          <w:tcPr>
            <w:tcW w:w="1109" w:type="dxa"/>
            <w:tcBorders>
              <w:tl2br w:val="nil"/>
              <w:tr2bl w:val="nil"/>
            </w:tcBorders>
            <w:vAlign w:val="center"/>
          </w:tcPr>
          <w:p w14:paraId="34D487E1">
            <w:pPr>
              <w:spacing w:line="320" w:lineRule="exact"/>
              <w:jc w:val="center"/>
              <w:rPr>
                <w:color w:val="000000"/>
                <w:spacing w:val="24"/>
                <w:sz w:val="21"/>
              </w:rPr>
            </w:pPr>
            <w:r>
              <w:rPr>
                <w:color w:val="000000"/>
                <w:spacing w:val="24"/>
                <w:sz w:val="21"/>
              </w:rPr>
              <w:t>0.03</w:t>
            </w:r>
          </w:p>
        </w:tc>
        <w:tc>
          <w:tcPr>
            <w:tcW w:w="597" w:type="pct"/>
            <w:tcBorders>
              <w:tl2br w:val="nil"/>
              <w:tr2bl w:val="nil"/>
            </w:tcBorders>
            <w:vAlign w:val="center"/>
          </w:tcPr>
          <w:p w14:paraId="4F1E0DA9">
            <w:pPr>
              <w:spacing w:line="320" w:lineRule="exact"/>
              <w:jc w:val="center"/>
              <w:rPr>
                <w:color w:val="000000"/>
                <w:sz w:val="21"/>
              </w:rPr>
            </w:pPr>
            <w:r>
              <w:rPr>
                <w:color w:val="000000"/>
                <w:sz w:val="21"/>
              </w:rPr>
              <w:t>8.79mg/m</w:t>
            </w:r>
            <w:r>
              <w:rPr>
                <w:color w:val="000000"/>
                <w:sz w:val="21"/>
                <w:vertAlign w:val="superscript"/>
              </w:rPr>
              <w:t>3</w:t>
            </w:r>
          </w:p>
        </w:tc>
        <w:tc>
          <w:tcPr>
            <w:tcW w:w="577" w:type="pct"/>
            <w:tcBorders>
              <w:tl2br w:val="nil"/>
              <w:tr2bl w:val="nil"/>
            </w:tcBorders>
            <w:vAlign w:val="center"/>
          </w:tcPr>
          <w:p w14:paraId="6005C527">
            <w:pPr>
              <w:widowControl w:val="0"/>
              <w:jc w:val="center"/>
              <w:rPr>
                <w:color w:val="000000"/>
                <w:sz w:val="21"/>
              </w:rPr>
            </w:pPr>
            <w:r>
              <w:rPr>
                <w:color w:val="000000"/>
                <w:sz w:val="21"/>
              </w:rPr>
              <w:t>/</w:t>
            </w:r>
          </w:p>
        </w:tc>
        <w:tc>
          <w:tcPr>
            <w:tcW w:w="485" w:type="pct"/>
            <w:tcBorders>
              <w:tl2br w:val="nil"/>
              <w:tr2bl w:val="nil"/>
            </w:tcBorders>
            <w:vAlign w:val="center"/>
          </w:tcPr>
          <w:p w14:paraId="00355E9E">
            <w:pPr>
              <w:widowControl w:val="0"/>
              <w:jc w:val="center"/>
              <w:rPr>
                <w:color w:val="000000"/>
                <w:sz w:val="21"/>
              </w:rPr>
            </w:pPr>
            <w:r>
              <w:rPr>
                <w:color w:val="000000"/>
                <w:sz w:val="21"/>
              </w:rPr>
              <w:t>达标</w:t>
            </w:r>
          </w:p>
        </w:tc>
      </w:tr>
      <w:tr w14:paraId="2F32C59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229" w:type="pct"/>
            <w:vMerge w:val="continue"/>
            <w:tcBorders>
              <w:tl2br w:val="nil"/>
              <w:tr2bl w:val="nil"/>
            </w:tcBorders>
            <w:vAlign w:val="center"/>
          </w:tcPr>
          <w:p w14:paraId="04721C6C">
            <w:pPr>
              <w:pStyle w:val="2191"/>
              <w:rPr>
                <w:color w:val="000000"/>
                <w:szCs w:val="21"/>
              </w:rPr>
            </w:pPr>
          </w:p>
        </w:tc>
        <w:tc>
          <w:tcPr>
            <w:tcW w:w="648" w:type="pct"/>
            <w:tcBorders>
              <w:tl2br w:val="nil"/>
              <w:tr2bl w:val="nil"/>
            </w:tcBorders>
            <w:vAlign w:val="center"/>
          </w:tcPr>
          <w:p w14:paraId="0639D4E8">
            <w:pPr>
              <w:spacing w:line="320" w:lineRule="exact"/>
              <w:jc w:val="center"/>
              <w:rPr>
                <w:color w:val="000000"/>
                <w:sz w:val="21"/>
              </w:rPr>
            </w:pPr>
            <w:r>
              <w:rPr>
                <w:color w:val="000000"/>
                <w:sz w:val="21"/>
              </w:rPr>
              <w:t>阀门泄漏</w:t>
            </w:r>
          </w:p>
        </w:tc>
        <w:tc>
          <w:tcPr>
            <w:tcW w:w="361" w:type="pct"/>
            <w:vMerge w:val="restart"/>
            <w:tcBorders>
              <w:tl2br w:val="nil"/>
              <w:tr2bl w:val="nil"/>
            </w:tcBorders>
            <w:vAlign w:val="center"/>
          </w:tcPr>
          <w:p w14:paraId="5347C99B">
            <w:pPr>
              <w:pStyle w:val="12"/>
              <w:spacing w:line="240" w:lineRule="auto"/>
              <w:rPr>
                <w:color w:val="000000"/>
                <w:sz w:val="21"/>
                <w:szCs w:val="21"/>
              </w:rPr>
            </w:pPr>
            <w:r>
              <w:rPr>
                <w:color w:val="000000"/>
                <w:sz w:val="21"/>
                <w:szCs w:val="21"/>
              </w:rPr>
              <w:t>无组织</w:t>
            </w:r>
          </w:p>
        </w:tc>
        <w:tc>
          <w:tcPr>
            <w:tcW w:w="871" w:type="pct"/>
            <w:tcBorders>
              <w:tl2br w:val="nil"/>
              <w:tr2bl w:val="nil"/>
            </w:tcBorders>
            <w:vAlign w:val="center"/>
          </w:tcPr>
          <w:p w14:paraId="00491EF9">
            <w:pPr>
              <w:spacing w:line="320" w:lineRule="exact"/>
              <w:jc w:val="both"/>
              <w:rPr>
                <w:color w:val="000000"/>
                <w:spacing w:val="24"/>
                <w:sz w:val="21"/>
              </w:rPr>
            </w:pPr>
            <w:r>
              <w:rPr>
                <w:color w:val="000000"/>
                <w:spacing w:val="24"/>
                <w:sz w:val="21"/>
              </w:rPr>
              <w:t>非甲烷总烃</w:t>
            </w:r>
          </w:p>
        </w:tc>
        <w:tc>
          <w:tcPr>
            <w:tcW w:w="629" w:type="pct"/>
            <w:tcBorders>
              <w:tl2br w:val="nil"/>
              <w:tr2bl w:val="nil"/>
            </w:tcBorders>
            <w:vAlign w:val="center"/>
          </w:tcPr>
          <w:p w14:paraId="012E12B5">
            <w:pPr>
              <w:pStyle w:val="409"/>
              <w:spacing w:line="320" w:lineRule="exact"/>
              <w:jc w:val="center"/>
              <w:rPr>
                <w:rFonts w:ascii="Times New Roman" w:hAnsi="Times New Roman" w:eastAsia="宋体"/>
                <w:color w:val="000000"/>
              </w:rPr>
            </w:pPr>
            <w:r>
              <w:rPr>
                <w:rFonts w:ascii="Times New Roman" w:hAnsi="Times New Roman" w:eastAsia="宋体"/>
                <w:color w:val="000000"/>
              </w:rPr>
              <w:t>1.76</w:t>
            </w:r>
          </w:p>
        </w:tc>
        <w:tc>
          <w:tcPr>
            <w:tcW w:w="597" w:type="pct"/>
            <w:tcBorders>
              <w:tl2br w:val="nil"/>
              <w:tr2bl w:val="nil"/>
            </w:tcBorders>
            <w:vAlign w:val="center"/>
          </w:tcPr>
          <w:p w14:paraId="264E4265">
            <w:pPr>
              <w:spacing w:line="320" w:lineRule="exact"/>
              <w:jc w:val="center"/>
              <w:rPr>
                <w:color w:val="000000"/>
                <w:spacing w:val="24"/>
                <w:sz w:val="21"/>
              </w:rPr>
            </w:pPr>
            <w:r>
              <w:rPr>
                <w:color w:val="000000"/>
                <w:spacing w:val="24"/>
                <w:sz w:val="21"/>
              </w:rPr>
              <w:t>/</w:t>
            </w:r>
          </w:p>
        </w:tc>
        <w:tc>
          <w:tcPr>
            <w:tcW w:w="597" w:type="pct"/>
            <w:tcBorders>
              <w:tl2br w:val="nil"/>
              <w:tr2bl w:val="nil"/>
            </w:tcBorders>
            <w:vAlign w:val="center"/>
          </w:tcPr>
          <w:p w14:paraId="26C2D58C">
            <w:pPr>
              <w:spacing w:line="320" w:lineRule="exact"/>
              <w:jc w:val="center"/>
              <w:rPr>
                <w:color w:val="000000"/>
                <w:sz w:val="21"/>
              </w:rPr>
            </w:pPr>
            <w:r>
              <w:rPr>
                <w:color w:val="000000"/>
                <w:spacing w:val="24"/>
                <w:sz w:val="21"/>
              </w:rPr>
              <w:t>/</w:t>
            </w:r>
          </w:p>
        </w:tc>
        <w:tc>
          <w:tcPr>
            <w:tcW w:w="577" w:type="pct"/>
            <w:tcBorders>
              <w:tl2br w:val="nil"/>
              <w:tr2bl w:val="nil"/>
            </w:tcBorders>
            <w:vAlign w:val="center"/>
          </w:tcPr>
          <w:p w14:paraId="53FF97E5">
            <w:pPr>
              <w:spacing w:line="320" w:lineRule="exact"/>
              <w:jc w:val="center"/>
              <w:rPr>
                <w:color w:val="000000"/>
                <w:sz w:val="21"/>
              </w:rPr>
            </w:pPr>
            <w:r>
              <w:rPr>
                <w:color w:val="000000"/>
                <w:spacing w:val="24"/>
                <w:sz w:val="21"/>
              </w:rPr>
              <w:t>/</w:t>
            </w:r>
          </w:p>
        </w:tc>
        <w:tc>
          <w:tcPr>
            <w:tcW w:w="485" w:type="pct"/>
            <w:tcBorders>
              <w:tl2br w:val="nil"/>
              <w:tr2bl w:val="nil"/>
            </w:tcBorders>
            <w:vAlign w:val="center"/>
          </w:tcPr>
          <w:p w14:paraId="5CA93CC9">
            <w:pPr>
              <w:pStyle w:val="68"/>
              <w:widowControl w:val="0"/>
              <w:spacing w:before="0" w:beforeAutospacing="0" w:after="0" w:afterAutospacing="0"/>
              <w:jc w:val="center"/>
              <w:rPr>
                <w:rFonts w:ascii="Times New Roman" w:hAnsi="Times New Roman"/>
                <w:color w:val="000000"/>
                <w:sz w:val="21"/>
              </w:rPr>
            </w:pPr>
            <w:r>
              <w:rPr>
                <w:rFonts w:ascii="Times New Roman" w:hAnsi="Times New Roman"/>
                <w:color w:val="000000"/>
                <w:kern w:val="2"/>
                <w:sz w:val="21"/>
                <w:szCs w:val="21"/>
              </w:rPr>
              <w:t>达标</w:t>
            </w:r>
          </w:p>
        </w:tc>
      </w:tr>
      <w:tr w14:paraId="524FEAE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229" w:type="pct"/>
            <w:vMerge w:val="continue"/>
            <w:tcBorders>
              <w:tl2br w:val="nil"/>
              <w:tr2bl w:val="nil"/>
            </w:tcBorders>
            <w:vAlign w:val="center"/>
          </w:tcPr>
          <w:p w14:paraId="2D7B04EE">
            <w:pPr>
              <w:pStyle w:val="2191"/>
              <w:rPr>
                <w:color w:val="000000"/>
                <w:szCs w:val="21"/>
              </w:rPr>
            </w:pPr>
          </w:p>
        </w:tc>
        <w:tc>
          <w:tcPr>
            <w:tcW w:w="648" w:type="pct"/>
            <w:tcBorders>
              <w:tl2br w:val="nil"/>
              <w:tr2bl w:val="nil"/>
            </w:tcBorders>
            <w:vAlign w:val="center"/>
          </w:tcPr>
          <w:p w14:paraId="14E3E931">
            <w:pPr>
              <w:spacing w:line="320" w:lineRule="exact"/>
              <w:jc w:val="center"/>
              <w:rPr>
                <w:color w:val="000000"/>
                <w:sz w:val="21"/>
              </w:rPr>
            </w:pPr>
            <w:r>
              <w:rPr>
                <w:color w:val="000000"/>
                <w:sz w:val="21"/>
              </w:rPr>
              <w:t>装车泄漏</w:t>
            </w:r>
          </w:p>
        </w:tc>
        <w:tc>
          <w:tcPr>
            <w:tcW w:w="361" w:type="pct"/>
            <w:vMerge w:val="continue"/>
            <w:tcBorders>
              <w:tl2br w:val="nil"/>
              <w:tr2bl w:val="nil"/>
            </w:tcBorders>
            <w:vAlign w:val="center"/>
          </w:tcPr>
          <w:p w14:paraId="542BB3AA">
            <w:pPr>
              <w:pStyle w:val="12"/>
              <w:spacing w:line="240" w:lineRule="auto"/>
              <w:rPr>
                <w:color w:val="000000"/>
                <w:sz w:val="21"/>
                <w:szCs w:val="21"/>
              </w:rPr>
            </w:pPr>
          </w:p>
        </w:tc>
        <w:tc>
          <w:tcPr>
            <w:tcW w:w="871" w:type="pct"/>
            <w:tcBorders>
              <w:tl2br w:val="nil"/>
              <w:tr2bl w:val="nil"/>
            </w:tcBorders>
            <w:vAlign w:val="center"/>
          </w:tcPr>
          <w:p w14:paraId="5F57EF32">
            <w:pPr>
              <w:spacing w:line="320" w:lineRule="exact"/>
              <w:jc w:val="center"/>
              <w:rPr>
                <w:color w:val="000000"/>
                <w:spacing w:val="24"/>
                <w:sz w:val="21"/>
              </w:rPr>
            </w:pPr>
            <w:r>
              <w:rPr>
                <w:color w:val="000000"/>
                <w:spacing w:val="24"/>
                <w:sz w:val="21"/>
              </w:rPr>
              <w:t>非甲烷总烃</w:t>
            </w:r>
          </w:p>
        </w:tc>
        <w:tc>
          <w:tcPr>
            <w:tcW w:w="629" w:type="pct"/>
            <w:tcBorders>
              <w:tl2br w:val="nil"/>
              <w:tr2bl w:val="nil"/>
            </w:tcBorders>
            <w:vAlign w:val="center"/>
          </w:tcPr>
          <w:p w14:paraId="616AAFE3">
            <w:pPr>
              <w:pStyle w:val="409"/>
              <w:spacing w:line="320" w:lineRule="exact"/>
              <w:jc w:val="center"/>
              <w:rPr>
                <w:rFonts w:ascii="Times New Roman" w:hAnsi="Times New Roman" w:eastAsia="宋体"/>
                <w:color w:val="000000"/>
              </w:rPr>
            </w:pPr>
            <w:r>
              <w:rPr>
                <w:rFonts w:ascii="Times New Roman" w:hAnsi="Times New Roman" w:eastAsia="宋体"/>
                <w:color w:val="000000"/>
              </w:rPr>
              <w:t>0.08</w:t>
            </w:r>
          </w:p>
        </w:tc>
        <w:tc>
          <w:tcPr>
            <w:tcW w:w="597" w:type="pct"/>
            <w:tcBorders>
              <w:tl2br w:val="nil"/>
              <w:tr2bl w:val="nil"/>
            </w:tcBorders>
            <w:vAlign w:val="center"/>
          </w:tcPr>
          <w:p w14:paraId="104009D2">
            <w:pPr>
              <w:jc w:val="center"/>
              <w:textAlignment w:val="center"/>
              <w:rPr>
                <w:color w:val="000000"/>
                <w:spacing w:val="24"/>
                <w:sz w:val="21"/>
              </w:rPr>
            </w:pPr>
            <w:r>
              <w:rPr>
                <w:color w:val="000000"/>
                <w:kern w:val="0"/>
                <w:sz w:val="21"/>
              </w:rPr>
              <w:t>/</w:t>
            </w:r>
          </w:p>
        </w:tc>
        <w:tc>
          <w:tcPr>
            <w:tcW w:w="597" w:type="pct"/>
            <w:tcBorders>
              <w:tl2br w:val="nil"/>
              <w:tr2bl w:val="nil"/>
            </w:tcBorders>
            <w:vAlign w:val="center"/>
          </w:tcPr>
          <w:p w14:paraId="7430DD80">
            <w:pPr>
              <w:spacing w:line="320" w:lineRule="exact"/>
              <w:jc w:val="center"/>
              <w:rPr>
                <w:color w:val="000000"/>
                <w:sz w:val="21"/>
              </w:rPr>
            </w:pPr>
            <w:r>
              <w:rPr>
                <w:color w:val="000000"/>
                <w:spacing w:val="24"/>
                <w:sz w:val="21"/>
              </w:rPr>
              <w:t>/</w:t>
            </w:r>
          </w:p>
        </w:tc>
        <w:tc>
          <w:tcPr>
            <w:tcW w:w="577" w:type="pct"/>
            <w:tcBorders>
              <w:tl2br w:val="nil"/>
              <w:tr2bl w:val="nil"/>
            </w:tcBorders>
            <w:vAlign w:val="center"/>
          </w:tcPr>
          <w:p w14:paraId="4EEABE08">
            <w:pPr>
              <w:spacing w:line="320" w:lineRule="exact"/>
              <w:jc w:val="center"/>
              <w:rPr>
                <w:color w:val="000000"/>
                <w:sz w:val="21"/>
              </w:rPr>
            </w:pPr>
            <w:r>
              <w:rPr>
                <w:color w:val="000000"/>
                <w:spacing w:val="24"/>
                <w:sz w:val="21"/>
              </w:rPr>
              <w:t>/</w:t>
            </w:r>
          </w:p>
        </w:tc>
        <w:tc>
          <w:tcPr>
            <w:tcW w:w="485" w:type="pct"/>
            <w:tcBorders>
              <w:tl2br w:val="nil"/>
              <w:tr2bl w:val="nil"/>
            </w:tcBorders>
            <w:vAlign w:val="center"/>
          </w:tcPr>
          <w:p w14:paraId="286773C7">
            <w:pPr>
              <w:widowControl w:val="0"/>
              <w:jc w:val="center"/>
              <w:rPr>
                <w:color w:val="000000"/>
                <w:sz w:val="21"/>
              </w:rPr>
            </w:pPr>
            <w:r>
              <w:rPr>
                <w:color w:val="000000"/>
                <w:sz w:val="21"/>
              </w:rPr>
              <w:t>达标</w:t>
            </w:r>
          </w:p>
        </w:tc>
      </w:tr>
      <w:tr w14:paraId="57100A0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229" w:type="pct"/>
            <w:vMerge w:val="restart"/>
            <w:tcBorders>
              <w:tl2br w:val="nil"/>
              <w:tr2bl w:val="nil"/>
            </w:tcBorders>
            <w:vAlign w:val="center"/>
          </w:tcPr>
          <w:p w14:paraId="1F9786EF">
            <w:pPr>
              <w:pStyle w:val="2191"/>
              <w:rPr>
                <w:color w:val="000000"/>
                <w:szCs w:val="21"/>
              </w:rPr>
            </w:pPr>
            <w:r>
              <w:rPr>
                <w:color w:val="000000"/>
                <w:szCs w:val="21"/>
              </w:rPr>
              <w:t>废水</w:t>
            </w:r>
          </w:p>
        </w:tc>
        <w:tc>
          <w:tcPr>
            <w:tcW w:w="1010" w:type="pct"/>
            <w:gridSpan w:val="2"/>
            <w:vMerge w:val="restart"/>
            <w:tcBorders>
              <w:tl2br w:val="nil"/>
              <w:tr2bl w:val="nil"/>
            </w:tcBorders>
            <w:vAlign w:val="center"/>
          </w:tcPr>
          <w:p w14:paraId="0C88BA01">
            <w:pPr>
              <w:jc w:val="center"/>
              <w:rPr>
                <w:color w:val="000000"/>
                <w:sz w:val="21"/>
              </w:rPr>
            </w:pPr>
            <w:r>
              <w:rPr>
                <w:color w:val="000000"/>
                <w:sz w:val="21"/>
              </w:rPr>
              <w:t>生产废水(1040m</w:t>
            </w:r>
            <w:r>
              <w:rPr>
                <w:color w:val="000000"/>
                <w:sz w:val="21"/>
                <w:vertAlign w:val="superscript"/>
              </w:rPr>
              <w:t>3</w:t>
            </w:r>
            <w:r>
              <w:rPr>
                <w:color w:val="000000"/>
                <w:sz w:val="21"/>
              </w:rPr>
              <w:t>/a)</w:t>
            </w:r>
          </w:p>
        </w:tc>
        <w:tc>
          <w:tcPr>
            <w:tcW w:w="871" w:type="pct"/>
            <w:tcBorders>
              <w:tl2br w:val="nil"/>
              <w:tr2bl w:val="nil"/>
            </w:tcBorders>
            <w:vAlign w:val="center"/>
          </w:tcPr>
          <w:p w14:paraId="1AC5FEF9">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COD</w:t>
            </w:r>
          </w:p>
        </w:tc>
        <w:tc>
          <w:tcPr>
            <w:tcW w:w="629" w:type="pct"/>
            <w:tcBorders>
              <w:tl2br w:val="nil"/>
              <w:tr2bl w:val="nil"/>
            </w:tcBorders>
            <w:vAlign w:val="center"/>
          </w:tcPr>
          <w:p w14:paraId="735C350E">
            <w:pPr>
              <w:pStyle w:val="409"/>
              <w:spacing w:line="320" w:lineRule="exact"/>
              <w:jc w:val="center"/>
              <w:rPr>
                <w:rFonts w:ascii="Times New Roman" w:hAnsi="Times New Roman" w:eastAsia="宋体"/>
                <w:color w:val="000000"/>
              </w:rPr>
            </w:pPr>
            <w:r>
              <w:rPr>
                <w:rFonts w:ascii="Times New Roman" w:hAnsi="Times New Roman" w:eastAsia="宋体"/>
                <w:color w:val="000000"/>
              </w:rPr>
              <w:t>0.083</w:t>
            </w:r>
          </w:p>
        </w:tc>
        <w:tc>
          <w:tcPr>
            <w:tcW w:w="597" w:type="pct"/>
            <w:tcBorders>
              <w:tl2br w:val="nil"/>
              <w:tr2bl w:val="nil"/>
            </w:tcBorders>
            <w:vAlign w:val="center"/>
          </w:tcPr>
          <w:p w14:paraId="5A3AE382">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0.0833</w:t>
            </w:r>
          </w:p>
        </w:tc>
        <w:tc>
          <w:tcPr>
            <w:tcW w:w="597" w:type="pct"/>
            <w:tcBorders>
              <w:tl2br w:val="nil"/>
              <w:tr2bl w:val="nil"/>
            </w:tcBorders>
            <w:vAlign w:val="center"/>
          </w:tcPr>
          <w:p w14:paraId="469395FD">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39mg/L</w:t>
            </w:r>
          </w:p>
        </w:tc>
        <w:tc>
          <w:tcPr>
            <w:tcW w:w="577" w:type="pct"/>
            <w:tcBorders>
              <w:tl2br w:val="nil"/>
              <w:tr2bl w:val="nil"/>
            </w:tcBorders>
            <w:vAlign w:val="center"/>
          </w:tcPr>
          <w:p w14:paraId="417A3EFC">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500mg/L</w:t>
            </w:r>
          </w:p>
        </w:tc>
        <w:tc>
          <w:tcPr>
            <w:tcW w:w="485" w:type="pct"/>
            <w:tcBorders>
              <w:tl2br w:val="nil"/>
              <w:tr2bl w:val="nil"/>
            </w:tcBorders>
            <w:vAlign w:val="center"/>
          </w:tcPr>
          <w:p w14:paraId="5B56E2A8">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达标</w:t>
            </w:r>
          </w:p>
        </w:tc>
      </w:tr>
      <w:tr w14:paraId="6E2B2D3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229" w:type="pct"/>
            <w:vMerge w:val="continue"/>
            <w:tcBorders>
              <w:tl2br w:val="nil"/>
              <w:tr2bl w:val="nil"/>
            </w:tcBorders>
            <w:vAlign w:val="center"/>
          </w:tcPr>
          <w:p w14:paraId="2DB1DB06">
            <w:pPr>
              <w:pStyle w:val="2191"/>
              <w:rPr>
                <w:color w:val="000000"/>
                <w:szCs w:val="21"/>
              </w:rPr>
            </w:pPr>
          </w:p>
        </w:tc>
        <w:tc>
          <w:tcPr>
            <w:tcW w:w="1010" w:type="pct"/>
            <w:gridSpan w:val="2"/>
            <w:vMerge w:val="continue"/>
            <w:tcBorders>
              <w:tl2br w:val="nil"/>
              <w:tr2bl w:val="nil"/>
            </w:tcBorders>
            <w:vAlign w:val="center"/>
          </w:tcPr>
          <w:p w14:paraId="67B7586A">
            <w:pPr>
              <w:pStyle w:val="2191"/>
              <w:rPr>
                <w:color w:val="000000"/>
                <w:szCs w:val="21"/>
              </w:rPr>
            </w:pPr>
          </w:p>
        </w:tc>
        <w:tc>
          <w:tcPr>
            <w:tcW w:w="871" w:type="pct"/>
            <w:tcBorders>
              <w:tl2br w:val="nil"/>
              <w:tr2bl w:val="nil"/>
            </w:tcBorders>
            <w:vAlign w:val="center"/>
          </w:tcPr>
          <w:p w14:paraId="0CBAE259">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SS</w:t>
            </w:r>
          </w:p>
        </w:tc>
        <w:tc>
          <w:tcPr>
            <w:tcW w:w="629" w:type="pct"/>
            <w:tcBorders>
              <w:tl2br w:val="nil"/>
              <w:tr2bl w:val="nil"/>
            </w:tcBorders>
            <w:vAlign w:val="center"/>
          </w:tcPr>
          <w:p w14:paraId="6FE2F0E6">
            <w:pPr>
              <w:pStyle w:val="409"/>
              <w:spacing w:line="320" w:lineRule="exact"/>
              <w:jc w:val="center"/>
              <w:rPr>
                <w:rFonts w:ascii="Times New Roman" w:hAnsi="Times New Roman" w:eastAsia="宋体"/>
                <w:color w:val="000000"/>
              </w:rPr>
            </w:pPr>
            <w:r>
              <w:rPr>
                <w:rFonts w:ascii="Times New Roman" w:hAnsi="Times New Roman" w:eastAsia="宋体"/>
                <w:color w:val="000000"/>
              </w:rPr>
              <w:t>0.073</w:t>
            </w:r>
          </w:p>
        </w:tc>
        <w:tc>
          <w:tcPr>
            <w:tcW w:w="597" w:type="pct"/>
            <w:tcBorders>
              <w:tl2br w:val="nil"/>
              <w:tr2bl w:val="nil"/>
            </w:tcBorders>
            <w:vAlign w:val="center"/>
          </w:tcPr>
          <w:p w14:paraId="7ABA63B0">
            <w:pPr>
              <w:spacing w:line="320" w:lineRule="exact"/>
              <w:jc w:val="center"/>
              <w:rPr>
                <w:color w:val="000000"/>
                <w:sz w:val="21"/>
              </w:rPr>
            </w:pPr>
            <w:r>
              <w:rPr>
                <w:color w:val="000000"/>
                <w:spacing w:val="24"/>
                <w:sz w:val="21"/>
              </w:rPr>
              <w:t>/</w:t>
            </w:r>
          </w:p>
        </w:tc>
        <w:tc>
          <w:tcPr>
            <w:tcW w:w="597" w:type="pct"/>
            <w:tcBorders>
              <w:tl2br w:val="nil"/>
              <w:tr2bl w:val="nil"/>
            </w:tcBorders>
            <w:vAlign w:val="center"/>
          </w:tcPr>
          <w:p w14:paraId="3EC9E037">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28mg/L</w:t>
            </w:r>
          </w:p>
        </w:tc>
        <w:tc>
          <w:tcPr>
            <w:tcW w:w="577" w:type="pct"/>
            <w:tcBorders>
              <w:tl2br w:val="nil"/>
              <w:tr2bl w:val="nil"/>
            </w:tcBorders>
            <w:vAlign w:val="center"/>
          </w:tcPr>
          <w:p w14:paraId="14638FB7">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400mg/L</w:t>
            </w:r>
          </w:p>
        </w:tc>
        <w:tc>
          <w:tcPr>
            <w:tcW w:w="485" w:type="pct"/>
            <w:tcBorders>
              <w:tl2br w:val="nil"/>
              <w:tr2bl w:val="nil"/>
            </w:tcBorders>
            <w:vAlign w:val="center"/>
          </w:tcPr>
          <w:p w14:paraId="13A0765C">
            <w:pPr>
              <w:widowControl w:val="0"/>
              <w:jc w:val="center"/>
              <w:rPr>
                <w:color w:val="000000"/>
                <w:sz w:val="21"/>
              </w:rPr>
            </w:pPr>
            <w:r>
              <w:rPr>
                <w:color w:val="000000"/>
                <w:sz w:val="21"/>
              </w:rPr>
              <w:t>达标</w:t>
            </w:r>
          </w:p>
        </w:tc>
      </w:tr>
      <w:tr w14:paraId="7FB7684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229" w:type="pct"/>
            <w:vMerge w:val="continue"/>
            <w:tcBorders>
              <w:tl2br w:val="nil"/>
              <w:tr2bl w:val="nil"/>
            </w:tcBorders>
            <w:vAlign w:val="center"/>
          </w:tcPr>
          <w:p w14:paraId="73FE7176">
            <w:pPr>
              <w:pStyle w:val="2191"/>
              <w:rPr>
                <w:color w:val="000000"/>
                <w:szCs w:val="21"/>
              </w:rPr>
            </w:pPr>
          </w:p>
        </w:tc>
        <w:tc>
          <w:tcPr>
            <w:tcW w:w="1010" w:type="pct"/>
            <w:gridSpan w:val="2"/>
            <w:vMerge w:val="continue"/>
            <w:tcBorders>
              <w:tl2br w:val="nil"/>
              <w:tr2bl w:val="nil"/>
            </w:tcBorders>
            <w:vAlign w:val="center"/>
          </w:tcPr>
          <w:p w14:paraId="1970AFCA">
            <w:pPr>
              <w:pStyle w:val="2191"/>
              <w:rPr>
                <w:color w:val="000000"/>
                <w:szCs w:val="21"/>
              </w:rPr>
            </w:pPr>
          </w:p>
        </w:tc>
        <w:tc>
          <w:tcPr>
            <w:tcW w:w="871" w:type="pct"/>
            <w:tcBorders>
              <w:tl2br w:val="nil"/>
              <w:tr2bl w:val="nil"/>
            </w:tcBorders>
            <w:vAlign w:val="center"/>
          </w:tcPr>
          <w:p w14:paraId="24C8B679">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石油类</w:t>
            </w:r>
          </w:p>
        </w:tc>
        <w:tc>
          <w:tcPr>
            <w:tcW w:w="629" w:type="pct"/>
            <w:tcBorders>
              <w:tl2br w:val="nil"/>
              <w:tr2bl w:val="nil"/>
            </w:tcBorders>
            <w:vAlign w:val="center"/>
          </w:tcPr>
          <w:p w14:paraId="7A73DDF9">
            <w:pPr>
              <w:pStyle w:val="409"/>
              <w:spacing w:line="320" w:lineRule="exact"/>
              <w:jc w:val="center"/>
              <w:rPr>
                <w:rFonts w:ascii="Times New Roman" w:hAnsi="Times New Roman" w:eastAsia="宋体"/>
                <w:color w:val="000000"/>
              </w:rPr>
            </w:pPr>
            <w:r>
              <w:rPr>
                <w:rFonts w:ascii="Times New Roman" w:hAnsi="Times New Roman" w:eastAsia="宋体"/>
                <w:color w:val="000000"/>
              </w:rPr>
              <w:t>0.003</w:t>
            </w:r>
          </w:p>
        </w:tc>
        <w:tc>
          <w:tcPr>
            <w:tcW w:w="597" w:type="pct"/>
            <w:tcBorders>
              <w:tl2br w:val="nil"/>
              <w:tr2bl w:val="nil"/>
            </w:tcBorders>
            <w:vAlign w:val="center"/>
          </w:tcPr>
          <w:p w14:paraId="16ECCDF7">
            <w:pPr>
              <w:jc w:val="center"/>
              <w:textAlignment w:val="center"/>
              <w:rPr>
                <w:color w:val="000000"/>
                <w:sz w:val="21"/>
              </w:rPr>
            </w:pPr>
            <w:r>
              <w:rPr>
                <w:color w:val="000000"/>
                <w:kern w:val="0"/>
                <w:sz w:val="21"/>
              </w:rPr>
              <w:t>/</w:t>
            </w:r>
          </w:p>
        </w:tc>
        <w:tc>
          <w:tcPr>
            <w:tcW w:w="597" w:type="pct"/>
            <w:tcBorders>
              <w:tl2br w:val="nil"/>
              <w:tr2bl w:val="nil"/>
            </w:tcBorders>
            <w:vAlign w:val="center"/>
          </w:tcPr>
          <w:p w14:paraId="2612003C">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0.06L</w:t>
            </w:r>
          </w:p>
        </w:tc>
        <w:tc>
          <w:tcPr>
            <w:tcW w:w="577" w:type="pct"/>
            <w:tcBorders>
              <w:tl2br w:val="nil"/>
              <w:tr2bl w:val="nil"/>
            </w:tcBorders>
            <w:vAlign w:val="center"/>
          </w:tcPr>
          <w:p w14:paraId="05342223">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20mg/L</w:t>
            </w:r>
          </w:p>
        </w:tc>
        <w:tc>
          <w:tcPr>
            <w:tcW w:w="485" w:type="pct"/>
            <w:tcBorders>
              <w:tl2br w:val="nil"/>
              <w:tr2bl w:val="nil"/>
            </w:tcBorders>
            <w:vAlign w:val="center"/>
          </w:tcPr>
          <w:p w14:paraId="3B0F09C5">
            <w:pPr>
              <w:widowControl w:val="0"/>
              <w:jc w:val="center"/>
              <w:rPr>
                <w:color w:val="000000"/>
                <w:sz w:val="21"/>
              </w:rPr>
            </w:pPr>
            <w:r>
              <w:rPr>
                <w:color w:val="000000"/>
                <w:sz w:val="21"/>
              </w:rPr>
              <w:t>达标</w:t>
            </w:r>
          </w:p>
        </w:tc>
      </w:tr>
      <w:tr w14:paraId="00A1CE1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229" w:type="pct"/>
            <w:vMerge w:val="continue"/>
            <w:tcBorders>
              <w:tl2br w:val="nil"/>
              <w:tr2bl w:val="nil"/>
            </w:tcBorders>
            <w:vAlign w:val="center"/>
          </w:tcPr>
          <w:p w14:paraId="696EC759">
            <w:pPr>
              <w:pStyle w:val="2191"/>
              <w:rPr>
                <w:color w:val="000000"/>
                <w:szCs w:val="21"/>
              </w:rPr>
            </w:pPr>
          </w:p>
        </w:tc>
        <w:tc>
          <w:tcPr>
            <w:tcW w:w="1010" w:type="pct"/>
            <w:gridSpan w:val="2"/>
            <w:vMerge w:val="restart"/>
            <w:tcBorders>
              <w:tl2br w:val="nil"/>
              <w:tr2bl w:val="nil"/>
            </w:tcBorders>
            <w:vAlign w:val="center"/>
          </w:tcPr>
          <w:p w14:paraId="7BA51732">
            <w:pPr>
              <w:jc w:val="center"/>
              <w:rPr>
                <w:color w:val="000000"/>
                <w:sz w:val="21"/>
              </w:rPr>
            </w:pPr>
            <w:r>
              <w:rPr>
                <w:color w:val="000000"/>
                <w:sz w:val="21"/>
              </w:rPr>
              <w:t>生活污水(2673m</w:t>
            </w:r>
            <w:r>
              <w:rPr>
                <w:color w:val="000000"/>
                <w:sz w:val="21"/>
                <w:vertAlign w:val="superscript"/>
              </w:rPr>
              <w:t>3</w:t>
            </w:r>
            <w:r>
              <w:rPr>
                <w:color w:val="000000"/>
                <w:sz w:val="21"/>
              </w:rPr>
              <w:t>/a)</w:t>
            </w:r>
          </w:p>
          <w:p w14:paraId="145913B8">
            <w:pPr>
              <w:jc w:val="center"/>
              <w:rPr>
                <w:color w:val="000000"/>
                <w:sz w:val="21"/>
              </w:rPr>
            </w:pPr>
          </w:p>
        </w:tc>
        <w:tc>
          <w:tcPr>
            <w:tcW w:w="871" w:type="pct"/>
            <w:tcBorders>
              <w:tl2br w:val="nil"/>
              <w:tr2bl w:val="nil"/>
            </w:tcBorders>
            <w:vAlign w:val="center"/>
          </w:tcPr>
          <w:p w14:paraId="2BEF85F8">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COD</w:t>
            </w:r>
          </w:p>
        </w:tc>
        <w:tc>
          <w:tcPr>
            <w:tcW w:w="629" w:type="pct"/>
            <w:tcBorders>
              <w:tl2br w:val="nil"/>
              <w:tr2bl w:val="nil"/>
            </w:tcBorders>
            <w:vAlign w:val="center"/>
          </w:tcPr>
          <w:p w14:paraId="2F850D04">
            <w:pPr>
              <w:pStyle w:val="409"/>
              <w:spacing w:line="320" w:lineRule="exact"/>
              <w:jc w:val="center"/>
              <w:rPr>
                <w:rFonts w:ascii="Times New Roman" w:hAnsi="Times New Roman" w:eastAsia="宋体"/>
                <w:color w:val="000000"/>
              </w:rPr>
            </w:pPr>
            <w:r>
              <w:rPr>
                <w:rFonts w:ascii="Times New Roman" w:hAnsi="Times New Roman" w:eastAsia="宋体"/>
                <w:color w:val="000000"/>
              </w:rPr>
              <w:t xml:space="preserve">0.214 </w:t>
            </w:r>
          </w:p>
        </w:tc>
        <w:tc>
          <w:tcPr>
            <w:tcW w:w="597" w:type="pct"/>
            <w:tcBorders>
              <w:tl2br w:val="nil"/>
              <w:tr2bl w:val="nil"/>
            </w:tcBorders>
            <w:vAlign w:val="center"/>
          </w:tcPr>
          <w:p w14:paraId="5A3A9061">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0.22</w:t>
            </w:r>
          </w:p>
        </w:tc>
        <w:tc>
          <w:tcPr>
            <w:tcW w:w="597" w:type="pct"/>
            <w:tcBorders>
              <w:tl2br w:val="nil"/>
              <w:tr2bl w:val="nil"/>
            </w:tcBorders>
            <w:vAlign w:val="center"/>
          </w:tcPr>
          <w:p w14:paraId="4099FF40">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106</w:t>
            </w:r>
            <w:r>
              <w:rPr>
                <w:rFonts w:ascii="Times New Roman" w:hAnsi="Times New Roman"/>
                <w:color w:val="000000"/>
                <w:kern w:val="2"/>
                <w:sz w:val="21"/>
                <w:szCs w:val="21"/>
              </w:rPr>
              <w:t>mg/L</w:t>
            </w:r>
          </w:p>
        </w:tc>
        <w:tc>
          <w:tcPr>
            <w:tcW w:w="577" w:type="pct"/>
            <w:tcBorders>
              <w:tl2br w:val="nil"/>
              <w:tr2bl w:val="nil"/>
            </w:tcBorders>
            <w:vAlign w:val="center"/>
          </w:tcPr>
          <w:p w14:paraId="3048A06D">
            <w:pPr>
              <w:jc w:val="center"/>
              <w:textAlignment w:val="center"/>
              <w:rPr>
                <w:color w:val="000000"/>
                <w:sz w:val="21"/>
              </w:rPr>
            </w:pPr>
            <w:r>
              <w:rPr>
                <w:color w:val="000000"/>
                <w:kern w:val="0"/>
                <w:sz w:val="21"/>
              </w:rPr>
              <w:t>500</w:t>
            </w:r>
            <w:r>
              <w:rPr>
                <w:color w:val="000000"/>
                <w:sz w:val="21"/>
              </w:rPr>
              <w:t>mg/L</w:t>
            </w:r>
          </w:p>
        </w:tc>
        <w:tc>
          <w:tcPr>
            <w:tcW w:w="485" w:type="pct"/>
            <w:tcBorders>
              <w:tl2br w:val="nil"/>
              <w:tr2bl w:val="nil"/>
            </w:tcBorders>
            <w:vAlign w:val="center"/>
          </w:tcPr>
          <w:p w14:paraId="3914AA61">
            <w:pPr>
              <w:widowControl w:val="0"/>
              <w:jc w:val="center"/>
              <w:rPr>
                <w:color w:val="000000"/>
                <w:sz w:val="21"/>
              </w:rPr>
            </w:pPr>
            <w:r>
              <w:rPr>
                <w:color w:val="000000"/>
                <w:sz w:val="21"/>
              </w:rPr>
              <w:t>达标</w:t>
            </w:r>
          </w:p>
        </w:tc>
      </w:tr>
      <w:tr w14:paraId="5BDEA09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29" w:type="pct"/>
            <w:vMerge w:val="continue"/>
            <w:tcBorders>
              <w:tl2br w:val="nil"/>
              <w:tr2bl w:val="nil"/>
            </w:tcBorders>
            <w:vAlign w:val="center"/>
          </w:tcPr>
          <w:p w14:paraId="0579BBA4">
            <w:pPr>
              <w:pStyle w:val="2191"/>
              <w:rPr>
                <w:color w:val="000000"/>
                <w:szCs w:val="21"/>
              </w:rPr>
            </w:pPr>
          </w:p>
        </w:tc>
        <w:tc>
          <w:tcPr>
            <w:tcW w:w="1010" w:type="pct"/>
            <w:gridSpan w:val="2"/>
            <w:vMerge w:val="continue"/>
            <w:tcBorders>
              <w:tl2br w:val="nil"/>
              <w:tr2bl w:val="nil"/>
            </w:tcBorders>
            <w:vAlign w:val="center"/>
          </w:tcPr>
          <w:p w14:paraId="03DBF273">
            <w:pPr>
              <w:pStyle w:val="2191"/>
              <w:rPr>
                <w:color w:val="000000"/>
                <w:szCs w:val="21"/>
              </w:rPr>
            </w:pPr>
          </w:p>
        </w:tc>
        <w:tc>
          <w:tcPr>
            <w:tcW w:w="871" w:type="pct"/>
            <w:tcBorders>
              <w:tl2br w:val="nil"/>
              <w:tr2bl w:val="nil"/>
            </w:tcBorders>
            <w:vAlign w:val="center"/>
          </w:tcPr>
          <w:p w14:paraId="16EF4EE5">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BOD</w:t>
            </w:r>
            <w:r>
              <w:rPr>
                <w:rFonts w:ascii="Times New Roman" w:hAnsi="Times New Roman"/>
                <w:color w:val="000000"/>
                <w:kern w:val="2"/>
                <w:sz w:val="21"/>
                <w:szCs w:val="21"/>
                <w:vertAlign w:val="subscript"/>
              </w:rPr>
              <w:t>5</w:t>
            </w:r>
          </w:p>
        </w:tc>
        <w:tc>
          <w:tcPr>
            <w:tcW w:w="629" w:type="pct"/>
            <w:tcBorders>
              <w:tl2br w:val="nil"/>
              <w:tr2bl w:val="nil"/>
            </w:tcBorders>
            <w:vAlign w:val="center"/>
          </w:tcPr>
          <w:p w14:paraId="5BC34824">
            <w:pPr>
              <w:pStyle w:val="409"/>
              <w:spacing w:line="320" w:lineRule="exact"/>
              <w:jc w:val="center"/>
              <w:rPr>
                <w:rFonts w:ascii="Times New Roman" w:hAnsi="Times New Roman" w:eastAsia="宋体"/>
                <w:color w:val="000000"/>
              </w:rPr>
            </w:pPr>
            <w:r>
              <w:rPr>
                <w:rFonts w:ascii="Times New Roman" w:hAnsi="Times New Roman" w:eastAsia="宋体"/>
                <w:color w:val="000000"/>
              </w:rPr>
              <w:t xml:space="preserve">0.053 </w:t>
            </w:r>
          </w:p>
        </w:tc>
        <w:tc>
          <w:tcPr>
            <w:tcW w:w="597" w:type="pct"/>
            <w:tcBorders>
              <w:tl2br w:val="nil"/>
              <w:tr2bl w:val="nil"/>
            </w:tcBorders>
            <w:vAlign w:val="center"/>
          </w:tcPr>
          <w:p w14:paraId="5FFEC16E">
            <w:pPr>
              <w:spacing w:line="320" w:lineRule="exact"/>
              <w:jc w:val="center"/>
              <w:rPr>
                <w:color w:val="000000"/>
                <w:sz w:val="21"/>
              </w:rPr>
            </w:pPr>
            <w:r>
              <w:rPr>
                <w:color w:val="000000"/>
                <w:spacing w:val="24"/>
                <w:sz w:val="21"/>
              </w:rPr>
              <w:t>/</w:t>
            </w:r>
          </w:p>
        </w:tc>
        <w:tc>
          <w:tcPr>
            <w:tcW w:w="597" w:type="pct"/>
            <w:tcBorders>
              <w:tl2br w:val="nil"/>
              <w:tr2bl w:val="nil"/>
            </w:tcBorders>
            <w:vAlign w:val="center"/>
          </w:tcPr>
          <w:p w14:paraId="53909A7F">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9.5</w:t>
            </w:r>
            <w:r>
              <w:rPr>
                <w:rFonts w:ascii="Times New Roman" w:hAnsi="Times New Roman"/>
                <w:color w:val="000000"/>
                <w:kern w:val="2"/>
                <w:sz w:val="21"/>
                <w:szCs w:val="21"/>
              </w:rPr>
              <w:t>mg/L</w:t>
            </w:r>
          </w:p>
        </w:tc>
        <w:tc>
          <w:tcPr>
            <w:tcW w:w="577" w:type="pct"/>
            <w:tcBorders>
              <w:tl2br w:val="nil"/>
              <w:tr2bl w:val="nil"/>
            </w:tcBorders>
            <w:vAlign w:val="center"/>
          </w:tcPr>
          <w:p w14:paraId="003FBD28">
            <w:pPr>
              <w:jc w:val="center"/>
              <w:textAlignment w:val="center"/>
              <w:rPr>
                <w:color w:val="000000"/>
                <w:sz w:val="21"/>
              </w:rPr>
            </w:pPr>
            <w:r>
              <w:rPr>
                <w:color w:val="000000"/>
                <w:kern w:val="0"/>
                <w:sz w:val="21"/>
              </w:rPr>
              <w:t>236</w:t>
            </w:r>
            <w:r>
              <w:rPr>
                <w:color w:val="000000"/>
                <w:sz w:val="21"/>
              </w:rPr>
              <w:t>mg/L</w:t>
            </w:r>
          </w:p>
        </w:tc>
        <w:tc>
          <w:tcPr>
            <w:tcW w:w="485" w:type="pct"/>
            <w:tcBorders>
              <w:tl2br w:val="nil"/>
              <w:tr2bl w:val="nil"/>
            </w:tcBorders>
            <w:vAlign w:val="center"/>
          </w:tcPr>
          <w:p w14:paraId="62532E97">
            <w:pPr>
              <w:widowControl w:val="0"/>
              <w:jc w:val="center"/>
              <w:rPr>
                <w:color w:val="000000"/>
                <w:sz w:val="21"/>
              </w:rPr>
            </w:pPr>
            <w:r>
              <w:rPr>
                <w:color w:val="000000"/>
                <w:sz w:val="21"/>
              </w:rPr>
              <w:t>达标</w:t>
            </w:r>
          </w:p>
        </w:tc>
      </w:tr>
      <w:tr w14:paraId="0102822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229" w:type="pct"/>
            <w:vMerge w:val="continue"/>
            <w:tcBorders>
              <w:tl2br w:val="nil"/>
              <w:tr2bl w:val="nil"/>
            </w:tcBorders>
            <w:vAlign w:val="center"/>
          </w:tcPr>
          <w:p w14:paraId="33B5E155">
            <w:pPr>
              <w:pStyle w:val="2191"/>
              <w:rPr>
                <w:color w:val="000000"/>
                <w:szCs w:val="21"/>
              </w:rPr>
            </w:pPr>
          </w:p>
        </w:tc>
        <w:tc>
          <w:tcPr>
            <w:tcW w:w="1010" w:type="pct"/>
            <w:gridSpan w:val="2"/>
            <w:vMerge w:val="continue"/>
            <w:tcBorders>
              <w:tl2br w:val="nil"/>
              <w:tr2bl w:val="nil"/>
            </w:tcBorders>
            <w:vAlign w:val="center"/>
          </w:tcPr>
          <w:p w14:paraId="69973E18">
            <w:pPr>
              <w:pStyle w:val="2191"/>
              <w:rPr>
                <w:color w:val="000000"/>
                <w:szCs w:val="21"/>
              </w:rPr>
            </w:pPr>
          </w:p>
        </w:tc>
        <w:tc>
          <w:tcPr>
            <w:tcW w:w="871" w:type="pct"/>
            <w:tcBorders>
              <w:tl2br w:val="nil"/>
              <w:tr2bl w:val="nil"/>
            </w:tcBorders>
            <w:vAlign w:val="center"/>
          </w:tcPr>
          <w:p w14:paraId="43525D4D">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SS</w:t>
            </w:r>
          </w:p>
        </w:tc>
        <w:tc>
          <w:tcPr>
            <w:tcW w:w="629" w:type="pct"/>
            <w:tcBorders>
              <w:tl2br w:val="nil"/>
              <w:tr2bl w:val="nil"/>
            </w:tcBorders>
            <w:vAlign w:val="center"/>
          </w:tcPr>
          <w:p w14:paraId="7FEA1387">
            <w:pPr>
              <w:pStyle w:val="409"/>
              <w:spacing w:line="320" w:lineRule="exact"/>
              <w:jc w:val="center"/>
              <w:rPr>
                <w:rFonts w:ascii="Times New Roman" w:hAnsi="Times New Roman" w:eastAsia="宋体"/>
                <w:color w:val="000000"/>
              </w:rPr>
            </w:pPr>
            <w:r>
              <w:rPr>
                <w:rFonts w:ascii="Times New Roman" w:hAnsi="Times New Roman" w:eastAsia="宋体"/>
                <w:color w:val="000000"/>
              </w:rPr>
              <w:t xml:space="preserve">0.187 </w:t>
            </w:r>
          </w:p>
        </w:tc>
        <w:tc>
          <w:tcPr>
            <w:tcW w:w="597" w:type="pct"/>
            <w:tcBorders>
              <w:tl2br w:val="nil"/>
              <w:tr2bl w:val="nil"/>
            </w:tcBorders>
            <w:vAlign w:val="center"/>
          </w:tcPr>
          <w:p w14:paraId="4D55DC85">
            <w:pPr>
              <w:jc w:val="center"/>
              <w:textAlignment w:val="center"/>
              <w:rPr>
                <w:color w:val="000000"/>
                <w:sz w:val="21"/>
              </w:rPr>
            </w:pPr>
            <w:r>
              <w:rPr>
                <w:color w:val="000000"/>
                <w:kern w:val="0"/>
                <w:sz w:val="21"/>
              </w:rPr>
              <w:t>/</w:t>
            </w:r>
          </w:p>
        </w:tc>
        <w:tc>
          <w:tcPr>
            <w:tcW w:w="597" w:type="pct"/>
            <w:tcBorders>
              <w:tl2br w:val="nil"/>
              <w:tr2bl w:val="nil"/>
            </w:tcBorders>
            <w:vAlign w:val="center"/>
          </w:tcPr>
          <w:p w14:paraId="7167FE48">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47</w:t>
            </w:r>
            <w:r>
              <w:rPr>
                <w:rFonts w:ascii="Times New Roman" w:hAnsi="Times New Roman"/>
                <w:color w:val="000000"/>
                <w:kern w:val="2"/>
                <w:sz w:val="21"/>
                <w:szCs w:val="21"/>
              </w:rPr>
              <w:t>mg/L</w:t>
            </w:r>
          </w:p>
        </w:tc>
        <w:tc>
          <w:tcPr>
            <w:tcW w:w="577" w:type="pct"/>
            <w:tcBorders>
              <w:tl2br w:val="nil"/>
              <w:tr2bl w:val="nil"/>
            </w:tcBorders>
            <w:vAlign w:val="center"/>
          </w:tcPr>
          <w:p w14:paraId="4390DB53">
            <w:pPr>
              <w:jc w:val="center"/>
              <w:textAlignment w:val="center"/>
              <w:rPr>
                <w:color w:val="000000"/>
                <w:sz w:val="21"/>
              </w:rPr>
            </w:pPr>
            <w:r>
              <w:rPr>
                <w:color w:val="000000"/>
                <w:kern w:val="0"/>
                <w:sz w:val="21"/>
              </w:rPr>
              <w:t>400</w:t>
            </w:r>
            <w:r>
              <w:rPr>
                <w:color w:val="000000"/>
                <w:sz w:val="21"/>
              </w:rPr>
              <w:t>mg/L</w:t>
            </w:r>
          </w:p>
        </w:tc>
        <w:tc>
          <w:tcPr>
            <w:tcW w:w="485" w:type="pct"/>
            <w:tcBorders>
              <w:tl2br w:val="nil"/>
              <w:tr2bl w:val="nil"/>
            </w:tcBorders>
            <w:vAlign w:val="center"/>
          </w:tcPr>
          <w:p w14:paraId="5CF17E78">
            <w:pPr>
              <w:widowControl w:val="0"/>
              <w:jc w:val="center"/>
              <w:rPr>
                <w:color w:val="000000"/>
                <w:sz w:val="21"/>
              </w:rPr>
            </w:pPr>
            <w:r>
              <w:rPr>
                <w:color w:val="000000"/>
                <w:sz w:val="21"/>
              </w:rPr>
              <w:t>达标</w:t>
            </w:r>
          </w:p>
        </w:tc>
      </w:tr>
      <w:tr w14:paraId="795B4B5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229" w:type="pct"/>
            <w:vMerge w:val="continue"/>
            <w:tcBorders>
              <w:tl2br w:val="nil"/>
              <w:tr2bl w:val="nil"/>
            </w:tcBorders>
            <w:vAlign w:val="center"/>
          </w:tcPr>
          <w:p w14:paraId="4BF3A35E">
            <w:pPr>
              <w:pStyle w:val="2191"/>
              <w:rPr>
                <w:color w:val="000000"/>
                <w:szCs w:val="21"/>
              </w:rPr>
            </w:pPr>
          </w:p>
        </w:tc>
        <w:tc>
          <w:tcPr>
            <w:tcW w:w="1010" w:type="pct"/>
            <w:gridSpan w:val="2"/>
            <w:vMerge w:val="continue"/>
            <w:tcBorders>
              <w:tl2br w:val="nil"/>
              <w:tr2bl w:val="nil"/>
            </w:tcBorders>
            <w:vAlign w:val="center"/>
          </w:tcPr>
          <w:p w14:paraId="3F0F84EB">
            <w:pPr>
              <w:jc w:val="center"/>
              <w:rPr>
                <w:color w:val="000000"/>
                <w:sz w:val="21"/>
              </w:rPr>
            </w:pPr>
          </w:p>
        </w:tc>
        <w:tc>
          <w:tcPr>
            <w:tcW w:w="871" w:type="pct"/>
            <w:tcBorders>
              <w:tl2br w:val="nil"/>
              <w:tr2bl w:val="nil"/>
            </w:tcBorders>
            <w:vAlign w:val="center"/>
          </w:tcPr>
          <w:p w14:paraId="2B2FD8AC">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NH</w:t>
            </w:r>
            <w:r>
              <w:rPr>
                <w:rFonts w:ascii="Times New Roman" w:hAnsi="Times New Roman"/>
                <w:color w:val="000000"/>
                <w:kern w:val="2"/>
                <w:sz w:val="21"/>
                <w:szCs w:val="21"/>
                <w:vertAlign w:val="subscript"/>
              </w:rPr>
              <w:t>3</w:t>
            </w:r>
            <w:r>
              <w:rPr>
                <w:rFonts w:ascii="Times New Roman" w:hAnsi="Times New Roman"/>
                <w:color w:val="000000"/>
                <w:kern w:val="2"/>
                <w:sz w:val="21"/>
                <w:szCs w:val="21"/>
              </w:rPr>
              <w:t>-N</w:t>
            </w:r>
          </w:p>
        </w:tc>
        <w:tc>
          <w:tcPr>
            <w:tcW w:w="629" w:type="pct"/>
            <w:tcBorders>
              <w:tl2br w:val="nil"/>
              <w:tr2bl w:val="nil"/>
            </w:tcBorders>
            <w:vAlign w:val="center"/>
          </w:tcPr>
          <w:p w14:paraId="39C979D8">
            <w:pPr>
              <w:pStyle w:val="409"/>
              <w:spacing w:line="320" w:lineRule="exact"/>
              <w:jc w:val="center"/>
              <w:rPr>
                <w:rFonts w:ascii="Times New Roman" w:hAnsi="Times New Roman" w:eastAsia="宋体"/>
                <w:color w:val="000000"/>
              </w:rPr>
            </w:pPr>
            <w:r>
              <w:rPr>
                <w:rFonts w:ascii="Times New Roman" w:hAnsi="Times New Roman" w:eastAsia="宋体"/>
                <w:color w:val="000000"/>
              </w:rPr>
              <w:t xml:space="preserve">0.027 </w:t>
            </w:r>
          </w:p>
        </w:tc>
        <w:tc>
          <w:tcPr>
            <w:tcW w:w="597" w:type="pct"/>
            <w:tcBorders>
              <w:tl2br w:val="nil"/>
              <w:tr2bl w:val="nil"/>
            </w:tcBorders>
            <w:vAlign w:val="center"/>
          </w:tcPr>
          <w:p w14:paraId="12DC6245">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0.03</w:t>
            </w:r>
          </w:p>
        </w:tc>
        <w:tc>
          <w:tcPr>
            <w:tcW w:w="597" w:type="pct"/>
            <w:tcBorders>
              <w:tl2br w:val="nil"/>
              <w:tr2bl w:val="nil"/>
            </w:tcBorders>
            <w:vAlign w:val="center"/>
          </w:tcPr>
          <w:p w14:paraId="39A0CC01">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45</w:t>
            </w:r>
            <w:r>
              <w:rPr>
                <w:rFonts w:ascii="Times New Roman" w:hAnsi="Times New Roman"/>
                <w:color w:val="000000"/>
                <w:kern w:val="2"/>
                <w:sz w:val="21"/>
                <w:szCs w:val="21"/>
              </w:rPr>
              <w:t>mg/L</w:t>
            </w:r>
          </w:p>
        </w:tc>
        <w:tc>
          <w:tcPr>
            <w:tcW w:w="577" w:type="pct"/>
            <w:tcBorders>
              <w:tl2br w:val="nil"/>
              <w:tr2bl w:val="nil"/>
            </w:tcBorders>
            <w:vAlign w:val="center"/>
          </w:tcPr>
          <w:p w14:paraId="39B65865">
            <w:pPr>
              <w:jc w:val="center"/>
              <w:textAlignment w:val="center"/>
              <w:rPr>
                <w:color w:val="000000"/>
                <w:sz w:val="21"/>
              </w:rPr>
            </w:pPr>
            <w:r>
              <w:rPr>
                <w:color w:val="000000"/>
                <w:kern w:val="0"/>
                <w:sz w:val="21"/>
              </w:rPr>
              <w:t>56</w:t>
            </w:r>
            <w:r>
              <w:rPr>
                <w:color w:val="000000"/>
                <w:sz w:val="21"/>
              </w:rPr>
              <w:t>mg/L</w:t>
            </w:r>
          </w:p>
        </w:tc>
        <w:tc>
          <w:tcPr>
            <w:tcW w:w="485" w:type="pct"/>
            <w:tcBorders>
              <w:tl2br w:val="nil"/>
              <w:tr2bl w:val="nil"/>
            </w:tcBorders>
            <w:vAlign w:val="center"/>
          </w:tcPr>
          <w:p w14:paraId="1BAB2126">
            <w:pPr>
              <w:widowControl w:val="0"/>
              <w:jc w:val="center"/>
              <w:rPr>
                <w:color w:val="000000"/>
                <w:sz w:val="21"/>
              </w:rPr>
            </w:pPr>
            <w:r>
              <w:rPr>
                <w:color w:val="000000"/>
                <w:sz w:val="21"/>
              </w:rPr>
              <w:t>达标</w:t>
            </w:r>
          </w:p>
        </w:tc>
      </w:tr>
      <w:tr w14:paraId="47B3AC3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229" w:type="pct"/>
            <w:vMerge w:val="continue"/>
            <w:tcBorders>
              <w:tl2br w:val="nil"/>
              <w:tr2bl w:val="nil"/>
            </w:tcBorders>
            <w:vAlign w:val="center"/>
          </w:tcPr>
          <w:p w14:paraId="719BA262">
            <w:pPr>
              <w:pStyle w:val="2191"/>
              <w:rPr>
                <w:color w:val="000000"/>
                <w:szCs w:val="21"/>
              </w:rPr>
            </w:pPr>
          </w:p>
        </w:tc>
        <w:tc>
          <w:tcPr>
            <w:tcW w:w="1010" w:type="pct"/>
            <w:gridSpan w:val="2"/>
            <w:vMerge w:val="continue"/>
            <w:tcBorders>
              <w:tl2br w:val="nil"/>
              <w:tr2bl w:val="nil"/>
            </w:tcBorders>
            <w:vAlign w:val="center"/>
          </w:tcPr>
          <w:p w14:paraId="4A65F355">
            <w:pPr>
              <w:jc w:val="center"/>
              <w:rPr>
                <w:color w:val="000000"/>
                <w:sz w:val="21"/>
              </w:rPr>
            </w:pPr>
          </w:p>
        </w:tc>
        <w:tc>
          <w:tcPr>
            <w:tcW w:w="871" w:type="pct"/>
            <w:tcBorders>
              <w:tl2br w:val="nil"/>
              <w:tr2bl w:val="nil"/>
            </w:tcBorders>
            <w:vAlign w:val="center"/>
          </w:tcPr>
          <w:p w14:paraId="59CE1178">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TP</w:t>
            </w:r>
          </w:p>
        </w:tc>
        <w:tc>
          <w:tcPr>
            <w:tcW w:w="629" w:type="pct"/>
            <w:tcBorders>
              <w:tl2br w:val="nil"/>
              <w:tr2bl w:val="nil"/>
            </w:tcBorders>
            <w:vAlign w:val="center"/>
          </w:tcPr>
          <w:p w14:paraId="18BDEC51">
            <w:pPr>
              <w:pStyle w:val="409"/>
              <w:spacing w:line="320" w:lineRule="exact"/>
              <w:jc w:val="center"/>
              <w:rPr>
                <w:rFonts w:ascii="Times New Roman" w:hAnsi="Times New Roman" w:eastAsia="宋体"/>
                <w:color w:val="000000"/>
              </w:rPr>
            </w:pPr>
            <w:r>
              <w:rPr>
                <w:rFonts w:ascii="Times New Roman" w:hAnsi="Times New Roman" w:eastAsia="宋体"/>
                <w:color w:val="000000"/>
              </w:rPr>
              <w:t xml:space="preserve">0.001 </w:t>
            </w:r>
          </w:p>
        </w:tc>
        <w:tc>
          <w:tcPr>
            <w:tcW w:w="597" w:type="pct"/>
            <w:tcBorders>
              <w:tl2br w:val="nil"/>
              <w:tr2bl w:val="nil"/>
            </w:tcBorders>
            <w:vAlign w:val="center"/>
          </w:tcPr>
          <w:p w14:paraId="7848DB10">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w:t>
            </w:r>
          </w:p>
        </w:tc>
        <w:tc>
          <w:tcPr>
            <w:tcW w:w="597" w:type="pct"/>
            <w:tcBorders>
              <w:tl2br w:val="nil"/>
              <w:tr2bl w:val="nil"/>
            </w:tcBorders>
            <w:vAlign w:val="center"/>
          </w:tcPr>
          <w:p w14:paraId="51318A81">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3.5mg/L</w:t>
            </w:r>
          </w:p>
        </w:tc>
        <w:tc>
          <w:tcPr>
            <w:tcW w:w="577" w:type="pct"/>
            <w:tcBorders>
              <w:tl2br w:val="nil"/>
              <w:tr2bl w:val="nil"/>
            </w:tcBorders>
            <w:vAlign w:val="center"/>
          </w:tcPr>
          <w:p w14:paraId="18F8956F">
            <w:pPr>
              <w:jc w:val="center"/>
              <w:textAlignment w:val="center"/>
              <w:rPr>
                <w:color w:val="000000"/>
                <w:sz w:val="21"/>
              </w:rPr>
            </w:pPr>
            <w:r>
              <w:rPr>
                <w:color w:val="000000"/>
                <w:kern w:val="0"/>
                <w:sz w:val="21"/>
              </w:rPr>
              <w:t>5.6</w:t>
            </w:r>
            <w:r>
              <w:rPr>
                <w:color w:val="000000"/>
                <w:sz w:val="21"/>
              </w:rPr>
              <w:t>mg/L</w:t>
            </w:r>
          </w:p>
        </w:tc>
        <w:tc>
          <w:tcPr>
            <w:tcW w:w="485" w:type="pct"/>
            <w:tcBorders>
              <w:tl2br w:val="nil"/>
              <w:tr2bl w:val="nil"/>
            </w:tcBorders>
            <w:vAlign w:val="center"/>
          </w:tcPr>
          <w:p w14:paraId="5FF350E3">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达标</w:t>
            </w:r>
          </w:p>
        </w:tc>
      </w:tr>
      <w:tr w14:paraId="2FA8A03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229" w:type="pct"/>
            <w:tcBorders>
              <w:tl2br w:val="nil"/>
              <w:tr2bl w:val="nil"/>
            </w:tcBorders>
            <w:vAlign w:val="center"/>
          </w:tcPr>
          <w:p w14:paraId="5A16C68D">
            <w:pPr>
              <w:pStyle w:val="2191"/>
              <w:rPr>
                <w:color w:val="000000"/>
                <w:szCs w:val="21"/>
              </w:rPr>
            </w:pPr>
            <w:r>
              <w:rPr>
                <w:color w:val="000000"/>
                <w:szCs w:val="21"/>
              </w:rPr>
              <w:t>噪声</w:t>
            </w:r>
          </w:p>
        </w:tc>
        <w:tc>
          <w:tcPr>
            <w:tcW w:w="1010" w:type="pct"/>
            <w:gridSpan w:val="2"/>
            <w:tcBorders>
              <w:tl2br w:val="nil"/>
              <w:tr2bl w:val="nil"/>
            </w:tcBorders>
            <w:vAlign w:val="center"/>
          </w:tcPr>
          <w:p w14:paraId="58454C13">
            <w:pPr>
              <w:pStyle w:val="2191"/>
              <w:rPr>
                <w:color w:val="000000"/>
                <w:szCs w:val="21"/>
              </w:rPr>
            </w:pPr>
            <w:r>
              <w:rPr>
                <w:color w:val="000000"/>
                <w:szCs w:val="21"/>
              </w:rPr>
              <w:t>压缩机、各种泵类等机械设备</w:t>
            </w:r>
          </w:p>
        </w:tc>
        <w:tc>
          <w:tcPr>
            <w:tcW w:w="871" w:type="pct"/>
            <w:tcBorders>
              <w:tl2br w:val="nil"/>
              <w:tr2bl w:val="nil"/>
            </w:tcBorders>
            <w:vAlign w:val="center"/>
          </w:tcPr>
          <w:p w14:paraId="4D4980A6">
            <w:pPr>
              <w:pStyle w:val="2191"/>
              <w:rPr>
                <w:color w:val="000000"/>
                <w:szCs w:val="21"/>
              </w:rPr>
            </w:pPr>
            <w:r>
              <w:rPr>
                <w:color w:val="000000"/>
                <w:szCs w:val="21"/>
              </w:rPr>
              <w:t>噪声</w:t>
            </w:r>
          </w:p>
        </w:tc>
        <w:tc>
          <w:tcPr>
            <w:tcW w:w="629" w:type="pct"/>
            <w:tcBorders>
              <w:tl2br w:val="nil"/>
              <w:tr2bl w:val="nil"/>
            </w:tcBorders>
            <w:vAlign w:val="center"/>
          </w:tcPr>
          <w:p w14:paraId="1E634740">
            <w:pPr>
              <w:spacing w:line="320" w:lineRule="exact"/>
              <w:jc w:val="center"/>
              <w:rPr>
                <w:color w:val="000000"/>
                <w:spacing w:val="24"/>
                <w:sz w:val="21"/>
              </w:rPr>
            </w:pPr>
            <w:r>
              <w:rPr>
                <w:color w:val="000000"/>
                <w:spacing w:val="24"/>
                <w:sz w:val="21"/>
              </w:rPr>
              <w:t>75~100dB(A)</w:t>
            </w:r>
          </w:p>
        </w:tc>
        <w:tc>
          <w:tcPr>
            <w:tcW w:w="597" w:type="pct"/>
            <w:tcBorders>
              <w:tl2br w:val="nil"/>
              <w:tr2bl w:val="nil"/>
            </w:tcBorders>
            <w:vAlign w:val="center"/>
          </w:tcPr>
          <w:p w14:paraId="52C34E93">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w:t>
            </w:r>
          </w:p>
        </w:tc>
        <w:tc>
          <w:tcPr>
            <w:tcW w:w="597" w:type="pct"/>
            <w:tcBorders>
              <w:tl2br w:val="nil"/>
              <w:tr2bl w:val="nil"/>
            </w:tcBorders>
            <w:vAlign w:val="center"/>
          </w:tcPr>
          <w:p w14:paraId="5393FAE1">
            <w:pPr>
              <w:pStyle w:val="68"/>
              <w:widowControl w:val="0"/>
              <w:spacing w:before="0" w:beforeAutospacing="0" w:after="0" w:afterAutospacing="0"/>
              <w:jc w:val="center"/>
              <w:rPr>
                <w:rFonts w:ascii="Times New Roman" w:hAnsi="Times New Roman"/>
                <w:color w:val="000000"/>
                <w:spacing w:val="24"/>
                <w:sz w:val="21"/>
              </w:rPr>
            </w:pPr>
            <w:r>
              <w:rPr>
                <w:rFonts w:ascii="Times New Roman" w:hAnsi="Times New Roman"/>
                <w:color w:val="000000"/>
                <w:kern w:val="2"/>
                <w:sz w:val="21"/>
                <w:szCs w:val="21"/>
              </w:rPr>
              <w:t>昼间最大60</w:t>
            </w:r>
            <w:r>
              <w:rPr>
                <w:rFonts w:ascii="Times New Roman" w:hAnsi="Times New Roman"/>
                <w:color w:val="000000"/>
                <w:spacing w:val="24"/>
                <w:sz w:val="21"/>
              </w:rPr>
              <w:t>dB(A)</w:t>
            </w:r>
          </w:p>
          <w:p w14:paraId="068010E1">
            <w:pPr>
              <w:pStyle w:val="68"/>
              <w:widowControl w:val="0"/>
              <w:spacing w:before="0" w:beforeAutospacing="0" w:after="0" w:afterAutospacing="0"/>
              <w:jc w:val="center"/>
              <w:rPr>
                <w:rFonts w:ascii="Times New Roman" w:hAnsi="Times New Roman"/>
                <w:color w:val="000000"/>
                <w:spacing w:val="24"/>
                <w:sz w:val="21"/>
              </w:rPr>
            </w:pPr>
            <w:r>
              <w:rPr>
                <w:rFonts w:ascii="Times New Roman" w:hAnsi="Times New Roman"/>
                <w:color w:val="000000"/>
                <w:kern w:val="2"/>
                <w:sz w:val="21"/>
                <w:szCs w:val="21"/>
              </w:rPr>
              <w:t>夜间最大52</w:t>
            </w:r>
            <w:r>
              <w:rPr>
                <w:rFonts w:ascii="Times New Roman" w:hAnsi="Times New Roman"/>
                <w:color w:val="000000"/>
                <w:spacing w:val="24"/>
                <w:sz w:val="21"/>
              </w:rPr>
              <w:t>dB(A)</w:t>
            </w:r>
          </w:p>
        </w:tc>
        <w:tc>
          <w:tcPr>
            <w:tcW w:w="577" w:type="pct"/>
            <w:tcBorders>
              <w:tl2br w:val="nil"/>
              <w:tr2bl w:val="nil"/>
            </w:tcBorders>
            <w:vAlign w:val="center"/>
          </w:tcPr>
          <w:p w14:paraId="37DE97C5">
            <w:pPr>
              <w:pStyle w:val="68"/>
              <w:widowControl w:val="0"/>
              <w:spacing w:before="0" w:beforeAutospacing="0" w:after="0" w:afterAutospacing="0"/>
              <w:jc w:val="center"/>
              <w:rPr>
                <w:rFonts w:ascii="Times New Roman" w:hAnsi="Times New Roman"/>
                <w:color w:val="000000"/>
                <w:spacing w:val="24"/>
                <w:sz w:val="21"/>
              </w:rPr>
            </w:pPr>
            <w:r>
              <w:rPr>
                <w:rFonts w:ascii="Times New Roman" w:hAnsi="Times New Roman"/>
                <w:color w:val="000000"/>
                <w:kern w:val="2"/>
                <w:sz w:val="21"/>
                <w:szCs w:val="21"/>
              </w:rPr>
              <w:t>昼间≦65</w:t>
            </w:r>
            <w:r>
              <w:rPr>
                <w:rFonts w:ascii="Times New Roman" w:hAnsi="Times New Roman"/>
                <w:color w:val="000000"/>
                <w:spacing w:val="24"/>
                <w:sz w:val="21"/>
              </w:rPr>
              <w:t>dB(A)</w:t>
            </w:r>
          </w:p>
          <w:p w14:paraId="4E16532A">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夜间≦55</w:t>
            </w:r>
            <w:r>
              <w:rPr>
                <w:rFonts w:ascii="Times New Roman" w:hAnsi="Times New Roman"/>
                <w:color w:val="000000"/>
                <w:spacing w:val="24"/>
                <w:sz w:val="21"/>
              </w:rPr>
              <w:t>dB(A)</w:t>
            </w:r>
          </w:p>
        </w:tc>
        <w:tc>
          <w:tcPr>
            <w:tcW w:w="485" w:type="pct"/>
            <w:tcBorders>
              <w:tl2br w:val="nil"/>
              <w:tr2bl w:val="nil"/>
            </w:tcBorders>
            <w:vAlign w:val="center"/>
          </w:tcPr>
          <w:p w14:paraId="47E3C4D9">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达标</w:t>
            </w:r>
          </w:p>
        </w:tc>
      </w:tr>
      <w:tr w14:paraId="32A57BF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229" w:type="pct"/>
            <w:vMerge w:val="restart"/>
            <w:tcBorders>
              <w:tl2br w:val="nil"/>
              <w:tr2bl w:val="nil"/>
            </w:tcBorders>
            <w:vAlign w:val="center"/>
          </w:tcPr>
          <w:p w14:paraId="26140C51">
            <w:pPr>
              <w:pStyle w:val="2191"/>
              <w:rPr>
                <w:color w:val="000000"/>
                <w:szCs w:val="21"/>
              </w:rPr>
            </w:pPr>
            <w:r>
              <w:rPr>
                <w:color w:val="000000"/>
                <w:szCs w:val="21"/>
              </w:rPr>
              <w:t>固体废物</w:t>
            </w:r>
          </w:p>
        </w:tc>
        <w:tc>
          <w:tcPr>
            <w:tcW w:w="1010" w:type="pct"/>
            <w:gridSpan w:val="2"/>
            <w:tcBorders>
              <w:tl2br w:val="nil"/>
              <w:tr2bl w:val="nil"/>
            </w:tcBorders>
            <w:vAlign w:val="center"/>
          </w:tcPr>
          <w:p w14:paraId="0ECB073F">
            <w:pPr>
              <w:spacing w:line="280" w:lineRule="exact"/>
              <w:jc w:val="center"/>
              <w:textAlignment w:val="baseline"/>
              <w:rPr>
                <w:color w:val="000000"/>
                <w:sz w:val="21"/>
              </w:rPr>
            </w:pPr>
            <w:r>
              <w:rPr>
                <w:color w:val="000000"/>
                <w:sz w:val="21"/>
              </w:rPr>
              <w:t>贫胺过滤器失效的废吸附剂、脱汞塔废吸附剂、实验室废液、废机油桶、废药剂桶、废润滑油、废矿物油</w:t>
            </w:r>
          </w:p>
        </w:tc>
        <w:tc>
          <w:tcPr>
            <w:tcW w:w="871" w:type="pct"/>
            <w:tcBorders>
              <w:tl2br w:val="nil"/>
              <w:tr2bl w:val="nil"/>
            </w:tcBorders>
            <w:vAlign w:val="center"/>
          </w:tcPr>
          <w:p w14:paraId="2C21F7A5">
            <w:pPr>
              <w:spacing w:after="120"/>
              <w:jc w:val="center"/>
              <w:rPr>
                <w:color w:val="000000"/>
                <w:sz w:val="21"/>
              </w:rPr>
            </w:pPr>
            <w:r>
              <w:rPr>
                <w:color w:val="000000"/>
                <w:sz w:val="21"/>
              </w:rPr>
              <w:t>危险废物</w:t>
            </w:r>
          </w:p>
        </w:tc>
        <w:tc>
          <w:tcPr>
            <w:tcW w:w="629" w:type="pct"/>
            <w:tcBorders>
              <w:tl2br w:val="nil"/>
              <w:tr2bl w:val="nil"/>
            </w:tcBorders>
            <w:vAlign w:val="center"/>
          </w:tcPr>
          <w:p w14:paraId="5DDF77ED">
            <w:pPr>
              <w:spacing w:line="320" w:lineRule="exact"/>
              <w:jc w:val="center"/>
              <w:rPr>
                <w:color w:val="000000"/>
                <w:spacing w:val="24"/>
                <w:sz w:val="21"/>
              </w:rPr>
            </w:pPr>
            <w:r>
              <w:rPr>
                <w:rFonts w:hint="eastAsia"/>
                <w:color w:val="000000"/>
                <w:spacing w:val="24"/>
                <w:sz w:val="21"/>
              </w:rPr>
              <w:t>3.7</w:t>
            </w:r>
          </w:p>
        </w:tc>
        <w:tc>
          <w:tcPr>
            <w:tcW w:w="597" w:type="pct"/>
            <w:tcBorders>
              <w:tl2br w:val="nil"/>
              <w:tr2bl w:val="nil"/>
            </w:tcBorders>
            <w:vAlign w:val="center"/>
          </w:tcPr>
          <w:p w14:paraId="3F27AFF1">
            <w:pPr>
              <w:widowControl w:val="0"/>
              <w:jc w:val="center"/>
              <w:rPr>
                <w:color w:val="000000"/>
                <w:sz w:val="21"/>
              </w:rPr>
            </w:pPr>
            <w:r>
              <w:rPr>
                <w:color w:val="000000"/>
                <w:sz w:val="21"/>
              </w:rPr>
              <w:t>/</w:t>
            </w:r>
          </w:p>
        </w:tc>
        <w:tc>
          <w:tcPr>
            <w:tcW w:w="1660" w:type="pct"/>
            <w:gridSpan w:val="3"/>
            <w:tcBorders>
              <w:tl2br w:val="nil"/>
              <w:tr2bl w:val="nil"/>
            </w:tcBorders>
            <w:vAlign w:val="center"/>
          </w:tcPr>
          <w:p w14:paraId="63A8A24F">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交危废资质单位</w:t>
            </w:r>
          </w:p>
        </w:tc>
      </w:tr>
      <w:tr w14:paraId="698456F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229" w:type="pct"/>
            <w:vMerge w:val="continue"/>
            <w:tcBorders>
              <w:tl2br w:val="nil"/>
              <w:tr2bl w:val="nil"/>
            </w:tcBorders>
            <w:vAlign w:val="center"/>
          </w:tcPr>
          <w:p w14:paraId="77A5F11B">
            <w:pPr>
              <w:pStyle w:val="2191"/>
              <w:rPr>
                <w:color w:val="000000"/>
                <w:szCs w:val="21"/>
              </w:rPr>
            </w:pPr>
          </w:p>
        </w:tc>
        <w:tc>
          <w:tcPr>
            <w:tcW w:w="1010" w:type="pct"/>
            <w:gridSpan w:val="2"/>
            <w:tcBorders>
              <w:tl2br w:val="nil"/>
              <w:tr2bl w:val="nil"/>
            </w:tcBorders>
            <w:vAlign w:val="center"/>
          </w:tcPr>
          <w:p w14:paraId="0F38DFC6">
            <w:pPr>
              <w:spacing w:line="320" w:lineRule="exact"/>
              <w:jc w:val="center"/>
              <w:rPr>
                <w:color w:val="000000"/>
                <w:sz w:val="21"/>
              </w:rPr>
            </w:pPr>
            <w:r>
              <w:rPr>
                <w:color w:val="000000"/>
                <w:sz w:val="21"/>
              </w:rPr>
              <w:t>干燥器废分子筛、</w:t>
            </w:r>
          </w:p>
          <w:p w14:paraId="1848108C">
            <w:pPr>
              <w:jc w:val="center"/>
              <w:rPr>
                <w:color w:val="000000"/>
                <w:sz w:val="21"/>
              </w:rPr>
            </w:pPr>
            <w:r>
              <w:rPr>
                <w:color w:val="000000"/>
                <w:sz w:val="21"/>
              </w:rPr>
              <w:t>制冷剂干燥产生的废分子筛</w:t>
            </w:r>
          </w:p>
        </w:tc>
        <w:tc>
          <w:tcPr>
            <w:tcW w:w="871" w:type="pct"/>
            <w:tcBorders>
              <w:tl2br w:val="nil"/>
              <w:tr2bl w:val="nil"/>
            </w:tcBorders>
            <w:vAlign w:val="center"/>
          </w:tcPr>
          <w:p w14:paraId="654DBA43">
            <w:pPr>
              <w:spacing w:after="120"/>
              <w:jc w:val="center"/>
              <w:rPr>
                <w:color w:val="000000"/>
                <w:sz w:val="21"/>
              </w:rPr>
            </w:pPr>
            <w:r>
              <w:rPr>
                <w:color w:val="000000"/>
                <w:sz w:val="21"/>
              </w:rPr>
              <w:t>一般工业固废</w:t>
            </w:r>
          </w:p>
        </w:tc>
        <w:tc>
          <w:tcPr>
            <w:tcW w:w="629" w:type="pct"/>
            <w:tcBorders>
              <w:tl2br w:val="nil"/>
              <w:tr2bl w:val="nil"/>
            </w:tcBorders>
            <w:vAlign w:val="center"/>
          </w:tcPr>
          <w:p w14:paraId="79DFC64D">
            <w:pPr>
              <w:pStyle w:val="68"/>
              <w:widowControl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rPr>
              <w:t>5.25</w:t>
            </w:r>
          </w:p>
        </w:tc>
        <w:tc>
          <w:tcPr>
            <w:tcW w:w="597" w:type="pct"/>
            <w:tcBorders>
              <w:tl2br w:val="nil"/>
              <w:tr2bl w:val="nil"/>
            </w:tcBorders>
            <w:vAlign w:val="center"/>
          </w:tcPr>
          <w:p w14:paraId="560B76C5">
            <w:pPr>
              <w:widowControl w:val="0"/>
              <w:jc w:val="center"/>
              <w:rPr>
                <w:color w:val="000000"/>
                <w:sz w:val="21"/>
              </w:rPr>
            </w:pPr>
            <w:r>
              <w:rPr>
                <w:color w:val="000000"/>
                <w:sz w:val="21"/>
              </w:rPr>
              <w:t>/</w:t>
            </w:r>
          </w:p>
        </w:tc>
        <w:tc>
          <w:tcPr>
            <w:tcW w:w="1660" w:type="pct"/>
            <w:gridSpan w:val="3"/>
            <w:tcBorders>
              <w:tl2br w:val="nil"/>
              <w:tr2bl w:val="nil"/>
            </w:tcBorders>
            <w:vAlign w:val="center"/>
          </w:tcPr>
          <w:p w14:paraId="3B901FDD">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交回收公司回收</w:t>
            </w:r>
          </w:p>
        </w:tc>
      </w:tr>
      <w:tr w14:paraId="5D37292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229" w:type="pct"/>
            <w:vMerge w:val="continue"/>
            <w:tcBorders>
              <w:tl2br w:val="nil"/>
              <w:tr2bl w:val="nil"/>
            </w:tcBorders>
            <w:vAlign w:val="center"/>
          </w:tcPr>
          <w:p w14:paraId="6D96F6F8">
            <w:pPr>
              <w:pStyle w:val="2191"/>
              <w:rPr>
                <w:color w:val="000000"/>
                <w:szCs w:val="21"/>
              </w:rPr>
            </w:pPr>
          </w:p>
        </w:tc>
        <w:tc>
          <w:tcPr>
            <w:tcW w:w="1010" w:type="pct"/>
            <w:gridSpan w:val="2"/>
            <w:tcBorders>
              <w:tl2br w:val="nil"/>
              <w:tr2bl w:val="nil"/>
            </w:tcBorders>
            <w:vAlign w:val="center"/>
          </w:tcPr>
          <w:p w14:paraId="7B77880C">
            <w:pPr>
              <w:jc w:val="center"/>
              <w:rPr>
                <w:color w:val="000000"/>
                <w:sz w:val="21"/>
              </w:rPr>
            </w:pPr>
            <w:r>
              <w:rPr>
                <w:color w:val="000000"/>
                <w:sz w:val="21"/>
              </w:rPr>
              <w:t>生活垃圾</w:t>
            </w:r>
          </w:p>
        </w:tc>
        <w:tc>
          <w:tcPr>
            <w:tcW w:w="871" w:type="pct"/>
            <w:tcBorders>
              <w:tl2br w:val="nil"/>
              <w:tr2bl w:val="nil"/>
            </w:tcBorders>
            <w:vAlign w:val="center"/>
          </w:tcPr>
          <w:p w14:paraId="7F10A408">
            <w:pPr>
              <w:spacing w:after="120"/>
              <w:jc w:val="center"/>
              <w:rPr>
                <w:color w:val="000000"/>
                <w:sz w:val="21"/>
              </w:rPr>
            </w:pPr>
            <w:r>
              <w:rPr>
                <w:color w:val="000000"/>
                <w:sz w:val="21"/>
              </w:rPr>
              <w:t>生活垃圾</w:t>
            </w:r>
          </w:p>
        </w:tc>
        <w:tc>
          <w:tcPr>
            <w:tcW w:w="629" w:type="pct"/>
            <w:tcBorders>
              <w:tl2br w:val="nil"/>
              <w:tr2bl w:val="nil"/>
            </w:tcBorders>
            <w:vAlign w:val="center"/>
          </w:tcPr>
          <w:p w14:paraId="19F28C89">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19.8</w:t>
            </w:r>
          </w:p>
        </w:tc>
        <w:tc>
          <w:tcPr>
            <w:tcW w:w="597" w:type="pct"/>
            <w:tcBorders>
              <w:tl2br w:val="nil"/>
              <w:tr2bl w:val="nil"/>
            </w:tcBorders>
            <w:vAlign w:val="center"/>
          </w:tcPr>
          <w:p w14:paraId="3F0785C6">
            <w:pPr>
              <w:widowControl w:val="0"/>
              <w:jc w:val="center"/>
              <w:rPr>
                <w:color w:val="000000"/>
                <w:sz w:val="21"/>
              </w:rPr>
            </w:pPr>
            <w:r>
              <w:rPr>
                <w:color w:val="000000"/>
                <w:sz w:val="21"/>
              </w:rPr>
              <w:t>/</w:t>
            </w:r>
          </w:p>
        </w:tc>
        <w:tc>
          <w:tcPr>
            <w:tcW w:w="1660" w:type="pct"/>
            <w:gridSpan w:val="3"/>
            <w:tcBorders>
              <w:tl2br w:val="nil"/>
              <w:tr2bl w:val="nil"/>
            </w:tcBorders>
            <w:vAlign w:val="center"/>
          </w:tcPr>
          <w:p w14:paraId="07458DEC">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交环卫部门处理</w:t>
            </w:r>
          </w:p>
        </w:tc>
      </w:tr>
    </w:tbl>
    <w:p w14:paraId="1935826C">
      <w:pPr>
        <w:rPr>
          <w:color w:val="000000"/>
          <w:sz w:val="21"/>
        </w:rPr>
      </w:pPr>
      <w:r>
        <w:rPr>
          <w:color w:val="000000"/>
          <w:sz w:val="21"/>
        </w:rPr>
        <w:t>备注：排放浓度来源于自行监测报告（高架火炬来自于原环评核算），现有工程排污许可为登记管理，无排污许可量。</w:t>
      </w:r>
    </w:p>
    <w:p w14:paraId="4A6422EC">
      <w:pPr>
        <w:pStyle w:val="770"/>
        <w:rPr>
          <w:color w:val="000000"/>
        </w:rPr>
      </w:pPr>
      <w:bookmarkStart w:id="206" w:name="_Toc15238"/>
      <w:r>
        <w:rPr>
          <w:color w:val="000000"/>
        </w:rPr>
        <w:t>2.4现有工程环境问题及整改措施</w:t>
      </w:r>
      <w:bookmarkEnd w:id="206"/>
    </w:p>
    <w:p w14:paraId="6635B246">
      <w:pPr>
        <w:ind w:firstLine="480" w:firstLineChars="200"/>
        <w:rPr>
          <w:color w:val="000000"/>
          <w:kern w:val="0"/>
          <w:sz w:val="21"/>
        </w:rPr>
      </w:pPr>
      <w:r>
        <w:rPr>
          <w:color w:val="000000"/>
          <w:szCs w:val="24"/>
        </w:rPr>
        <w:t>现有工程按要求落实了各项污染防治措施和风险防范措施，运行以来未发生环保投诉事件，现场无遗留环保问题。</w:t>
      </w:r>
      <w:r>
        <w:rPr>
          <w:color w:val="000000"/>
        </w:rPr>
        <w:br w:type="page"/>
      </w:r>
    </w:p>
    <w:p w14:paraId="7CDAE397">
      <w:pPr>
        <w:pStyle w:val="781"/>
        <w:rPr>
          <w:color w:val="000000"/>
        </w:rPr>
      </w:pPr>
      <w:bookmarkStart w:id="207" w:name="_Toc472509282"/>
      <w:bookmarkStart w:id="208" w:name="_Toc14681"/>
      <w:r>
        <w:rPr>
          <w:color w:val="000000"/>
        </w:rPr>
        <w:t>3建设项目概况</w:t>
      </w:r>
      <w:bookmarkEnd w:id="207"/>
      <w:r>
        <w:rPr>
          <w:color w:val="000000"/>
        </w:rPr>
        <w:t>及工程分析</w:t>
      </w:r>
      <w:bookmarkEnd w:id="208"/>
    </w:p>
    <w:p w14:paraId="51A65B6B">
      <w:pPr>
        <w:pStyle w:val="770"/>
        <w:rPr>
          <w:color w:val="000000"/>
        </w:rPr>
      </w:pPr>
      <w:bookmarkStart w:id="209" w:name="_Toc9650"/>
      <w:r>
        <w:rPr>
          <w:color w:val="000000"/>
        </w:rPr>
        <w:t>3.1拟建项目概况</w:t>
      </w:r>
      <w:bookmarkEnd w:id="209"/>
    </w:p>
    <w:p w14:paraId="06F84988">
      <w:pPr>
        <w:pStyle w:val="771"/>
        <w:rPr>
          <w:color w:val="000000"/>
        </w:rPr>
      </w:pPr>
      <w:r>
        <w:rPr>
          <w:color w:val="000000"/>
        </w:rPr>
        <w:t>3.1.1基本情况</w:t>
      </w:r>
    </w:p>
    <w:p w14:paraId="31244A7B">
      <w:pPr>
        <w:ind w:firstLine="480"/>
        <w:rPr>
          <w:color w:val="000000"/>
        </w:rPr>
      </w:pPr>
      <w:r>
        <w:rPr>
          <w:color w:val="000000"/>
        </w:rPr>
        <w:t>重庆中石化通汇能源有限公司依托现涪陵LNG工厂现场条件，建设回收高纯氦气装置。涪陵 LNG工厂氦气回收装置消耗的原料为LNG工厂现LNG储罐闪蒸气（即BOG尾气）。装置公称规模为20 吨/年（以产品计）。项目产品目标（保证值）：氦气产品规格不低于 99.999%（摩尔比）。</w:t>
      </w:r>
    </w:p>
    <w:p w14:paraId="740A7B60">
      <w:pPr>
        <w:ind w:firstLine="480"/>
        <w:rPr>
          <w:color w:val="000000"/>
        </w:rPr>
      </w:pPr>
      <w:r>
        <w:rPr>
          <w:color w:val="000000"/>
        </w:rPr>
        <w:t>项目名称：涪陵LNG工厂增设BOG尾气提氦改扩建项目；</w:t>
      </w:r>
    </w:p>
    <w:p w14:paraId="51B98A29">
      <w:pPr>
        <w:ind w:firstLine="480"/>
        <w:rPr>
          <w:color w:val="000000"/>
        </w:rPr>
      </w:pPr>
      <w:r>
        <w:rPr>
          <w:color w:val="000000"/>
        </w:rPr>
        <w:t>建设单位：重庆中石化通汇能源有限公司；</w:t>
      </w:r>
    </w:p>
    <w:p w14:paraId="09C857B5">
      <w:pPr>
        <w:ind w:firstLine="480"/>
        <w:rPr>
          <w:color w:val="000000"/>
        </w:rPr>
      </w:pPr>
      <w:r>
        <w:rPr>
          <w:color w:val="000000"/>
        </w:rPr>
        <w:t>建设地点：重庆市涪陵区白涛工业园区石化大道1号（涪陵 LNG 工厂内）；</w:t>
      </w:r>
    </w:p>
    <w:p w14:paraId="1549BDF1">
      <w:pPr>
        <w:ind w:firstLine="480"/>
        <w:rPr>
          <w:color w:val="000000"/>
        </w:rPr>
      </w:pPr>
      <w:r>
        <w:rPr>
          <w:color w:val="000000"/>
        </w:rPr>
        <w:t>建设性质：改扩建；</w:t>
      </w:r>
    </w:p>
    <w:p w14:paraId="01347815">
      <w:pPr>
        <w:ind w:firstLine="480"/>
        <w:rPr>
          <w:color w:val="000000"/>
        </w:rPr>
      </w:pPr>
      <w:r>
        <w:rPr>
          <w:color w:val="000000"/>
        </w:rPr>
        <w:t>项目投资：5321万元；其中环保投资40万元，占总投资的0.90%。</w:t>
      </w:r>
    </w:p>
    <w:p w14:paraId="0E505017">
      <w:pPr>
        <w:ind w:firstLine="480"/>
        <w:rPr>
          <w:color w:val="000000"/>
        </w:rPr>
      </w:pPr>
      <w:r>
        <w:rPr>
          <w:color w:val="000000"/>
        </w:rPr>
        <w:t>占地面积：1780m</w:t>
      </w:r>
      <w:r>
        <w:rPr>
          <w:color w:val="000000"/>
          <w:vertAlign w:val="superscript"/>
        </w:rPr>
        <w:t>2</w:t>
      </w:r>
      <w:r>
        <w:rPr>
          <w:color w:val="000000"/>
        </w:rPr>
        <w:t>。</w:t>
      </w:r>
    </w:p>
    <w:p w14:paraId="03574D3E">
      <w:pPr>
        <w:ind w:firstLine="480"/>
        <w:rPr>
          <w:color w:val="000000"/>
        </w:rPr>
      </w:pPr>
      <w:r>
        <w:rPr>
          <w:color w:val="000000"/>
        </w:rPr>
        <w:t>建设规模及内容：建设20 吨/年回收高纯氦气装置及辅助、储运工程等。</w:t>
      </w:r>
    </w:p>
    <w:p w14:paraId="1DB5AC47">
      <w:pPr>
        <w:ind w:firstLine="480"/>
        <w:rPr>
          <w:color w:val="000000"/>
        </w:rPr>
      </w:pPr>
      <w:r>
        <w:rPr>
          <w:color w:val="000000"/>
        </w:rPr>
        <w:t>建设工期：6个月。</w:t>
      </w:r>
    </w:p>
    <w:p w14:paraId="6A5C2621">
      <w:pPr>
        <w:ind w:firstLine="480"/>
        <w:rPr>
          <w:color w:val="000000"/>
        </w:rPr>
      </w:pPr>
      <w:r>
        <w:rPr>
          <w:color w:val="000000"/>
        </w:rPr>
        <w:t>劳动定员及工作制度：12人，全部为新增。工作班制采用四班三运转制，每班每天工作8小时。装置年操作日333天，年操作8000小时。</w:t>
      </w:r>
    </w:p>
    <w:p w14:paraId="45B54169">
      <w:pPr>
        <w:pStyle w:val="771"/>
        <w:rPr>
          <w:color w:val="000000"/>
        </w:rPr>
      </w:pPr>
      <w:bookmarkStart w:id="210" w:name="_Toc472509284"/>
      <w:bookmarkStart w:id="211" w:name="_Toc439249491"/>
      <w:bookmarkStart w:id="212" w:name="_Toc396234174"/>
      <w:r>
        <w:rPr>
          <w:color w:val="000000"/>
        </w:rPr>
        <w:t>3.1.2 生产规模及产品方案</w:t>
      </w:r>
      <w:bookmarkEnd w:id="210"/>
      <w:bookmarkEnd w:id="211"/>
      <w:bookmarkEnd w:id="212"/>
    </w:p>
    <w:p w14:paraId="0238101D">
      <w:pPr>
        <w:ind w:firstLine="480"/>
        <w:rPr>
          <w:color w:val="000000"/>
        </w:rPr>
      </w:pPr>
      <w:bookmarkStart w:id="213" w:name="_Toc472509285"/>
      <w:r>
        <w:rPr>
          <w:color w:val="000000"/>
        </w:rPr>
        <w:t>本项目从涪陵 LNG工厂现有BOG收集系统中将BOG尾气引入使用，生产5N级氦气，装置公称规模为20 吨/年（以产品计）。本项目产品氦气指标执行《纯氦、高纯氦和超纯氦》（GB/T 4844-2011）标准。</w:t>
      </w:r>
    </w:p>
    <w:p w14:paraId="2FB1E6FC">
      <w:pPr>
        <w:ind w:firstLine="420" w:firstLineChars="200"/>
        <w:jc w:val="center"/>
        <w:rPr>
          <w:color w:val="000000"/>
          <w:sz w:val="21"/>
        </w:rPr>
      </w:pPr>
      <w:r>
        <w:rPr>
          <w:color w:val="000000"/>
          <w:sz w:val="21"/>
        </w:rPr>
        <w:t>表3.1.2-1产品方案表</w:t>
      </w:r>
    </w:p>
    <w:tbl>
      <w:tblPr>
        <w:tblStyle w:val="73"/>
        <w:tblW w:w="4992" w:type="pct"/>
        <w:tblInd w:w="0"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108" w:type="dxa"/>
          <w:bottom w:w="0" w:type="dxa"/>
          <w:right w:w="108" w:type="dxa"/>
        </w:tblCellMar>
      </w:tblPr>
      <w:tblGrid>
        <w:gridCol w:w="990"/>
        <w:gridCol w:w="1582"/>
        <w:gridCol w:w="1482"/>
        <w:gridCol w:w="1718"/>
        <w:gridCol w:w="3273"/>
      </w:tblGrid>
      <w:tr w14:paraId="22307C4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547" w:type="pct"/>
            <w:tcBorders>
              <w:tl2br w:val="nil"/>
              <w:tr2bl w:val="nil"/>
            </w:tcBorders>
            <w:vAlign w:val="bottom"/>
          </w:tcPr>
          <w:p w14:paraId="1B9D325B">
            <w:pPr>
              <w:textAlignment w:val="bottom"/>
              <w:rPr>
                <w:color w:val="000000"/>
                <w:kern w:val="0"/>
                <w:sz w:val="21"/>
              </w:rPr>
            </w:pPr>
            <w:r>
              <w:rPr>
                <w:color w:val="000000"/>
                <w:kern w:val="0"/>
                <w:sz w:val="21"/>
              </w:rPr>
              <w:t>序号</w:t>
            </w:r>
          </w:p>
        </w:tc>
        <w:tc>
          <w:tcPr>
            <w:tcW w:w="874" w:type="pct"/>
            <w:tcBorders>
              <w:tl2br w:val="nil"/>
              <w:tr2bl w:val="nil"/>
            </w:tcBorders>
            <w:vAlign w:val="bottom"/>
          </w:tcPr>
          <w:p w14:paraId="397B47CE">
            <w:pPr>
              <w:textAlignment w:val="bottom"/>
              <w:rPr>
                <w:color w:val="000000"/>
                <w:kern w:val="0"/>
                <w:sz w:val="21"/>
              </w:rPr>
            </w:pPr>
            <w:r>
              <w:rPr>
                <w:color w:val="000000"/>
                <w:kern w:val="0"/>
                <w:sz w:val="21"/>
              </w:rPr>
              <w:t>名称</w:t>
            </w:r>
          </w:p>
        </w:tc>
        <w:tc>
          <w:tcPr>
            <w:tcW w:w="819" w:type="pct"/>
            <w:tcBorders>
              <w:tl2br w:val="nil"/>
              <w:tr2bl w:val="nil"/>
            </w:tcBorders>
            <w:vAlign w:val="bottom"/>
          </w:tcPr>
          <w:p w14:paraId="4E28AD5E">
            <w:pPr>
              <w:textAlignment w:val="bottom"/>
              <w:rPr>
                <w:color w:val="000000"/>
                <w:kern w:val="0"/>
                <w:sz w:val="21"/>
              </w:rPr>
            </w:pPr>
            <w:r>
              <w:rPr>
                <w:color w:val="000000"/>
                <w:kern w:val="0"/>
                <w:sz w:val="21"/>
              </w:rPr>
              <w:t>单位</w:t>
            </w:r>
          </w:p>
        </w:tc>
        <w:tc>
          <w:tcPr>
            <w:tcW w:w="949" w:type="pct"/>
            <w:tcBorders>
              <w:tl2br w:val="nil"/>
              <w:tr2bl w:val="nil"/>
            </w:tcBorders>
            <w:vAlign w:val="bottom"/>
          </w:tcPr>
          <w:p w14:paraId="25CD0C93">
            <w:pPr>
              <w:textAlignment w:val="bottom"/>
              <w:rPr>
                <w:color w:val="000000"/>
                <w:kern w:val="0"/>
                <w:sz w:val="21"/>
              </w:rPr>
            </w:pPr>
            <w:r>
              <w:rPr>
                <w:color w:val="000000"/>
                <w:kern w:val="0"/>
                <w:sz w:val="21"/>
              </w:rPr>
              <w:t>数量</w:t>
            </w:r>
          </w:p>
        </w:tc>
        <w:tc>
          <w:tcPr>
            <w:tcW w:w="1808" w:type="pct"/>
            <w:tcBorders>
              <w:tl2br w:val="nil"/>
              <w:tr2bl w:val="nil"/>
            </w:tcBorders>
            <w:vAlign w:val="bottom"/>
          </w:tcPr>
          <w:p w14:paraId="7F4D32D5">
            <w:pPr>
              <w:textAlignment w:val="bottom"/>
              <w:rPr>
                <w:color w:val="000000"/>
                <w:kern w:val="0"/>
                <w:sz w:val="21"/>
              </w:rPr>
            </w:pPr>
            <w:r>
              <w:rPr>
                <w:color w:val="000000"/>
                <w:kern w:val="0"/>
                <w:sz w:val="21"/>
              </w:rPr>
              <w:t>备注</w:t>
            </w:r>
          </w:p>
        </w:tc>
      </w:tr>
      <w:tr w14:paraId="1698488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547" w:type="pct"/>
            <w:tcBorders>
              <w:tl2br w:val="nil"/>
              <w:tr2bl w:val="nil"/>
            </w:tcBorders>
            <w:vAlign w:val="center"/>
          </w:tcPr>
          <w:p w14:paraId="6E5AFCE3">
            <w:pPr>
              <w:textAlignment w:val="bottom"/>
              <w:rPr>
                <w:color w:val="000000"/>
                <w:kern w:val="0"/>
                <w:sz w:val="21"/>
              </w:rPr>
            </w:pPr>
            <w:r>
              <w:rPr>
                <w:color w:val="000000"/>
                <w:kern w:val="0"/>
                <w:sz w:val="21"/>
              </w:rPr>
              <w:t>1</w:t>
            </w:r>
          </w:p>
        </w:tc>
        <w:tc>
          <w:tcPr>
            <w:tcW w:w="874" w:type="pct"/>
            <w:tcBorders>
              <w:tl2br w:val="nil"/>
              <w:tr2bl w:val="nil"/>
            </w:tcBorders>
            <w:vAlign w:val="center"/>
          </w:tcPr>
          <w:p w14:paraId="4D85D017">
            <w:pPr>
              <w:textAlignment w:val="bottom"/>
              <w:rPr>
                <w:color w:val="000000"/>
                <w:kern w:val="0"/>
                <w:sz w:val="21"/>
              </w:rPr>
            </w:pPr>
            <w:r>
              <w:rPr>
                <w:color w:val="000000"/>
                <w:kern w:val="0"/>
                <w:sz w:val="21"/>
              </w:rPr>
              <w:t>氦气</w:t>
            </w:r>
          </w:p>
        </w:tc>
        <w:tc>
          <w:tcPr>
            <w:tcW w:w="819" w:type="pct"/>
            <w:tcBorders>
              <w:tl2br w:val="nil"/>
              <w:tr2bl w:val="nil"/>
            </w:tcBorders>
            <w:vAlign w:val="center"/>
          </w:tcPr>
          <w:p w14:paraId="3FD090AD">
            <w:pPr>
              <w:textAlignment w:val="bottom"/>
              <w:rPr>
                <w:color w:val="000000"/>
                <w:kern w:val="0"/>
                <w:sz w:val="21"/>
              </w:rPr>
            </w:pPr>
            <w:r>
              <w:rPr>
                <w:color w:val="000000"/>
                <w:kern w:val="0"/>
                <w:sz w:val="21"/>
              </w:rPr>
              <w:t>吨/年</w:t>
            </w:r>
          </w:p>
        </w:tc>
        <w:tc>
          <w:tcPr>
            <w:tcW w:w="949" w:type="pct"/>
            <w:tcBorders>
              <w:tl2br w:val="nil"/>
              <w:tr2bl w:val="nil"/>
            </w:tcBorders>
            <w:vAlign w:val="center"/>
          </w:tcPr>
          <w:p w14:paraId="5A75A2D3">
            <w:pPr>
              <w:textAlignment w:val="bottom"/>
              <w:rPr>
                <w:color w:val="000000"/>
                <w:kern w:val="0"/>
                <w:sz w:val="21"/>
              </w:rPr>
            </w:pPr>
            <w:r>
              <w:rPr>
                <w:color w:val="000000"/>
                <w:kern w:val="0"/>
                <w:sz w:val="21"/>
              </w:rPr>
              <w:t>20</w:t>
            </w:r>
          </w:p>
        </w:tc>
        <w:tc>
          <w:tcPr>
            <w:tcW w:w="1808" w:type="pct"/>
            <w:tcBorders>
              <w:tl2br w:val="nil"/>
              <w:tr2bl w:val="nil"/>
            </w:tcBorders>
            <w:vAlign w:val="center"/>
          </w:tcPr>
          <w:p w14:paraId="44B66222">
            <w:pPr>
              <w:textAlignment w:val="bottom"/>
              <w:rPr>
                <w:color w:val="000000"/>
                <w:kern w:val="0"/>
                <w:sz w:val="21"/>
              </w:rPr>
            </w:pPr>
            <w:r>
              <w:rPr>
                <w:color w:val="000000"/>
                <w:kern w:val="0"/>
                <w:sz w:val="21"/>
              </w:rPr>
              <w:t>界区压力 2.5MPa</w:t>
            </w:r>
          </w:p>
        </w:tc>
      </w:tr>
    </w:tbl>
    <w:p w14:paraId="44F4BE44">
      <w:pPr>
        <w:ind w:firstLine="840" w:firstLineChars="400"/>
        <w:jc w:val="center"/>
        <w:rPr>
          <w:color w:val="000000"/>
          <w:sz w:val="21"/>
        </w:rPr>
      </w:pPr>
      <w:r>
        <w:rPr>
          <w:color w:val="000000"/>
          <w:sz w:val="21"/>
        </w:rPr>
        <w:t>表3.1.2-2  5N级氦气指标</w:t>
      </w:r>
    </w:p>
    <w:tbl>
      <w:tblPr>
        <w:tblStyle w:val="73"/>
        <w:tblW w:w="4871" w:type="pct"/>
        <w:tblInd w:w="0"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108" w:type="dxa"/>
          <w:bottom w:w="0" w:type="dxa"/>
          <w:right w:w="108" w:type="dxa"/>
        </w:tblCellMar>
      </w:tblPr>
      <w:tblGrid>
        <w:gridCol w:w="4410"/>
        <w:gridCol w:w="4415"/>
      </w:tblGrid>
      <w:tr w14:paraId="4E013BF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2498" w:type="pct"/>
            <w:tcBorders>
              <w:tl2br w:val="nil"/>
              <w:tr2bl w:val="nil"/>
            </w:tcBorders>
            <w:vAlign w:val="center"/>
          </w:tcPr>
          <w:p w14:paraId="3E6C3112">
            <w:pPr>
              <w:jc w:val="center"/>
              <w:textAlignment w:val="bottom"/>
              <w:rPr>
                <w:color w:val="000000"/>
                <w:kern w:val="0"/>
                <w:sz w:val="21"/>
              </w:rPr>
            </w:pPr>
            <w:r>
              <w:rPr>
                <w:color w:val="000000"/>
                <w:kern w:val="0"/>
                <w:sz w:val="21"/>
              </w:rPr>
              <w:t>组分</w:t>
            </w:r>
          </w:p>
        </w:tc>
        <w:tc>
          <w:tcPr>
            <w:tcW w:w="2501" w:type="pct"/>
            <w:tcBorders>
              <w:tl2br w:val="nil"/>
              <w:tr2bl w:val="nil"/>
            </w:tcBorders>
            <w:vAlign w:val="center"/>
          </w:tcPr>
          <w:p w14:paraId="7D763EFE">
            <w:pPr>
              <w:jc w:val="center"/>
              <w:textAlignment w:val="bottom"/>
              <w:rPr>
                <w:color w:val="000000"/>
                <w:kern w:val="0"/>
                <w:sz w:val="21"/>
              </w:rPr>
            </w:pPr>
            <w:r>
              <w:rPr>
                <w:color w:val="000000"/>
                <w:kern w:val="0"/>
                <w:sz w:val="21"/>
              </w:rPr>
              <w:t xml:space="preserve">高纯氦合格品指标 </w:t>
            </w:r>
            <w:r>
              <w:rPr>
                <w:color w:val="000000"/>
              </w:rPr>
              <w:t>（摩尔比）</w:t>
            </w:r>
          </w:p>
        </w:tc>
      </w:tr>
      <w:tr w14:paraId="3E16302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498" w:type="pct"/>
            <w:tcBorders>
              <w:tl2br w:val="nil"/>
              <w:tr2bl w:val="nil"/>
            </w:tcBorders>
            <w:vAlign w:val="center"/>
          </w:tcPr>
          <w:p w14:paraId="763805A8">
            <w:pPr>
              <w:jc w:val="center"/>
              <w:textAlignment w:val="bottom"/>
              <w:rPr>
                <w:color w:val="000000"/>
                <w:kern w:val="0"/>
                <w:sz w:val="21"/>
              </w:rPr>
            </w:pPr>
            <w:r>
              <w:rPr>
                <w:color w:val="000000"/>
                <w:kern w:val="0"/>
                <w:sz w:val="21"/>
              </w:rPr>
              <w:t>氦气</w:t>
            </w:r>
          </w:p>
        </w:tc>
        <w:tc>
          <w:tcPr>
            <w:tcW w:w="2501" w:type="pct"/>
            <w:tcBorders>
              <w:tl2br w:val="nil"/>
              <w:tr2bl w:val="nil"/>
            </w:tcBorders>
            <w:vAlign w:val="center"/>
          </w:tcPr>
          <w:p w14:paraId="153AA2F9">
            <w:pPr>
              <w:jc w:val="center"/>
              <w:textAlignment w:val="bottom"/>
              <w:rPr>
                <w:color w:val="000000"/>
                <w:kern w:val="0"/>
                <w:sz w:val="21"/>
              </w:rPr>
            </w:pPr>
            <w:r>
              <w:rPr>
                <w:color w:val="000000"/>
                <w:kern w:val="0"/>
                <w:sz w:val="21"/>
              </w:rPr>
              <w:t>99.999%  min.</w:t>
            </w:r>
          </w:p>
        </w:tc>
      </w:tr>
      <w:tr w14:paraId="4C54192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2498" w:type="pct"/>
            <w:tcBorders>
              <w:tl2br w:val="nil"/>
              <w:tr2bl w:val="nil"/>
            </w:tcBorders>
            <w:vAlign w:val="center"/>
          </w:tcPr>
          <w:p w14:paraId="5D2650B3">
            <w:pPr>
              <w:jc w:val="center"/>
              <w:textAlignment w:val="bottom"/>
              <w:rPr>
                <w:color w:val="000000"/>
                <w:kern w:val="0"/>
                <w:sz w:val="21"/>
              </w:rPr>
            </w:pPr>
            <w:r>
              <w:rPr>
                <w:color w:val="000000"/>
                <w:kern w:val="0"/>
                <w:sz w:val="21"/>
              </w:rPr>
              <w:t>氖气</w:t>
            </w:r>
          </w:p>
        </w:tc>
        <w:tc>
          <w:tcPr>
            <w:tcW w:w="2501" w:type="pct"/>
            <w:tcBorders>
              <w:tl2br w:val="nil"/>
              <w:tr2bl w:val="nil"/>
            </w:tcBorders>
            <w:vAlign w:val="center"/>
          </w:tcPr>
          <w:p w14:paraId="6D39D6AE">
            <w:pPr>
              <w:jc w:val="center"/>
              <w:textAlignment w:val="bottom"/>
              <w:rPr>
                <w:color w:val="000000"/>
                <w:kern w:val="0"/>
                <w:sz w:val="21"/>
              </w:rPr>
            </w:pPr>
            <w:r>
              <w:rPr>
                <w:color w:val="000000"/>
                <w:kern w:val="0"/>
                <w:sz w:val="21"/>
              </w:rPr>
              <w:t>4.0 ppm  max.</w:t>
            </w:r>
          </w:p>
        </w:tc>
      </w:tr>
      <w:tr w14:paraId="2301FCD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2498" w:type="pct"/>
            <w:tcBorders>
              <w:tl2br w:val="nil"/>
              <w:tr2bl w:val="nil"/>
            </w:tcBorders>
            <w:vAlign w:val="center"/>
          </w:tcPr>
          <w:p w14:paraId="6F2C8F87">
            <w:pPr>
              <w:jc w:val="center"/>
              <w:textAlignment w:val="bottom"/>
              <w:rPr>
                <w:color w:val="000000"/>
                <w:kern w:val="0"/>
                <w:sz w:val="21"/>
              </w:rPr>
            </w:pPr>
            <w:r>
              <w:rPr>
                <w:color w:val="000000"/>
                <w:kern w:val="0"/>
                <w:sz w:val="21"/>
              </w:rPr>
              <w:t>氢气</w:t>
            </w:r>
          </w:p>
        </w:tc>
        <w:tc>
          <w:tcPr>
            <w:tcW w:w="2501" w:type="pct"/>
            <w:tcBorders>
              <w:tl2br w:val="nil"/>
              <w:tr2bl w:val="nil"/>
            </w:tcBorders>
            <w:vAlign w:val="center"/>
          </w:tcPr>
          <w:p w14:paraId="0AB03345">
            <w:pPr>
              <w:jc w:val="center"/>
              <w:textAlignment w:val="bottom"/>
              <w:rPr>
                <w:color w:val="000000"/>
                <w:kern w:val="0"/>
                <w:sz w:val="21"/>
              </w:rPr>
            </w:pPr>
            <w:r>
              <w:rPr>
                <w:color w:val="000000"/>
                <w:kern w:val="0"/>
                <w:sz w:val="21"/>
              </w:rPr>
              <w:t>1.0 ppm  max.</w:t>
            </w:r>
          </w:p>
        </w:tc>
      </w:tr>
      <w:tr w14:paraId="49CAD1E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2498" w:type="pct"/>
            <w:tcBorders>
              <w:tl2br w:val="nil"/>
              <w:tr2bl w:val="nil"/>
            </w:tcBorders>
            <w:vAlign w:val="center"/>
          </w:tcPr>
          <w:p w14:paraId="6601B79B">
            <w:pPr>
              <w:jc w:val="center"/>
              <w:textAlignment w:val="bottom"/>
              <w:rPr>
                <w:color w:val="000000"/>
                <w:kern w:val="0"/>
                <w:sz w:val="21"/>
              </w:rPr>
            </w:pPr>
            <w:r>
              <w:rPr>
                <w:color w:val="000000"/>
                <w:kern w:val="0"/>
                <w:sz w:val="21"/>
              </w:rPr>
              <w:t>氧气</w:t>
            </w:r>
          </w:p>
        </w:tc>
        <w:tc>
          <w:tcPr>
            <w:tcW w:w="2501" w:type="pct"/>
            <w:tcBorders>
              <w:tl2br w:val="nil"/>
              <w:tr2bl w:val="nil"/>
            </w:tcBorders>
            <w:vAlign w:val="center"/>
          </w:tcPr>
          <w:p w14:paraId="532CB053">
            <w:pPr>
              <w:jc w:val="center"/>
              <w:textAlignment w:val="bottom"/>
              <w:rPr>
                <w:color w:val="000000"/>
                <w:kern w:val="0"/>
                <w:sz w:val="21"/>
              </w:rPr>
            </w:pPr>
            <w:r>
              <w:rPr>
                <w:color w:val="000000"/>
                <w:kern w:val="0"/>
                <w:sz w:val="21"/>
              </w:rPr>
              <w:t>1.0 ppm  max.</w:t>
            </w:r>
          </w:p>
        </w:tc>
      </w:tr>
      <w:tr w14:paraId="1D71245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2498" w:type="pct"/>
            <w:tcBorders>
              <w:tl2br w:val="nil"/>
              <w:tr2bl w:val="nil"/>
            </w:tcBorders>
            <w:vAlign w:val="center"/>
          </w:tcPr>
          <w:p w14:paraId="5E351882">
            <w:pPr>
              <w:jc w:val="center"/>
              <w:textAlignment w:val="bottom"/>
              <w:rPr>
                <w:color w:val="000000"/>
                <w:kern w:val="0"/>
                <w:sz w:val="21"/>
              </w:rPr>
            </w:pPr>
            <w:r>
              <w:rPr>
                <w:color w:val="000000"/>
                <w:kern w:val="0"/>
                <w:sz w:val="21"/>
              </w:rPr>
              <w:t>氮气</w:t>
            </w:r>
          </w:p>
        </w:tc>
        <w:tc>
          <w:tcPr>
            <w:tcW w:w="2501" w:type="pct"/>
            <w:tcBorders>
              <w:tl2br w:val="nil"/>
              <w:tr2bl w:val="nil"/>
            </w:tcBorders>
            <w:vAlign w:val="center"/>
          </w:tcPr>
          <w:p w14:paraId="5AFD909D">
            <w:pPr>
              <w:jc w:val="center"/>
              <w:textAlignment w:val="bottom"/>
              <w:rPr>
                <w:color w:val="000000"/>
                <w:kern w:val="0"/>
                <w:sz w:val="21"/>
              </w:rPr>
            </w:pPr>
            <w:r>
              <w:rPr>
                <w:color w:val="000000"/>
                <w:kern w:val="0"/>
                <w:sz w:val="21"/>
              </w:rPr>
              <w:t>2.0 ppm  max.</w:t>
            </w:r>
          </w:p>
        </w:tc>
      </w:tr>
      <w:tr w14:paraId="00CDA64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498" w:type="pct"/>
            <w:tcBorders>
              <w:tl2br w:val="nil"/>
              <w:tr2bl w:val="nil"/>
            </w:tcBorders>
            <w:vAlign w:val="center"/>
          </w:tcPr>
          <w:p w14:paraId="6EC0B351">
            <w:pPr>
              <w:jc w:val="center"/>
              <w:textAlignment w:val="bottom"/>
              <w:rPr>
                <w:color w:val="000000"/>
                <w:kern w:val="0"/>
                <w:sz w:val="21"/>
              </w:rPr>
            </w:pPr>
            <w:r>
              <w:rPr>
                <w:color w:val="000000"/>
                <w:kern w:val="0"/>
                <w:sz w:val="21"/>
              </w:rPr>
              <w:t>一氧化碳</w:t>
            </w:r>
          </w:p>
        </w:tc>
        <w:tc>
          <w:tcPr>
            <w:tcW w:w="2501" w:type="pct"/>
            <w:tcBorders>
              <w:tl2br w:val="nil"/>
              <w:tr2bl w:val="nil"/>
            </w:tcBorders>
            <w:vAlign w:val="center"/>
          </w:tcPr>
          <w:p w14:paraId="30D57340">
            <w:pPr>
              <w:jc w:val="center"/>
              <w:textAlignment w:val="bottom"/>
              <w:rPr>
                <w:color w:val="000000"/>
                <w:kern w:val="0"/>
                <w:sz w:val="21"/>
              </w:rPr>
            </w:pPr>
            <w:r>
              <w:rPr>
                <w:color w:val="000000"/>
                <w:kern w:val="0"/>
                <w:sz w:val="21"/>
              </w:rPr>
              <w:t>0.5 ppm  max.</w:t>
            </w:r>
          </w:p>
        </w:tc>
      </w:tr>
      <w:tr w14:paraId="7712878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2498" w:type="pct"/>
            <w:tcBorders>
              <w:tl2br w:val="nil"/>
              <w:tr2bl w:val="nil"/>
            </w:tcBorders>
            <w:vAlign w:val="center"/>
          </w:tcPr>
          <w:p w14:paraId="3D8F1447">
            <w:pPr>
              <w:jc w:val="center"/>
              <w:textAlignment w:val="bottom"/>
              <w:rPr>
                <w:color w:val="000000"/>
                <w:kern w:val="0"/>
                <w:sz w:val="21"/>
              </w:rPr>
            </w:pPr>
            <w:r>
              <w:rPr>
                <w:color w:val="000000"/>
                <w:kern w:val="0"/>
                <w:sz w:val="21"/>
              </w:rPr>
              <w:t>二氧化碳</w:t>
            </w:r>
          </w:p>
        </w:tc>
        <w:tc>
          <w:tcPr>
            <w:tcW w:w="2501" w:type="pct"/>
            <w:tcBorders>
              <w:tl2br w:val="nil"/>
              <w:tr2bl w:val="nil"/>
            </w:tcBorders>
            <w:vAlign w:val="center"/>
          </w:tcPr>
          <w:p w14:paraId="4B6FF608">
            <w:pPr>
              <w:jc w:val="center"/>
              <w:textAlignment w:val="bottom"/>
              <w:rPr>
                <w:color w:val="000000"/>
                <w:kern w:val="0"/>
                <w:sz w:val="21"/>
              </w:rPr>
            </w:pPr>
            <w:r>
              <w:rPr>
                <w:color w:val="000000"/>
                <w:kern w:val="0"/>
                <w:sz w:val="21"/>
              </w:rPr>
              <w:t>0.5 ppm  max.</w:t>
            </w:r>
          </w:p>
        </w:tc>
      </w:tr>
      <w:tr w14:paraId="4522626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2498" w:type="pct"/>
            <w:tcBorders>
              <w:tl2br w:val="nil"/>
              <w:tr2bl w:val="nil"/>
            </w:tcBorders>
            <w:vAlign w:val="center"/>
          </w:tcPr>
          <w:p w14:paraId="5E1E7A19">
            <w:pPr>
              <w:jc w:val="center"/>
              <w:textAlignment w:val="bottom"/>
              <w:rPr>
                <w:color w:val="000000"/>
                <w:kern w:val="0"/>
                <w:sz w:val="21"/>
              </w:rPr>
            </w:pPr>
            <w:r>
              <w:rPr>
                <w:color w:val="000000"/>
                <w:kern w:val="0"/>
                <w:sz w:val="21"/>
              </w:rPr>
              <w:t>甲烷</w:t>
            </w:r>
          </w:p>
        </w:tc>
        <w:tc>
          <w:tcPr>
            <w:tcW w:w="2501" w:type="pct"/>
            <w:tcBorders>
              <w:tl2br w:val="nil"/>
              <w:tr2bl w:val="nil"/>
            </w:tcBorders>
            <w:vAlign w:val="center"/>
          </w:tcPr>
          <w:p w14:paraId="797D8FF7">
            <w:pPr>
              <w:jc w:val="center"/>
              <w:textAlignment w:val="bottom"/>
              <w:rPr>
                <w:color w:val="000000"/>
                <w:kern w:val="0"/>
                <w:sz w:val="21"/>
              </w:rPr>
            </w:pPr>
            <w:r>
              <w:rPr>
                <w:color w:val="000000"/>
                <w:kern w:val="0"/>
                <w:sz w:val="21"/>
              </w:rPr>
              <w:t>0.5 ppm  max.</w:t>
            </w:r>
          </w:p>
        </w:tc>
      </w:tr>
      <w:tr w14:paraId="26BCE27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498" w:type="pct"/>
            <w:tcBorders>
              <w:tl2br w:val="nil"/>
              <w:tr2bl w:val="nil"/>
            </w:tcBorders>
            <w:vAlign w:val="center"/>
          </w:tcPr>
          <w:p w14:paraId="20403D4E">
            <w:pPr>
              <w:jc w:val="center"/>
              <w:textAlignment w:val="bottom"/>
              <w:rPr>
                <w:color w:val="000000"/>
                <w:kern w:val="0"/>
                <w:sz w:val="21"/>
              </w:rPr>
            </w:pPr>
            <w:r>
              <w:rPr>
                <w:color w:val="000000"/>
                <w:kern w:val="0"/>
                <w:sz w:val="21"/>
              </w:rPr>
              <w:t>水分</w:t>
            </w:r>
          </w:p>
        </w:tc>
        <w:tc>
          <w:tcPr>
            <w:tcW w:w="2501" w:type="pct"/>
            <w:tcBorders>
              <w:tl2br w:val="nil"/>
              <w:tr2bl w:val="nil"/>
            </w:tcBorders>
            <w:vAlign w:val="center"/>
          </w:tcPr>
          <w:p w14:paraId="6DC04F74">
            <w:pPr>
              <w:jc w:val="center"/>
              <w:textAlignment w:val="bottom"/>
              <w:rPr>
                <w:color w:val="000000"/>
                <w:kern w:val="0"/>
                <w:sz w:val="21"/>
              </w:rPr>
            </w:pPr>
            <w:r>
              <w:rPr>
                <w:color w:val="000000"/>
                <w:kern w:val="0"/>
                <w:sz w:val="21"/>
              </w:rPr>
              <w:t>3.0 ppm  max.</w:t>
            </w:r>
          </w:p>
        </w:tc>
      </w:tr>
      <w:tr w14:paraId="020875F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4410" w:type="dxa"/>
            <w:tcBorders>
              <w:tl2br w:val="nil"/>
              <w:tr2bl w:val="nil"/>
            </w:tcBorders>
            <w:vAlign w:val="center"/>
          </w:tcPr>
          <w:p w14:paraId="1F8C19DC">
            <w:pPr>
              <w:jc w:val="center"/>
              <w:textAlignment w:val="bottom"/>
              <w:rPr>
                <w:color w:val="000000"/>
                <w:kern w:val="0"/>
                <w:sz w:val="21"/>
              </w:rPr>
            </w:pPr>
            <w:r>
              <w:rPr>
                <w:color w:val="000000"/>
                <w:kern w:val="0"/>
                <w:sz w:val="21"/>
              </w:rPr>
              <w:t>总杂质含量</w:t>
            </w:r>
          </w:p>
        </w:tc>
        <w:tc>
          <w:tcPr>
            <w:tcW w:w="4415" w:type="dxa"/>
            <w:tcBorders>
              <w:tl2br w:val="nil"/>
              <w:tr2bl w:val="nil"/>
            </w:tcBorders>
            <w:vAlign w:val="center"/>
          </w:tcPr>
          <w:p w14:paraId="538A4B77">
            <w:pPr>
              <w:jc w:val="center"/>
              <w:textAlignment w:val="bottom"/>
              <w:rPr>
                <w:color w:val="000000"/>
                <w:kern w:val="0"/>
                <w:sz w:val="21"/>
              </w:rPr>
            </w:pPr>
            <w:r>
              <w:rPr>
                <w:color w:val="000000"/>
                <w:kern w:val="0"/>
                <w:sz w:val="21"/>
              </w:rPr>
              <w:t>10ppm  max.</w:t>
            </w:r>
          </w:p>
        </w:tc>
      </w:tr>
      <w:tr w14:paraId="11E8FE4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2498" w:type="pct"/>
            <w:tcBorders>
              <w:tl2br w:val="nil"/>
              <w:tr2bl w:val="nil"/>
            </w:tcBorders>
            <w:vAlign w:val="center"/>
          </w:tcPr>
          <w:p w14:paraId="3CA6FAB3">
            <w:pPr>
              <w:jc w:val="center"/>
              <w:textAlignment w:val="bottom"/>
              <w:rPr>
                <w:color w:val="000000"/>
                <w:kern w:val="0"/>
                <w:sz w:val="21"/>
              </w:rPr>
            </w:pPr>
            <w:r>
              <w:rPr>
                <w:color w:val="000000"/>
                <w:kern w:val="0"/>
                <w:sz w:val="21"/>
              </w:rPr>
              <w:t>相态</w:t>
            </w:r>
          </w:p>
        </w:tc>
        <w:tc>
          <w:tcPr>
            <w:tcW w:w="2501" w:type="pct"/>
            <w:tcBorders>
              <w:tl2br w:val="nil"/>
              <w:tr2bl w:val="nil"/>
            </w:tcBorders>
            <w:vAlign w:val="center"/>
          </w:tcPr>
          <w:p w14:paraId="48FB889E">
            <w:pPr>
              <w:jc w:val="center"/>
              <w:textAlignment w:val="bottom"/>
              <w:rPr>
                <w:color w:val="000000"/>
                <w:kern w:val="0"/>
                <w:sz w:val="21"/>
              </w:rPr>
            </w:pPr>
            <w:r>
              <w:rPr>
                <w:color w:val="000000"/>
                <w:kern w:val="0"/>
                <w:sz w:val="21"/>
              </w:rPr>
              <w:t>气相</w:t>
            </w:r>
          </w:p>
        </w:tc>
      </w:tr>
    </w:tbl>
    <w:p w14:paraId="2CC40933">
      <w:pPr>
        <w:pStyle w:val="771"/>
        <w:rPr>
          <w:color w:val="000000"/>
        </w:rPr>
      </w:pPr>
      <w:r>
        <w:rPr>
          <w:color w:val="000000"/>
        </w:rPr>
        <w:t>3.1.3 项目组成</w:t>
      </w:r>
      <w:bookmarkEnd w:id="213"/>
    </w:p>
    <w:p w14:paraId="5BBDF1BC">
      <w:pPr>
        <w:ind w:firstLine="480"/>
        <w:rPr>
          <w:color w:val="000000"/>
        </w:rPr>
      </w:pPr>
      <w:bookmarkStart w:id="214" w:name="_Toc472509289"/>
      <w:r>
        <w:rPr>
          <w:color w:val="000000"/>
        </w:rPr>
        <w:t>本项目主要分为提氦装置区、装车及储存单元两部分，其中提氦装置区主要布置工艺设施设备，装车及储存单元主要布置钢瓶充装、钢瓶间、停车区等，项目由主体工程、储运工程、辅助工程、公用工程、环保工程组成，项目组成见表3.1.3-1。</w:t>
      </w:r>
    </w:p>
    <w:p w14:paraId="1390A4BE">
      <w:pPr>
        <w:ind w:firstLine="420" w:firstLineChars="200"/>
        <w:jc w:val="center"/>
        <w:rPr>
          <w:color w:val="000000"/>
          <w:sz w:val="21"/>
        </w:rPr>
      </w:pPr>
      <w:r>
        <w:rPr>
          <w:bCs/>
          <w:color w:val="000000"/>
          <w:sz w:val="21"/>
        </w:rPr>
        <w:t>表3.1.3-1项目组成一览表</w:t>
      </w:r>
    </w:p>
    <w:tbl>
      <w:tblPr>
        <w:tblStyle w:val="7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662"/>
        <w:gridCol w:w="5444"/>
        <w:gridCol w:w="1253"/>
      </w:tblGrid>
      <w:tr w14:paraId="5A01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0" w:type="pct"/>
            <w:gridSpan w:val="2"/>
            <w:vAlign w:val="center"/>
          </w:tcPr>
          <w:p w14:paraId="312B919A">
            <w:pPr>
              <w:spacing w:line="240" w:lineRule="atLeast"/>
              <w:jc w:val="center"/>
              <w:rPr>
                <w:color w:val="000000"/>
                <w:sz w:val="21"/>
              </w:rPr>
            </w:pPr>
            <w:r>
              <w:rPr>
                <w:color w:val="000000"/>
                <w:sz w:val="21"/>
              </w:rPr>
              <w:t>项目组成</w:t>
            </w:r>
          </w:p>
        </w:tc>
        <w:tc>
          <w:tcPr>
            <w:tcW w:w="3007" w:type="pct"/>
            <w:vAlign w:val="center"/>
          </w:tcPr>
          <w:p w14:paraId="07AD1D3B">
            <w:pPr>
              <w:spacing w:line="240" w:lineRule="atLeast"/>
              <w:jc w:val="center"/>
              <w:rPr>
                <w:color w:val="000000"/>
                <w:sz w:val="21"/>
              </w:rPr>
            </w:pPr>
            <w:r>
              <w:rPr>
                <w:color w:val="000000"/>
                <w:sz w:val="21"/>
              </w:rPr>
              <w:t>建设内容及规模</w:t>
            </w:r>
          </w:p>
        </w:tc>
        <w:tc>
          <w:tcPr>
            <w:tcW w:w="692" w:type="pct"/>
            <w:vAlign w:val="center"/>
          </w:tcPr>
          <w:p w14:paraId="5C3E7C05">
            <w:pPr>
              <w:spacing w:line="240" w:lineRule="atLeast"/>
              <w:jc w:val="center"/>
              <w:rPr>
                <w:color w:val="000000"/>
                <w:sz w:val="21"/>
              </w:rPr>
            </w:pPr>
            <w:r>
              <w:rPr>
                <w:color w:val="000000"/>
                <w:sz w:val="21"/>
              </w:rPr>
              <w:t>备注</w:t>
            </w:r>
          </w:p>
        </w:tc>
      </w:tr>
      <w:tr w14:paraId="45CF3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382" w:type="pct"/>
            <w:vMerge w:val="restart"/>
            <w:vAlign w:val="center"/>
          </w:tcPr>
          <w:p w14:paraId="77FE920A">
            <w:pPr>
              <w:spacing w:line="240" w:lineRule="atLeast"/>
              <w:jc w:val="center"/>
              <w:rPr>
                <w:color w:val="000000"/>
                <w:sz w:val="21"/>
              </w:rPr>
            </w:pPr>
            <w:r>
              <w:rPr>
                <w:color w:val="000000"/>
                <w:sz w:val="21"/>
              </w:rPr>
              <w:t>主体工程</w:t>
            </w:r>
          </w:p>
        </w:tc>
        <w:tc>
          <w:tcPr>
            <w:tcW w:w="917" w:type="pct"/>
            <w:vAlign w:val="center"/>
          </w:tcPr>
          <w:p w14:paraId="77E71AF5">
            <w:pPr>
              <w:pStyle w:val="2178"/>
              <w:adjustRightInd w:val="0"/>
              <w:spacing w:line="240" w:lineRule="atLeast"/>
              <w:rPr>
                <w:rFonts w:cs="Times New Roman"/>
                <w:color w:val="000000"/>
                <w:kern w:val="0"/>
              </w:rPr>
            </w:pPr>
            <w:r>
              <w:rPr>
                <w:rFonts w:cs="Times New Roman"/>
                <w:color w:val="000000"/>
              </w:rPr>
              <w:t>提氦装置区</w:t>
            </w:r>
          </w:p>
        </w:tc>
        <w:tc>
          <w:tcPr>
            <w:tcW w:w="3007" w:type="pct"/>
            <w:vAlign w:val="center"/>
          </w:tcPr>
          <w:p w14:paraId="64080AF1">
            <w:pPr>
              <w:pStyle w:val="2178"/>
              <w:adjustRightInd w:val="0"/>
              <w:spacing w:line="240" w:lineRule="atLeast"/>
              <w:jc w:val="both"/>
              <w:rPr>
                <w:rFonts w:cs="Times New Roman"/>
                <w:color w:val="000000"/>
                <w:kern w:val="0"/>
              </w:rPr>
            </w:pPr>
            <w:r>
              <w:rPr>
                <w:rFonts w:cs="Times New Roman"/>
                <w:color w:val="000000"/>
              </w:rPr>
              <w:t>面积约1060m</w:t>
            </w:r>
            <w:r>
              <w:rPr>
                <w:rFonts w:cs="Times New Roman"/>
                <w:color w:val="000000"/>
                <w:vertAlign w:val="superscript"/>
              </w:rPr>
              <w:t>2</w:t>
            </w:r>
            <w:r>
              <w:rPr>
                <w:rFonts w:cs="Times New Roman"/>
                <w:color w:val="000000"/>
              </w:rPr>
              <w:t>，共设7个单元：催化燃烧脱氢单元、压缩脱碳干燥单元、深冷分离单元、膜分离单元、吸附脱氢单元、氦气脱碳干燥单元、低温精制单元</w:t>
            </w:r>
          </w:p>
        </w:tc>
        <w:tc>
          <w:tcPr>
            <w:tcW w:w="692" w:type="pct"/>
            <w:vMerge w:val="restart"/>
            <w:vAlign w:val="center"/>
          </w:tcPr>
          <w:p w14:paraId="6505E4D5">
            <w:pPr>
              <w:pStyle w:val="2178"/>
              <w:adjustRightInd w:val="0"/>
              <w:spacing w:line="240" w:lineRule="atLeast"/>
              <w:rPr>
                <w:rFonts w:cs="Times New Roman"/>
                <w:color w:val="000000"/>
                <w:kern w:val="0"/>
              </w:rPr>
            </w:pPr>
            <w:r>
              <w:rPr>
                <w:rFonts w:cs="Times New Roman"/>
                <w:color w:val="000000"/>
                <w:kern w:val="0"/>
              </w:rPr>
              <w:t>新建</w:t>
            </w:r>
          </w:p>
        </w:tc>
      </w:tr>
      <w:tr w14:paraId="6474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382" w:type="pct"/>
            <w:vMerge w:val="continue"/>
            <w:vAlign w:val="center"/>
          </w:tcPr>
          <w:p w14:paraId="4B8C9B9B">
            <w:pPr>
              <w:spacing w:line="240" w:lineRule="atLeast"/>
              <w:jc w:val="center"/>
              <w:rPr>
                <w:color w:val="000000"/>
                <w:sz w:val="21"/>
              </w:rPr>
            </w:pPr>
          </w:p>
        </w:tc>
        <w:tc>
          <w:tcPr>
            <w:tcW w:w="917" w:type="pct"/>
            <w:vAlign w:val="center"/>
          </w:tcPr>
          <w:p w14:paraId="6B41B49A">
            <w:pPr>
              <w:pStyle w:val="2178"/>
              <w:adjustRightInd w:val="0"/>
              <w:spacing w:line="240" w:lineRule="atLeast"/>
              <w:rPr>
                <w:rFonts w:cs="Times New Roman"/>
                <w:color w:val="000000"/>
              </w:rPr>
            </w:pPr>
            <w:r>
              <w:rPr>
                <w:rFonts w:cs="Times New Roman"/>
                <w:color w:val="000000"/>
                <w:kern w:val="0"/>
              </w:rPr>
              <w:t>钢瓶充装区</w:t>
            </w:r>
          </w:p>
        </w:tc>
        <w:tc>
          <w:tcPr>
            <w:tcW w:w="3007" w:type="pct"/>
            <w:vAlign w:val="center"/>
          </w:tcPr>
          <w:p w14:paraId="720CB985">
            <w:pPr>
              <w:pStyle w:val="2178"/>
              <w:adjustRightInd w:val="0"/>
              <w:spacing w:line="240" w:lineRule="atLeast"/>
              <w:jc w:val="both"/>
              <w:rPr>
                <w:rFonts w:cs="Times New Roman"/>
                <w:color w:val="000000"/>
              </w:rPr>
            </w:pPr>
            <w:r>
              <w:rPr>
                <w:rFonts w:cs="Times New Roman"/>
                <w:color w:val="000000"/>
                <w:kern w:val="0"/>
              </w:rPr>
              <w:t>钢瓶充装区</w:t>
            </w:r>
            <w:r>
              <w:rPr>
                <w:rFonts w:cs="Times New Roman"/>
                <w:color w:val="000000"/>
              </w:rPr>
              <w:t>位于装车及储存单元西侧，面积约120m</w:t>
            </w:r>
            <w:r>
              <w:rPr>
                <w:rFonts w:cs="Times New Roman"/>
                <w:color w:val="000000"/>
                <w:vertAlign w:val="superscript"/>
              </w:rPr>
              <w:t>2</w:t>
            </w:r>
            <w:r>
              <w:rPr>
                <w:rFonts w:cs="Times New Roman"/>
                <w:color w:val="000000"/>
              </w:rPr>
              <w:t>，布置压缩机等，使氦气增压15Mpa~20Mpa进行充装。包括管束车、单瓶充装和集装格充装三种充装形式。</w:t>
            </w:r>
          </w:p>
        </w:tc>
        <w:tc>
          <w:tcPr>
            <w:tcW w:w="692" w:type="pct"/>
            <w:vMerge w:val="continue"/>
            <w:vAlign w:val="center"/>
          </w:tcPr>
          <w:p w14:paraId="263863A7">
            <w:pPr>
              <w:pStyle w:val="2178"/>
              <w:adjustRightInd w:val="0"/>
              <w:spacing w:line="240" w:lineRule="atLeast"/>
              <w:rPr>
                <w:rFonts w:cs="Times New Roman"/>
                <w:color w:val="000000"/>
                <w:kern w:val="0"/>
              </w:rPr>
            </w:pPr>
          </w:p>
        </w:tc>
      </w:tr>
      <w:tr w14:paraId="0309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382" w:type="pct"/>
            <w:vMerge w:val="restart"/>
            <w:vAlign w:val="center"/>
          </w:tcPr>
          <w:p w14:paraId="19EE0B95">
            <w:pPr>
              <w:spacing w:line="240" w:lineRule="atLeast"/>
              <w:jc w:val="center"/>
              <w:rPr>
                <w:color w:val="000000"/>
                <w:sz w:val="21"/>
              </w:rPr>
            </w:pPr>
            <w:r>
              <w:rPr>
                <w:color w:val="000000"/>
                <w:sz w:val="21"/>
              </w:rPr>
              <w:t>储运工程</w:t>
            </w:r>
          </w:p>
        </w:tc>
        <w:tc>
          <w:tcPr>
            <w:tcW w:w="917" w:type="pct"/>
            <w:vAlign w:val="center"/>
          </w:tcPr>
          <w:p w14:paraId="7A34B635">
            <w:pPr>
              <w:pStyle w:val="2178"/>
              <w:adjustRightInd w:val="0"/>
              <w:spacing w:line="240" w:lineRule="atLeast"/>
              <w:rPr>
                <w:rFonts w:cs="Times New Roman"/>
                <w:color w:val="000000"/>
              </w:rPr>
            </w:pPr>
            <w:r>
              <w:rPr>
                <w:rFonts w:cs="Times New Roman"/>
                <w:color w:val="000000"/>
              </w:rPr>
              <w:t>液氧储罐</w:t>
            </w:r>
          </w:p>
        </w:tc>
        <w:tc>
          <w:tcPr>
            <w:tcW w:w="3007" w:type="pct"/>
            <w:vAlign w:val="center"/>
          </w:tcPr>
          <w:p w14:paraId="48E31A7F">
            <w:pPr>
              <w:pStyle w:val="2178"/>
              <w:adjustRightInd w:val="0"/>
              <w:spacing w:line="240" w:lineRule="atLeast"/>
              <w:jc w:val="both"/>
              <w:rPr>
                <w:rFonts w:cs="Times New Roman"/>
                <w:color w:val="000000"/>
              </w:rPr>
            </w:pPr>
            <w:r>
              <w:rPr>
                <w:rFonts w:cs="Times New Roman"/>
                <w:color w:val="000000"/>
              </w:rPr>
              <w:t>液氧储罐1个，容积10m</w:t>
            </w:r>
            <w:r>
              <w:rPr>
                <w:rFonts w:cs="Times New Roman"/>
                <w:color w:val="000000"/>
                <w:vertAlign w:val="superscript"/>
              </w:rPr>
              <w:t>3</w:t>
            </w:r>
            <w:r>
              <w:rPr>
                <w:rFonts w:cs="Times New Roman"/>
                <w:color w:val="000000"/>
              </w:rPr>
              <w:t>，位于提氦装置区南侧，用于工艺除氢。</w:t>
            </w:r>
          </w:p>
        </w:tc>
        <w:tc>
          <w:tcPr>
            <w:tcW w:w="692" w:type="pct"/>
            <w:vMerge w:val="continue"/>
            <w:vAlign w:val="center"/>
          </w:tcPr>
          <w:p w14:paraId="24C633A9">
            <w:pPr>
              <w:pStyle w:val="2178"/>
              <w:adjustRightInd w:val="0"/>
              <w:spacing w:line="240" w:lineRule="atLeast"/>
              <w:rPr>
                <w:rFonts w:cs="Times New Roman"/>
                <w:color w:val="000000"/>
                <w:kern w:val="0"/>
              </w:rPr>
            </w:pPr>
          </w:p>
        </w:tc>
      </w:tr>
      <w:tr w14:paraId="29BF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382" w:type="pct"/>
            <w:vMerge w:val="continue"/>
            <w:vAlign w:val="center"/>
          </w:tcPr>
          <w:p w14:paraId="64183C37">
            <w:pPr>
              <w:spacing w:line="240" w:lineRule="atLeast"/>
              <w:jc w:val="center"/>
              <w:rPr>
                <w:color w:val="000000"/>
                <w:sz w:val="21"/>
              </w:rPr>
            </w:pPr>
          </w:p>
        </w:tc>
        <w:tc>
          <w:tcPr>
            <w:tcW w:w="917" w:type="pct"/>
            <w:vAlign w:val="center"/>
          </w:tcPr>
          <w:p w14:paraId="643CCBAA">
            <w:pPr>
              <w:pStyle w:val="2178"/>
              <w:adjustRightInd w:val="0"/>
              <w:spacing w:line="240" w:lineRule="atLeast"/>
              <w:rPr>
                <w:rFonts w:cs="Times New Roman"/>
                <w:color w:val="000000"/>
                <w:kern w:val="0"/>
              </w:rPr>
            </w:pPr>
            <w:r>
              <w:rPr>
                <w:rFonts w:cs="Times New Roman"/>
                <w:color w:val="000000"/>
              </w:rPr>
              <w:t>液氮储罐</w:t>
            </w:r>
          </w:p>
        </w:tc>
        <w:tc>
          <w:tcPr>
            <w:tcW w:w="3007" w:type="pct"/>
            <w:vAlign w:val="center"/>
          </w:tcPr>
          <w:p w14:paraId="6498F7B2">
            <w:pPr>
              <w:pStyle w:val="2178"/>
              <w:adjustRightInd w:val="0"/>
              <w:spacing w:line="240" w:lineRule="atLeast"/>
              <w:jc w:val="both"/>
              <w:rPr>
                <w:rFonts w:cs="Times New Roman"/>
                <w:color w:val="000000"/>
              </w:rPr>
            </w:pPr>
            <w:r>
              <w:rPr>
                <w:rFonts w:cs="Times New Roman"/>
                <w:color w:val="000000"/>
              </w:rPr>
              <w:t>液氮储罐1个，容积50m</w:t>
            </w:r>
            <w:r>
              <w:rPr>
                <w:rFonts w:cs="Times New Roman"/>
                <w:color w:val="000000"/>
                <w:vertAlign w:val="superscript"/>
              </w:rPr>
              <w:t>3</w:t>
            </w:r>
            <w:r>
              <w:rPr>
                <w:rFonts w:cs="Times New Roman"/>
                <w:color w:val="000000"/>
              </w:rPr>
              <w:t>，位于提氦装置区南侧，用于生产系统再生气、置换氮气等，并为低温精制等工序提供冷量。</w:t>
            </w:r>
          </w:p>
        </w:tc>
        <w:tc>
          <w:tcPr>
            <w:tcW w:w="692" w:type="pct"/>
            <w:vMerge w:val="continue"/>
            <w:vAlign w:val="center"/>
          </w:tcPr>
          <w:p w14:paraId="63FFC3B3">
            <w:pPr>
              <w:pStyle w:val="2178"/>
              <w:adjustRightInd w:val="0"/>
              <w:spacing w:line="240" w:lineRule="atLeast"/>
              <w:rPr>
                <w:rFonts w:cs="Times New Roman"/>
                <w:color w:val="000000"/>
                <w:kern w:val="0"/>
              </w:rPr>
            </w:pPr>
          </w:p>
        </w:tc>
      </w:tr>
      <w:tr w14:paraId="3248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382" w:type="pct"/>
            <w:vMerge w:val="continue"/>
            <w:vAlign w:val="center"/>
          </w:tcPr>
          <w:p w14:paraId="5C7119F3">
            <w:pPr>
              <w:spacing w:line="240" w:lineRule="atLeast"/>
              <w:jc w:val="center"/>
              <w:rPr>
                <w:color w:val="000000"/>
                <w:sz w:val="21"/>
              </w:rPr>
            </w:pPr>
          </w:p>
        </w:tc>
        <w:tc>
          <w:tcPr>
            <w:tcW w:w="917" w:type="pct"/>
            <w:vAlign w:val="center"/>
          </w:tcPr>
          <w:p w14:paraId="4ED11478">
            <w:pPr>
              <w:pStyle w:val="2178"/>
              <w:adjustRightInd w:val="0"/>
              <w:spacing w:line="240" w:lineRule="atLeast"/>
              <w:rPr>
                <w:rFonts w:cs="Times New Roman"/>
                <w:color w:val="000000"/>
                <w:kern w:val="0"/>
              </w:rPr>
            </w:pPr>
            <w:r>
              <w:rPr>
                <w:rFonts w:cs="Times New Roman"/>
                <w:color w:val="000000"/>
                <w:kern w:val="0"/>
              </w:rPr>
              <w:t>钢瓶间</w:t>
            </w:r>
          </w:p>
        </w:tc>
        <w:tc>
          <w:tcPr>
            <w:tcW w:w="3007" w:type="pct"/>
            <w:vAlign w:val="center"/>
          </w:tcPr>
          <w:p w14:paraId="02618DD8">
            <w:pPr>
              <w:pStyle w:val="2178"/>
              <w:adjustRightInd w:val="0"/>
              <w:spacing w:line="240" w:lineRule="atLeast"/>
              <w:jc w:val="both"/>
              <w:rPr>
                <w:rFonts w:cs="Times New Roman"/>
                <w:color w:val="000000"/>
                <w:kern w:val="0"/>
              </w:rPr>
            </w:pPr>
            <w:r>
              <w:rPr>
                <w:rFonts w:cs="Times New Roman"/>
                <w:color w:val="000000"/>
                <w:kern w:val="0"/>
              </w:rPr>
              <w:t>钢瓶间位于</w:t>
            </w:r>
            <w:r>
              <w:rPr>
                <w:rFonts w:cs="Times New Roman"/>
                <w:color w:val="000000"/>
              </w:rPr>
              <w:t>装车及储存单元西侧，面积约25m</w:t>
            </w:r>
            <w:r>
              <w:rPr>
                <w:rFonts w:cs="Times New Roman"/>
                <w:color w:val="000000"/>
                <w:vertAlign w:val="superscript"/>
              </w:rPr>
              <w:t>2</w:t>
            </w:r>
            <w:r>
              <w:rPr>
                <w:rFonts w:cs="Times New Roman"/>
                <w:color w:val="000000"/>
              </w:rPr>
              <w:t>，设</w:t>
            </w:r>
            <w:r>
              <w:rPr>
                <w:rFonts w:cs="Times New Roman"/>
                <w:color w:val="000000"/>
                <w:kern w:val="0"/>
              </w:rPr>
              <w:t>192个氦气钢瓶，单个</w:t>
            </w:r>
            <w:r>
              <w:rPr>
                <w:rFonts w:cs="Times New Roman"/>
                <w:color w:val="000000"/>
              </w:rPr>
              <w:t>容积约50L（直径约229mm、高度约1.25m），用于充装氦气，位于装车及储存单元东侧</w:t>
            </w:r>
          </w:p>
        </w:tc>
        <w:tc>
          <w:tcPr>
            <w:tcW w:w="692" w:type="pct"/>
            <w:vMerge w:val="continue"/>
            <w:vAlign w:val="center"/>
          </w:tcPr>
          <w:p w14:paraId="10781A2D">
            <w:pPr>
              <w:pStyle w:val="2178"/>
              <w:adjustRightInd w:val="0"/>
              <w:spacing w:line="240" w:lineRule="atLeast"/>
              <w:rPr>
                <w:rFonts w:cs="Times New Roman"/>
                <w:color w:val="000000"/>
                <w:kern w:val="0"/>
              </w:rPr>
            </w:pPr>
          </w:p>
        </w:tc>
      </w:tr>
      <w:tr w14:paraId="6147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vMerge w:val="continue"/>
            <w:vAlign w:val="center"/>
          </w:tcPr>
          <w:p w14:paraId="1835A229">
            <w:pPr>
              <w:spacing w:line="240" w:lineRule="atLeast"/>
              <w:jc w:val="center"/>
              <w:rPr>
                <w:color w:val="000000"/>
                <w:sz w:val="21"/>
              </w:rPr>
            </w:pPr>
          </w:p>
        </w:tc>
        <w:tc>
          <w:tcPr>
            <w:tcW w:w="917" w:type="pct"/>
            <w:vAlign w:val="center"/>
          </w:tcPr>
          <w:p w14:paraId="6C142E9E">
            <w:pPr>
              <w:pStyle w:val="2178"/>
              <w:adjustRightInd w:val="0"/>
              <w:spacing w:line="240" w:lineRule="atLeast"/>
              <w:rPr>
                <w:rFonts w:cs="Times New Roman"/>
                <w:color w:val="000000"/>
                <w:kern w:val="0"/>
              </w:rPr>
            </w:pPr>
            <w:r>
              <w:rPr>
                <w:rFonts w:cs="Times New Roman"/>
                <w:color w:val="000000"/>
                <w:kern w:val="0"/>
              </w:rPr>
              <w:t>氦气回收罐</w:t>
            </w:r>
          </w:p>
        </w:tc>
        <w:tc>
          <w:tcPr>
            <w:tcW w:w="3007" w:type="pct"/>
            <w:vAlign w:val="center"/>
          </w:tcPr>
          <w:p w14:paraId="3A40DD67">
            <w:pPr>
              <w:pStyle w:val="2178"/>
              <w:adjustRightInd w:val="0"/>
              <w:spacing w:line="240" w:lineRule="atLeast"/>
              <w:jc w:val="both"/>
              <w:rPr>
                <w:rFonts w:cs="Times New Roman"/>
                <w:color w:val="000000"/>
                <w:kern w:val="0"/>
              </w:rPr>
            </w:pPr>
            <w:r>
              <w:rPr>
                <w:rFonts w:cs="Times New Roman"/>
                <w:color w:val="000000"/>
                <w:kern w:val="0"/>
              </w:rPr>
              <w:t>在压缩机区内设1个氦气回收罐，回收装瓶及装车放空氦气，有效</w:t>
            </w:r>
            <w:r>
              <w:rPr>
                <w:rFonts w:cs="Times New Roman"/>
                <w:color w:val="000000"/>
              </w:rPr>
              <w:t>容积约3.5m</w:t>
            </w:r>
            <w:r>
              <w:rPr>
                <w:rFonts w:cs="Times New Roman"/>
                <w:color w:val="000000"/>
                <w:vertAlign w:val="superscript"/>
              </w:rPr>
              <w:t>3</w:t>
            </w:r>
            <w:r>
              <w:rPr>
                <w:rFonts w:cs="Times New Roman"/>
                <w:color w:val="000000"/>
              </w:rPr>
              <w:t>（操作压力0.8MPa，常温）</w:t>
            </w:r>
          </w:p>
        </w:tc>
        <w:tc>
          <w:tcPr>
            <w:tcW w:w="692" w:type="pct"/>
            <w:vMerge w:val="continue"/>
            <w:vAlign w:val="center"/>
          </w:tcPr>
          <w:p w14:paraId="06474628">
            <w:pPr>
              <w:pStyle w:val="2178"/>
              <w:adjustRightInd w:val="0"/>
              <w:spacing w:line="240" w:lineRule="atLeast"/>
              <w:rPr>
                <w:rFonts w:cs="Times New Roman"/>
                <w:color w:val="000000"/>
                <w:kern w:val="0"/>
              </w:rPr>
            </w:pPr>
          </w:p>
        </w:tc>
      </w:tr>
      <w:tr w14:paraId="75CE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vMerge w:val="continue"/>
            <w:vAlign w:val="center"/>
          </w:tcPr>
          <w:p w14:paraId="6ED990FD">
            <w:pPr>
              <w:spacing w:line="240" w:lineRule="atLeast"/>
              <w:jc w:val="center"/>
              <w:rPr>
                <w:color w:val="000000"/>
                <w:sz w:val="21"/>
              </w:rPr>
            </w:pPr>
          </w:p>
        </w:tc>
        <w:tc>
          <w:tcPr>
            <w:tcW w:w="917" w:type="pct"/>
            <w:vAlign w:val="center"/>
          </w:tcPr>
          <w:p w14:paraId="087DE773">
            <w:pPr>
              <w:pStyle w:val="2178"/>
              <w:adjustRightInd w:val="0"/>
              <w:spacing w:line="240" w:lineRule="atLeast"/>
              <w:rPr>
                <w:rFonts w:cs="Times New Roman"/>
                <w:color w:val="000000"/>
                <w:kern w:val="0"/>
              </w:rPr>
            </w:pPr>
            <w:r>
              <w:rPr>
                <w:rFonts w:cs="Times New Roman"/>
                <w:color w:val="000000"/>
                <w:kern w:val="0"/>
              </w:rPr>
              <w:t>停车区</w:t>
            </w:r>
          </w:p>
        </w:tc>
        <w:tc>
          <w:tcPr>
            <w:tcW w:w="3007" w:type="pct"/>
            <w:vAlign w:val="center"/>
          </w:tcPr>
          <w:p w14:paraId="35875BAE">
            <w:pPr>
              <w:pStyle w:val="2178"/>
              <w:adjustRightInd w:val="0"/>
              <w:spacing w:line="240" w:lineRule="atLeast"/>
              <w:jc w:val="both"/>
              <w:rPr>
                <w:rFonts w:cs="Times New Roman"/>
                <w:color w:val="000000"/>
                <w:kern w:val="0"/>
              </w:rPr>
            </w:pPr>
            <w:r>
              <w:rPr>
                <w:rFonts w:cs="Times New Roman"/>
                <w:color w:val="000000"/>
                <w:kern w:val="0"/>
              </w:rPr>
              <w:t>1个，460m</w:t>
            </w:r>
            <w:r>
              <w:rPr>
                <w:rFonts w:cs="Times New Roman"/>
                <w:color w:val="000000"/>
                <w:kern w:val="0"/>
                <w:vertAlign w:val="superscript"/>
              </w:rPr>
              <w:t>2</w:t>
            </w:r>
            <w:r>
              <w:rPr>
                <w:rFonts w:cs="Times New Roman"/>
                <w:color w:val="000000"/>
                <w:kern w:val="0"/>
              </w:rPr>
              <w:t>，</w:t>
            </w:r>
            <w:r>
              <w:rPr>
                <w:rFonts w:cs="Times New Roman"/>
                <w:color w:val="000000"/>
              </w:rPr>
              <w:t>设置2个装车位，长管拖车用于产品氦气的存储</w:t>
            </w:r>
            <w:r>
              <w:rPr>
                <w:rFonts w:cs="Times New Roman"/>
                <w:color w:val="000000"/>
                <w:kern w:val="0"/>
              </w:rPr>
              <w:t>及外运，位于</w:t>
            </w:r>
            <w:r>
              <w:rPr>
                <w:rFonts w:cs="Times New Roman"/>
                <w:color w:val="000000"/>
              </w:rPr>
              <w:t>装车及储存单元南侧</w:t>
            </w:r>
          </w:p>
        </w:tc>
        <w:tc>
          <w:tcPr>
            <w:tcW w:w="692" w:type="pct"/>
            <w:vMerge w:val="continue"/>
            <w:vAlign w:val="center"/>
          </w:tcPr>
          <w:p w14:paraId="1D2299A9">
            <w:pPr>
              <w:pStyle w:val="2178"/>
              <w:adjustRightInd w:val="0"/>
              <w:spacing w:line="240" w:lineRule="atLeast"/>
              <w:rPr>
                <w:rFonts w:cs="Times New Roman"/>
                <w:color w:val="000000"/>
                <w:kern w:val="0"/>
              </w:rPr>
            </w:pPr>
          </w:p>
        </w:tc>
      </w:tr>
      <w:tr w14:paraId="5B41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vMerge w:val="continue"/>
            <w:vAlign w:val="center"/>
          </w:tcPr>
          <w:p w14:paraId="3302FCBF">
            <w:pPr>
              <w:spacing w:line="240" w:lineRule="atLeast"/>
              <w:jc w:val="center"/>
              <w:rPr>
                <w:color w:val="000000"/>
                <w:sz w:val="21"/>
              </w:rPr>
            </w:pPr>
          </w:p>
        </w:tc>
        <w:tc>
          <w:tcPr>
            <w:tcW w:w="917" w:type="pct"/>
            <w:vAlign w:val="center"/>
          </w:tcPr>
          <w:p w14:paraId="3BA91119">
            <w:pPr>
              <w:pStyle w:val="2178"/>
              <w:adjustRightInd w:val="0"/>
              <w:spacing w:line="240" w:lineRule="atLeast"/>
              <w:rPr>
                <w:rFonts w:cs="Times New Roman"/>
                <w:color w:val="000000"/>
                <w:kern w:val="0"/>
              </w:rPr>
            </w:pPr>
            <w:r>
              <w:rPr>
                <w:rFonts w:cs="Times New Roman"/>
                <w:color w:val="000000"/>
                <w:kern w:val="0"/>
              </w:rPr>
              <w:t>物料输送管线</w:t>
            </w:r>
          </w:p>
        </w:tc>
        <w:tc>
          <w:tcPr>
            <w:tcW w:w="3007" w:type="pct"/>
            <w:vAlign w:val="center"/>
          </w:tcPr>
          <w:p w14:paraId="26F99349">
            <w:pPr>
              <w:pStyle w:val="2178"/>
              <w:adjustRightInd w:val="0"/>
              <w:spacing w:line="240" w:lineRule="atLeast"/>
              <w:jc w:val="both"/>
              <w:rPr>
                <w:rFonts w:cs="Times New Roman"/>
                <w:color w:val="000000"/>
                <w:kern w:val="0"/>
              </w:rPr>
            </w:pPr>
            <w:r>
              <w:rPr>
                <w:rFonts w:cs="Times New Roman"/>
                <w:color w:val="000000"/>
                <w:kern w:val="0"/>
              </w:rPr>
              <w:t>新建</w:t>
            </w:r>
            <w:r>
              <w:rPr>
                <w:rFonts w:cs="Times New Roman"/>
                <w:color w:val="000000"/>
              </w:rPr>
              <w:t>BOG尾气输送管线1794m，采用不锈钢钢管，规格15~100NPS，沿现有管廊布置。</w:t>
            </w:r>
          </w:p>
        </w:tc>
        <w:tc>
          <w:tcPr>
            <w:tcW w:w="692" w:type="pct"/>
            <w:vMerge w:val="continue"/>
            <w:vAlign w:val="center"/>
          </w:tcPr>
          <w:p w14:paraId="34CCD0D8">
            <w:pPr>
              <w:pStyle w:val="2178"/>
              <w:adjustRightInd w:val="0"/>
              <w:spacing w:line="240" w:lineRule="atLeast"/>
              <w:rPr>
                <w:rFonts w:cs="Times New Roman"/>
                <w:color w:val="000000"/>
                <w:kern w:val="0"/>
              </w:rPr>
            </w:pPr>
          </w:p>
        </w:tc>
      </w:tr>
      <w:tr w14:paraId="4AC4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vAlign w:val="center"/>
          </w:tcPr>
          <w:p w14:paraId="16432A34">
            <w:pPr>
              <w:spacing w:line="240" w:lineRule="atLeast"/>
              <w:jc w:val="center"/>
              <w:rPr>
                <w:color w:val="000000"/>
                <w:sz w:val="21"/>
              </w:rPr>
            </w:pPr>
            <w:r>
              <w:rPr>
                <w:color w:val="000000"/>
                <w:sz w:val="21"/>
              </w:rPr>
              <w:t>辅助工程</w:t>
            </w:r>
          </w:p>
        </w:tc>
        <w:tc>
          <w:tcPr>
            <w:tcW w:w="917" w:type="pct"/>
            <w:vAlign w:val="center"/>
          </w:tcPr>
          <w:p w14:paraId="3E7B89B9">
            <w:pPr>
              <w:spacing w:line="240" w:lineRule="atLeast"/>
              <w:jc w:val="center"/>
              <w:rPr>
                <w:color w:val="000000"/>
                <w:kern w:val="0"/>
                <w:sz w:val="21"/>
              </w:rPr>
            </w:pPr>
            <w:r>
              <w:rPr>
                <w:color w:val="000000"/>
                <w:kern w:val="0"/>
                <w:sz w:val="21"/>
              </w:rPr>
              <w:t>分析小屋</w:t>
            </w:r>
          </w:p>
        </w:tc>
        <w:tc>
          <w:tcPr>
            <w:tcW w:w="3007" w:type="pct"/>
            <w:vAlign w:val="center"/>
          </w:tcPr>
          <w:p w14:paraId="62A5FA80">
            <w:pPr>
              <w:pStyle w:val="2178"/>
              <w:adjustRightInd w:val="0"/>
              <w:spacing w:line="240" w:lineRule="atLeast"/>
              <w:jc w:val="both"/>
              <w:rPr>
                <w:rFonts w:cs="Times New Roman"/>
                <w:color w:val="000000"/>
              </w:rPr>
            </w:pPr>
            <w:r>
              <w:rPr>
                <w:rFonts w:cs="Times New Roman"/>
                <w:color w:val="000000"/>
              </w:rPr>
              <w:t>在提氦装置区内设1个分析小屋，面积约30m</w:t>
            </w:r>
            <w:r>
              <w:rPr>
                <w:rFonts w:cs="Times New Roman"/>
                <w:color w:val="000000"/>
                <w:vertAlign w:val="superscript"/>
              </w:rPr>
              <w:t>2</w:t>
            </w:r>
            <w:r>
              <w:rPr>
                <w:rFonts w:cs="Times New Roman"/>
                <w:color w:val="000000"/>
              </w:rPr>
              <w:t>，配置分析仪，主要对产品中氢、氮、氧等含量进行分析</w:t>
            </w:r>
          </w:p>
        </w:tc>
        <w:tc>
          <w:tcPr>
            <w:tcW w:w="692" w:type="pct"/>
            <w:vMerge w:val="continue"/>
            <w:vAlign w:val="center"/>
          </w:tcPr>
          <w:p w14:paraId="6310989A">
            <w:pPr>
              <w:pStyle w:val="2178"/>
              <w:adjustRightInd w:val="0"/>
              <w:spacing w:line="240" w:lineRule="atLeast"/>
              <w:rPr>
                <w:rFonts w:cs="Times New Roman"/>
                <w:color w:val="000000"/>
                <w:kern w:val="0"/>
              </w:rPr>
            </w:pPr>
          </w:p>
        </w:tc>
      </w:tr>
      <w:tr w14:paraId="3968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82" w:type="pct"/>
            <w:vMerge w:val="restart"/>
            <w:vAlign w:val="center"/>
          </w:tcPr>
          <w:p w14:paraId="71695FB6">
            <w:pPr>
              <w:spacing w:line="240" w:lineRule="atLeast"/>
              <w:jc w:val="center"/>
              <w:rPr>
                <w:color w:val="000000"/>
                <w:sz w:val="21"/>
              </w:rPr>
            </w:pPr>
            <w:r>
              <w:rPr>
                <w:color w:val="000000"/>
                <w:sz w:val="21"/>
              </w:rPr>
              <w:t>公用工程</w:t>
            </w:r>
          </w:p>
        </w:tc>
        <w:tc>
          <w:tcPr>
            <w:tcW w:w="917" w:type="pct"/>
            <w:vAlign w:val="center"/>
          </w:tcPr>
          <w:p w14:paraId="315D74D7">
            <w:pPr>
              <w:spacing w:line="240" w:lineRule="atLeast"/>
              <w:jc w:val="center"/>
              <w:rPr>
                <w:color w:val="000000"/>
                <w:kern w:val="0"/>
                <w:sz w:val="21"/>
              </w:rPr>
            </w:pPr>
            <w:r>
              <w:rPr>
                <w:bCs/>
                <w:snapToGrid w:val="0"/>
                <w:color w:val="000000"/>
                <w:sz w:val="21"/>
              </w:rPr>
              <w:t>供水</w:t>
            </w:r>
          </w:p>
        </w:tc>
        <w:tc>
          <w:tcPr>
            <w:tcW w:w="3007" w:type="pct"/>
            <w:vAlign w:val="center"/>
          </w:tcPr>
          <w:p w14:paraId="02682A12">
            <w:pPr>
              <w:pStyle w:val="2178"/>
              <w:adjustRightInd w:val="0"/>
              <w:spacing w:line="240" w:lineRule="atLeast"/>
              <w:jc w:val="both"/>
              <w:rPr>
                <w:rFonts w:cs="Times New Roman"/>
                <w:color w:val="000000"/>
              </w:rPr>
            </w:pPr>
            <w:r>
              <w:rPr>
                <w:rFonts w:cs="Times New Roman"/>
                <w:color w:val="000000"/>
              </w:rPr>
              <w:t>本项目用水由白涛化工园给水厂统一供给，其供水量满足项目用水需求，项目所需冷却循环水依托LNG工厂循环水系统。</w:t>
            </w:r>
          </w:p>
        </w:tc>
        <w:tc>
          <w:tcPr>
            <w:tcW w:w="692" w:type="pct"/>
            <w:vAlign w:val="center"/>
          </w:tcPr>
          <w:p w14:paraId="341F7143">
            <w:pPr>
              <w:pStyle w:val="2178"/>
              <w:adjustRightInd w:val="0"/>
              <w:spacing w:line="240" w:lineRule="atLeast"/>
              <w:rPr>
                <w:rFonts w:cs="Times New Roman"/>
                <w:color w:val="000000"/>
                <w:kern w:val="0"/>
              </w:rPr>
            </w:pPr>
            <w:r>
              <w:rPr>
                <w:rFonts w:cs="Times New Roman"/>
                <w:color w:val="000000"/>
                <w:kern w:val="0"/>
              </w:rPr>
              <w:t>依托</w:t>
            </w:r>
          </w:p>
        </w:tc>
      </w:tr>
      <w:tr w14:paraId="65C4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vMerge w:val="continue"/>
            <w:vAlign w:val="center"/>
          </w:tcPr>
          <w:p w14:paraId="24743628">
            <w:pPr>
              <w:spacing w:line="240" w:lineRule="atLeast"/>
              <w:jc w:val="center"/>
              <w:rPr>
                <w:color w:val="000000"/>
                <w:sz w:val="21"/>
              </w:rPr>
            </w:pPr>
          </w:p>
        </w:tc>
        <w:tc>
          <w:tcPr>
            <w:tcW w:w="917" w:type="pct"/>
            <w:vAlign w:val="center"/>
          </w:tcPr>
          <w:p w14:paraId="166AD017">
            <w:pPr>
              <w:spacing w:line="240" w:lineRule="atLeast"/>
              <w:jc w:val="center"/>
              <w:rPr>
                <w:color w:val="000000"/>
                <w:kern w:val="0"/>
                <w:sz w:val="21"/>
              </w:rPr>
            </w:pPr>
            <w:r>
              <w:rPr>
                <w:bCs/>
                <w:snapToGrid w:val="0"/>
                <w:color w:val="000000"/>
                <w:sz w:val="21"/>
              </w:rPr>
              <w:t>排水</w:t>
            </w:r>
          </w:p>
        </w:tc>
        <w:tc>
          <w:tcPr>
            <w:tcW w:w="3007" w:type="pct"/>
            <w:vAlign w:val="center"/>
          </w:tcPr>
          <w:p w14:paraId="08A32C88">
            <w:pPr>
              <w:spacing w:line="240" w:lineRule="atLeast"/>
              <w:rPr>
                <w:color w:val="000000"/>
                <w:sz w:val="21"/>
              </w:rPr>
            </w:pPr>
            <w:r>
              <w:rPr>
                <w:color w:val="000000"/>
                <w:sz w:val="21"/>
              </w:rPr>
              <w:t>本项目排水采用雨污分流制。生产废水依托LNG工厂生产废水池处理后进入生产废水提升池、生活污水依托LNG工厂现有化粪池处理后进入生活污水提升池，分别经泵提升后在界区内汇合后统一输送至园区潘家坝污水处理厂处理；冷却循环水排水依托LNG工厂循环水系统的排水管道，进入雨水管网。</w:t>
            </w:r>
          </w:p>
        </w:tc>
        <w:tc>
          <w:tcPr>
            <w:tcW w:w="692" w:type="pct"/>
            <w:vAlign w:val="center"/>
          </w:tcPr>
          <w:p w14:paraId="0F56F6DF">
            <w:pPr>
              <w:pStyle w:val="2178"/>
              <w:adjustRightInd w:val="0"/>
              <w:spacing w:line="240" w:lineRule="atLeast"/>
              <w:rPr>
                <w:rFonts w:cs="Times New Roman"/>
                <w:color w:val="000000"/>
                <w:kern w:val="0"/>
              </w:rPr>
            </w:pPr>
            <w:r>
              <w:rPr>
                <w:rFonts w:cs="Times New Roman"/>
                <w:color w:val="000000"/>
                <w:kern w:val="0"/>
              </w:rPr>
              <w:t>依托并新建部分排水管网</w:t>
            </w:r>
          </w:p>
        </w:tc>
      </w:tr>
      <w:tr w14:paraId="0662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vMerge w:val="continue"/>
            <w:vAlign w:val="center"/>
          </w:tcPr>
          <w:p w14:paraId="03C995DD">
            <w:pPr>
              <w:spacing w:line="240" w:lineRule="atLeast"/>
              <w:jc w:val="center"/>
              <w:rPr>
                <w:color w:val="000000"/>
                <w:sz w:val="21"/>
              </w:rPr>
            </w:pPr>
          </w:p>
        </w:tc>
        <w:tc>
          <w:tcPr>
            <w:tcW w:w="917" w:type="pct"/>
            <w:vAlign w:val="center"/>
          </w:tcPr>
          <w:p w14:paraId="1F69B821">
            <w:pPr>
              <w:spacing w:line="240" w:lineRule="atLeast"/>
              <w:jc w:val="center"/>
              <w:rPr>
                <w:bCs/>
                <w:snapToGrid w:val="0"/>
                <w:color w:val="000000"/>
                <w:sz w:val="21"/>
              </w:rPr>
            </w:pPr>
            <w:r>
              <w:rPr>
                <w:bCs/>
                <w:snapToGrid w:val="0"/>
                <w:color w:val="000000"/>
                <w:sz w:val="21"/>
              </w:rPr>
              <w:t>供电</w:t>
            </w:r>
          </w:p>
        </w:tc>
        <w:tc>
          <w:tcPr>
            <w:tcW w:w="3007" w:type="pct"/>
            <w:vAlign w:val="center"/>
          </w:tcPr>
          <w:p w14:paraId="6BD3563D">
            <w:pPr>
              <w:spacing w:line="240" w:lineRule="atLeast"/>
              <w:rPr>
                <w:color w:val="000000"/>
                <w:sz w:val="21"/>
              </w:rPr>
            </w:pPr>
            <w:r>
              <w:rPr>
                <w:color w:val="000000"/>
                <w:sz w:val="21"/>
              </w:rPr>
              <w:t>本项目依托LNG工厂配电室35/10kV容量8000kVA变压器供电。</w:t>
            </w:r>
          </w:p>
        </w:tc>
        <w:tc>
          <w:tcPr>
            <w:tcW w:w="692" w:type="pct"/>
            <w:vAlign w:val="center"/>
          </w:tcPr>
          <w:p w14:paraId="1A8EB1B6">
            <w:pPr>
              <w:pStyle w:val="2178"/>
              <w:adjustRightInd w:val="0"/>
              <w:spacing w:line="240" w:lineRule="atLeast"/>
              <w:rPr>
                <w:rFonts w:cs="Times New Roman"/>
                <w:color w:val="000000"/>
                <w:kern w:val="0"/>
              </w:rPr>
            </w:pPr>
            <w:r>
              <w:rPr>
                <w:rFonts w:cs="Times New Roman"/>
                <w:color w:val="000000"/>
                <w:kern w:val="0"/>
              </w:rPr>
              <w:t>依托</w:t>
            </w:r>
          </w:p>
        </w:tc>
      </w:tr>
      <w:tr w14:paraId="729A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vMerge w:val="continue"/>
            <w:vAlign w:val="center"/>
          </w:tcPr>
          <w:p w14:paraId="2F068770">
            <w:pPr>
              <w:spacing w:line="240" w:lineRule="atLeast"/>
              <w:jc w:val="center"/>
              <w:rPr>
                <w:color w:val="000000"/>
                <w:sz w:val="21"/>
              </w:rPr>
            </w:pPr>
          </w:p>
        </w:tc>
        <w:tc>
          <w:tcPr>
            <w:tcW w:w="917" w:type="pct"/>
            <w:vAlign w:val="center"/>
          </w:tcPr>
          <w:p w14:paraId="3D0EC3BA">
            <w:pPr>
              <w:spacing w:line="240" w:lineRule="atLeast"/>
              <w:jc w:val="center"/>
              <w:rPr>
                <w:bCs/>
                <w:snapToGrid w:val="0"/>
                <w:color w:val="000000"/>
                <w:sz w:val="21"/>
              </w:rPr>
            </w:pPr>
            <w:r>
              <w:rPr>
                <w:bCs/>
                <w:snapToGrid w:val="0"/>
                <w:color w:val="000000"/>
                <w:sz w:val="21"/>
              </w:rPr>
              <w:t>冷却循环水系统</w:t>
            </w:r>
          </w:p>
        </w:tc>
        <w:tc>
          <w:tcPr>
            <w:tcW w:w="3007" w:type="pct"/>
            <w:vAlign w:val="center"/>
          </w:tcPr>
          <w:p w14:paraId="0D15A839">
            <w:pPr>
              <w:spacing w:line="240" w:lineRule="atLeast"/>
              <w:rPr>
                <w:color w:val="000000"/>
                <w:sz w:val="21"/>
              </w:rPr>
            </w:pPr>
            <w:r>
              <w:rPr>
                <w:color w:val="000000"/>
                <w:kern w:val="0"/>
                <w:sz w:val="21"/>
              </w:rPr>
              <w:t>冷却循环水依托LNG工厂循环冷却水系统提供，现有LNG工厂</w:t>
            </w:r>
            <w:r>
              <w:rPr>
                <w:color w:val="000000"/>
                <w:sz w:val="21"/>
              </w:rPr>
              <w:t>设置2台逆流组合式通风冷却塔，单塔能力为1500m</w:t>
            </w:r>
            <w:r>
              <w:rPr>
                <w:color w:val="000000"/>
                <w:sz w:val="21"/>
                <w:vertAlign w:val="superscript"/>
              </w:rPr>
              <w:t>3</w:t>
            </w:r>
            <w:r>
              <w:rPr>
                <w:color w:val="000000"/>
                <w:sz w:val="21"/>
              </w:rPr>
              <w:t>/h</w:t>
            </w:r>
            <w:r>
              <w:rPr>
                <w:color w:val="000000"/>
                <w:kern w:val="0"/>
                <w:sz w:val="21"/>
              </w:rPr>
              <w:t>，总能力为3000</w:t>
            </w:r>
            <w:r>
              <w:rPr>
                <w:color w:val="000000"/>
                <w:sz w:val="21"/>
              </w:rPr>
              <w:t>m</w:t>
            </w:r>
            <w:r>
              <w:rPr>
                <w:color w:val="000000"/>
                <w:sz w:val="21"/>
                <w:vertAlign w:val="superscript"/>
              </w:rPr>
              <w:t>3</w:t>
            </w:r>
            <w:r>
              <w:rPr>
                <w:color w:val="000000"/>
                <w:sz w:val="21"/>
              </w:rPr>
              <w:t>/h</w:t>
            </w:r>
            <w:r>
              <w:rPr>
                <w:color w:val="000000"/>
                <w:kern w:val="0"/>
                <w:sz w:val="21"/>
              </w:rPr>
              <w:t>。</w:t>
            </w:r>
          </w:p>
        </w:tc>
        <w:tc>
          <w:tcPr>
            <w:tcW w:w="692" w:type="pct"/>
            <w:vAlign w:val="center"/>
          </w:tcPr>
          <w:p w14:paraId="07CB9CF5">
            <w:pPr>
              <w:pStyle w:val="2178"/>
              <w:adjustRightInd w:val="0"/>
              <w:spacing w:line="240" w:lineRule="atLeast"/>
              <w:rPr>
                <w:rFonts w:cs="Times New Roman"/>
                <w:color w:val="000000"/>
                <w:kern w:val="0"/>
              </w:rPr>
            </w:pPr>
            <w:r>
              <w:rPr>
                <w:rFonts w:cs="Times New Roman"/>
                <w:color w:val="000000"/>
                <w:kern w:val="0"/>
              </w:rPr>
              <w:t>依托</w:t>
            </w:r>
          </w:p>
        </w:tc>
      </w:tr>
      <w:tr w14:paraId="7CF62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82" w:type="pct"/>
            <w:vMerge w:val="continue"/>
            <w:vAlign w:val="center"/>
          </w:tcPr>
          <w:p w14:paraId="399DF2BF">
            <w:pPr>
              <w:spacing w:line="240" w:lineRule="atLeast"/>
              <w:jc w:val="center"/>
              <w:rPr>
                <w:color w:val="000000"/>
                <w:sz w:val="21"/>
              </w:rPr>
            </w:pPr>
          </w:p>
        </w:tc>
        <w:tc>
          <w:tcPr>
            <w:tcW w:w="917" w:type="pct"/>
            <w:vAlign w:val="center"/>
          </w:tcPr>
          <w:p w14:paraId="7AAFB800">
            <w:pPr>
              <w:spacing w:line="240" w:lineRule="atLeast"/>
              <w:jc w:val="center"/>
              <w:rPr>
                <w:bCs/>
                <w:snapToGrid w:val="0"/>
                <w:color w:val="000000"/>
                <w:sz w:val="21"/>
              </w:rPr>
            </w:pPr>
            <w:r>
              <w:rPr>
                <w:bCs/>
                <w:snapToGrid w:val="0"/>
                <w:color w:val="000000"/>
                <w:sz w:val="21"/>
              </w:rPr>
              <w:t>仪表空气</w:t>
            </w:r>
          </w:p>
        </w:tc>
        <w:tc>
          <w:tcPr>
            <w:tcW w:w="3007" w:type="pct"/>
            <w:vAlign w:val="center"/>
          </w:tcPr>
          <w:p w14:paraId="157BEC04">
            <w:pPr>
              <w:spacing w:line="240" w:lineRule="atLeast"/>
              <w:rPr>
                <w:color w:val="000000"/>
                <w:sz w:val="21"/>
              </w:rPr>
            </w:pPr>
            <w:r>
              <w:rPr>
                <w:color w:val="000000"/>
                <w:sz w:val="21"/>
              </w:rPr>
              <w:t>仪表空气依托天然气LNG工厂空压制氮站，仪表用气通过管道输送至本装置。</w:t>
            </w:r>
          </w:p>
        </w:tc>
        <w:tc>
          <w:tcPr>
            <w:tcW w:w="692" w:type="pct"/>
            <w:vAlign w:val="center"/>
          </w:tcPr>
          <w:p w14:paraId="5DC7CED1">
            <w:pPr>
              <w:pStyle w:val="2178"/>
              <w:adjustRightInd w:val="0"/>
              <w:spacing w:line="240" w:lineRule="atLeast"/>
              <w:rPr>
                <w:rFonts w:cs="Times New Roman"/>
                <w:color w:val="000000"/>
                <w:kern w:val="0"/>
              </w:rPr>
            </w:pPr>
            <w:r>
              <w:rPr>
                <w:rFonts w:cs="Times New Roman"/>
                <w:color w:val="000000"/>
                <w:kern w:val="0"/>
              </w:rPr>
              <w:t>依托</w:t>
            </w:r>
          </w:p>
        </w:tc>
      </w:tr>
      <w:tr w14:paraId="4883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vMerge w:val="continue"/>
            <w:vAlign w:val="center"/>
          </w:tcPr>
          <w:p w14:paraId="3DEE92CD">
            <w:pPr>
              <w:spacing w:line="240" w:lineRule="atLeast"/>
              <w:jc w:val="center"/>
              <w:rPr>
                <w:color w:val="000000"/>
                <w:sz w:val="21"/>
              </w:rPr>
            </w:pPr>
          </w:p>
        </w:tc>
        <w:tc>
          <w:tcPr>
            <w:tcW w:w="917" w:type="pct"/>
            <w:vAlign w:val="center"/>
          </w:tcPr>
          <w:p w14:paraId="4C735DD4">
            <w:pPr>
              <w:spacing w:line="240" w:lineRule="atLeast"/>
              <w:jc w:val="center"/>
              <w:rPr>
                <w:bCs/>
                <w:snapToGrid w:val="0"/>
                <w:color w:val="000000"/>
                <w:sz w:val="21"/>
              </w:rPr>
            </w:pPr>
            <w:r>
              <w:rPr>
                <w:bCs/>
                <w:snapToGrid w:val="0"/>
                <w:color w:val="000000"/>
                <w:sz w:val="21"/>
              </w:rPr>
              <w:t>消防</w:t>
            </w:r>
          </w:p>
        </w:tc>
        <w:tc>
          <w:tcPr>
            <w:tcW w:w="3007" w:type="pct"/>
            <w:vAlign w:val="center"/>
          </w:tcPr>
          <w:p w14:paraId="3D9AF7F3">
            <w:pPr>
              <w:spacing w:line="240" w:lineRule="atLeast"/>
              <w:rPr>
                <w:color w:val="000000"/>
                <w:sz w:val="21"/>
              </w:rPr>
            </w:pPr>
            <w:r>
              <w:rPr>
                <w:color w:val="000000"/>
                <w:sz w:val="21"/>
              </w:rPr>
              <w:t>依托LNG工厂DN150消防水管网、室外消火栓、水炮、高倍数泡沫灭火系统、干粉灭火系统、火灾自动报警系统、可燃检测报警系统、稳高压消防给水系统，LNG工厂设置防水储罐2座，单罐容积为3000m</w:t>
            </w:r>
            <w:r>
              <w:rPr>
                <w:color w:val="000000"/>
                <w:sz w:val="21"/>
                <w:vertAlign w:val="superscript"/>
              </w:rPr>
              <w:t>3</w:t>
            </w:r>
            <w:r>
              <w:rPr>
                <w:color w:val="000000"/>
                <w:sz w:val="21"/>
              </w:rPr>
              <w:t>，消防水罐总容积为6000m</w:t>
            </w:r>
            <w:r>
              <w:rPr>
                <w:color w:val="000000"/>
                <w:sz w:val="21"/>
                <w:vertAlign w:val="superscript"/>
              </w:rPr>
              <w:t>3</w:t>
            </w:r>
            <w:r>
              <w:rPr>
                <w:color w:val="000000"/>
                <w:sz w:val="21"/>
              </w:rPr>
              <w:t>，同时设有消防水泵和稳压泵，日常保持稳高压消防管网压力0.7~1.2MPa。本项目只增设手提式干粉灭火器和推车式干粉灭火器。</w:t>
            </w:r>
          </w:p>
        </w:tc>
        <w:tc>
          <w:tcPr>
            <w:tcW w:w="692" w:type="pct"/>
            <w:vAlign w:val="center"/>
          </w:tcPr>
          <w:p w14:paraId="2EA76C43">
            <w:pPr>
              <w:pStyle w:val="2178"/>
              <w:adjustRightInd w:val="0"/>
              <w:spacing w:line="240" w:lineRule="atLeast"/>
              <w:rPr>
                <w:rFonts w:cs="Times New Roman"/>
                <w:color w:val="000000"/>
                <w:kern w:val="0"/>
              </w:rPr>
            </w:pPr>
            <w:r>
              <w:rPr>
                <w:rFonts w:cs="Times New Roman"/>
                <w:color w:val="000000"/>
                <w:kern w:val="0"/>
              </w:rPr>
              <w:t>依托</w:t>
            </w:r>
          </w:p>
        </w:tc>
      </w:tr>
      <w:tr w14:paraId="74FF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82" w:type="pct"/>
            <w:vMerge w:val="restart"/>
            <w:vAlign w:val="center"/>
          </w:tcPr>
          <w:p w14:paraId="1BF17725">
            <w:pPr>
              <w:spacing w:line="240" w:lineRule="atLeast"/>
              <w:jc w:val="center"/>
              <w:rPr>
                <w:color w:val="000000"/>
                <w:sz w:val="21"/>
              </w:rPr>
            </w:pPr>
            <w:r>
              <w:rPr>
                <w:color w:val="000000"/>
                <w:sz w:val="21"/>
              </w:rPr>
              <w:t>环保工程</w:t>
            </w:r>
          </w:p>
        </w:tc>
        <w:tc>
          <w:tcPr>
            <w:tcW w:w="917" w:type="pct"/>
            <w:vAlign w:val="center"/>
          </w:tcPr>
          <w:p w14:paraId="4997111B">
            <w:pPr>
              <w:pStyle w:val="12"/>
              <w:spacing w:line="240" w:lineRule="atLeast"/>
              <w:textAlignment w:val="baseline"/>
              <w:rPr>
                <w:color w:val="000000"/>
                <w:sz w:val="21"/>
                <w:szCs w:val="21"/>
              </w:rPr>
            </w:pPr>
            <w:r>
              <w:rPr>
                <w:color w:val="000000"/>
                <w:sz w:val="21"/>
                <w:szCs w:val="21"/>
              </w:rPr>
              <w:t>废气</w:t>
            </w:r>
          </w:p>
        </w:tc>
        <w:tc>
          <w:tcPr>
            <w:tcW w:w="3007" w:type="pct"/>
            <w:vAlign w:val="center"/>
          </w:tcPr>
          <w:p w14:paraId="66D87528">
            <w:pPr>
              <w:numPr>
                <w:ilvl w:val="0"/>
                <w:numId w:val="3"/>
              </w:numPr>
              <w:spacing w:line="240" w:lineRule="atLeast"/>
              <w:rPr>
                <w:color w:val="000000"/>
                <w:sz w:val="21"/>
              </w:rPr>
            </w:pPr>
            <w:r>
              <w:rPr>
                <w:color w:val="000000"/>
                <w:sz w:val="21"/>
              </w:rPr>
              <w:t>吸附脱氢再生废气主要成分为氮气及少量氧气可直接放空；</w:t>
            </w:r>
          </w:p>
          <w:p w14:paraId="087E82D5">
            <w:pPr>
              <w:numPr>
                <w:ilvl w:val="0"/>
                <w:numId w:val="3"/>
              </w:numPr>
              <w:spacing w:line="240" w:lineRule="atLeast"/>
              <w:rPr>
                <w:color w:val="000000"/>
                <w:sz w:val="21"/>
              </w:rPr>
            </w:pPr>
            <w:r>
              <w:rPr>
                <w:color w:val="000000"/>
                <w:sz w:val="21"/>
              </w:rPr>
              <w:t>压缩脱碳干燥吹脱的水和二氧化碳与压缩脱碳干燥再生尾气去火炬。</w:t>
            </w:r>
          </w:p>
          <w:p w14:paraId="6C96AD1C">
            <w:pPr>
              <w:numPr>
                <w:ilvl w:val="0"/>
                <w:numId w:val="3"/>
              </w:numPr>
              <w:spacing w:line="240" w:lineRule="atLeast"/>
              <w:rPr>
                <w:color w:val="000000"/>
                <w:sz w:val="21"/>
              </w:rPr>
            </w:pPr>
            <w:r>
              <w:rPr>
                <w:color w:val="000000"/>
                <w:sz w:val="21"/>
              </w:rPr>
              <w:t>部分深冷分离尾气进火炬，部分用作压缩脱碳再生气。</w:t>
            </w:r>
          </w:p>
          <w:p w14:paraId="7599D6E7">
            <w:pPr>
              <w:numPr>
                <w:ilvl w:val="0"/>
                <w:numId w:val="3"/>
              </w:numPr>
              <w:spacing w:line="240" w:lineRule="atLeast"/>
              <w:rPr>
                <w:color w:val="000000"/>
                <w:sz w:val="21"/>
              </w:rPr>
            </w:pPr>
            <w:r>
              <w:rPr>
                <w:color w:val="000000"/>
                <w:sz w:val="21"/>
              </w:rPr>
              <w:t>脱碳干燥再生尾气主要成分为氮气及少量吹脱的水和二氧化碳可直接放空。</w:t>
            </w:r>
          </w:p>
        </w:tc>
        <w:tc>
          <w:tcPr>
            <w:tcW w:w="692" w:type="pct"/>
            <w:vAlign w:val="center"/>
          </w:tcPr>
          <w:p w14:paraId="6B6B5FCE">
            <w:pPr>
              <w:pStyle w:val="12"/>
              <w:spacing w:line="240" w:lineRule="atLeast"/>
              <w:textAlignment w:val="baseline"/>
              <w:rPr>
                <w:color w:val="000000"/>
                <w:sz w:val="21"/>
                <w:szCs w:val="21"/>
              </w:rPr>
            </w:pPr>
            <w:r>
              <w:rPr>
                <w:color w:val="000000"/>
                <w:sz w:val="21"/>
                <w:szCs w:val="21"/>
              </w:rPr>
              <w:t>依托火炬燃烧系统</w:t>
            </w:r>
          </w:p>
        </w:tc>
      </w:tr>
      <w:tr w14:paraId="4CC1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82" w:type="pct"/>
            <w:vMerge w:val="continue"/>
            <w:vAlign w:val="center"/>
          </w:tcPr>
          <w:p w14:paraId="3135315F">
            <w:pPr>
              <w:spacing w:line="240" w:lineRule="atLeast"/>
              <w:jc w:val="center"/>
              <w:rPr>
                <w:color w:val="000000"/>
                <w:sz w:val="21"/>
              </w:rPr>
            </w:pPr>
          </w:p>
        </w:tc>
        <w:tc>
          <w:tcPr>
            <w:tcW w:w="917" w:type="pct"/>
            <w:vAlign w:val="center"/>
          </w:tcPr>
          <w:p w14:paraId="50E0E501">
            <w:pPr>
              <w:spacing w:line="240" w:lineRule="atLeast"/>
              <w:jc w:val="center"/>
              <w:rPr>
                <w:color w:val="000000"/>
                <w:sz w:val="21"/>
              </w:rPr>
            </w:pPr>
            <w:r>
              <w:rPr>
                <w:color w:val="000000"/>
                <w:sz w:val="21"/>
              </w:rPr>
              <w:t>废水</w:t>
            </w:r>
          </w:p>
        </w:tc>
        <w:tc>
          <w:tcPr>
            <w:tcW w:w="3007" w:type="pct"/>
            <w:vAlign w:val="center"/>
          </w:tcPr>
          <w:p w14:paraId="6AE6043C">
            <w:pPr>
              <w:spacing w:line="240" w:lineRule="atLeast"/>
              <w:rPr>
                <w:color w:val="000000"/>
                <w:sz w:val="21"/>
              </w:rPr>
            </w:pPr>
            <w:r>
              <w:rPr>
                <w:color w:val="000000"/>
                <w:sz w:val="21"/>
              </w:rPr>
              <w:t>生产废水主要来自工艺装置经重力由生产废水管道排入厂区现有生产废水池（设计处理规模2.2m</w:t>
            </w:r>
            <w:r>
              <w:rPr>
                <w:color w:val="000000"/>
                <w:sz w:val="21"/>
                <w:vertAlign w:val="superscript"/>
              </w:rPr>
              <w:t>3</w:t>
            </w:r>
            <w:r>
              <w:rPr>
                <w:color w:val="000000"/>
                <w:sz w:val="21"/>
              </w:rPr>
              <w:t>/h），生活污水排入现有1座化粪池(设计处理规模12m</w:t>
            </w:r>
            <w:r>
              <w:rPr>
                <w:color w:val="000000"/>
                <w:sz w:val="21"/>
                <w:vertAlign w:val="superscript"/>
              </w:rPr>
              <w:t>3</w:t>
            </w:r>
            <w:r>
              <w:rPr>
                <w:color w:val="000000"/>
                <w:sz w:val="21"/>
              </w:rPr>
              <w:t>/d)处理后进入生活污水提升池。生产废水与生活污水分别经泵提升后在界区内汇合后统一输送至园区潘家坝污水处理厂处理。</w:t>
            </w:r>
          </w:p>
        </w:tc>
        <w:tc>
          <w:tcPr>
            <w:tcW w:w="692" w:type="pct"/>
            <w:vAlign w:val="center"/>
          </w:tcPr>
          <w:p w14:paraId="43233C2D">
            <w:pPr>
              <w:spacing w:line="240" w:lineRule="atLeast"/>
              <w:jc w:val="center"/>
              <w:rPr>
                <w:color w:val="000000"/>
                <w:sz w:val="21"/>
              </w:rPr>
            </w:pPr>
            <w:r>
              <w:rPr>
                <w:color w:val="000000"/>
                <w:sz w:val="21"/>
              </w:rPr>
              <w:t>依托</w:t>
            </w:r>
          </w:p>
        </w:tc>
      </w:tr>
      <w:tr w14:paraId="5D8F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vMerge w:val="continue"/>
            <w:vAlign w:val="center"/>
          </w:tcPr>
          <w:p w14:paraId="32F0B0B2">
            <w:pPr>
              <w:spacing w:line="240" w:lineRule="atLeast"/>
              <w:jc w:val="center"/>
              <w:rPr>
                <w:color w:val="000000"/>
                <w:sz w:val="21"/>
              </w:rPr>
            </w:pPr>
          </w:p>
        </w:tc>
        <w:tc>
          <w:tcPr>
            <w:tcW w:w="917" w:type="pct"/>
            <w:vAlign w:val="center"/>
          </w:tcPr>
          <w:p w14:paraId="272609D7">
            <w:pPr>
              <w:spacing w:line="240" w:lineRule="atLeast"/>
              <w:jc w:val="center"/>
              <w:rPr>
                <w:color w:val="000000"/>
                <w:sz w:val="21"/>
              </w:rPr>
            </w:pPr>
            <w:r>
              <w:rPr>
                <w:color w:val="000000"/>
                <w:sz w:val="21"/>
              </w:rPr>
              <w:t>噪声</w:t>
            </w:r>
          </w:p>
        </w:tc>
        <w:tc>
          <w:tcPr>
            <w:tcW w:w="3007" w:type="pct"/>
            <w:vAlign w:val="center"/>
          </w:tcPr>
          <w:p w14:paraId="195495A3">
            <w:pPr>
              <w:spacing w:line="240" w:lineRule="atLeast"/>
              <w:rPr>
                <w:color w:val="000000"/>
                <w:sz w:val="21"/>
              </w:rPr>
            </w:pPr>
            <w:r>
              <w:rPr>
                <w:color w:val="000000"/>
                <w:sz w:val="21"/>
              </w:rPr>
              <w:t>选用低噪声设备，高噪声设备采取减振、隔声、消音等措施。</w:t>
            </w:r>
          </w:p>
        </w:tc>
        <w:tc>
          <w:tcPr>
            <w:tcW w:w="692" w:type="pct"/>
            <w:vAlign w:val="center"/>
          </w:tcPr>
          <w:p w14:paraId="2646D098">
            <w:pPr>
              <w:spacing w:line="240" w:lineRule="atLeast"/>
              <w:jc w:val="center"/>
              <w:rPr>
                <w:color w:val="000000"/>
                <w:sz w:val="21"/>
              </w:rPr>
            </w:pPr>
            <w:r>
              <w:rPr>
                <w:color w:val="000000"/>
                <w:sz w:val="21"/>
              </w:rPr>
              <w:t>新建</w:t>
            </w:r>
          </w:p>
        </w:tc>
      </w:tr>
      <w:tr w14:paraId="37D3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vMerge w:val="continue"/>
            <w:vAlign w:val="center"/>
          </w:tcPr>
          <w:p w14:paraId="6E673F9B">
            <w:pPr>
              <w:spacing w:line="240" w:lineRule="atLeast"/>
              <w:jc w:val="center"/>
              <w:rPr>
                <w:color w:val="000000"/>
                <w:sz w:val="21"/>
              </w:rPr>
            </w:pPr>
          </w:p>
        </w:tc>
        <w:tc>
          <w:tcPr>
            <w:tcW w:w="917" w:type="pct"/>
            <w:vAlign w:val="center"/>
          </w:tcPr>
          <w:p w14:paraId="2FFF0BC0">
            <w:pPr>
              <w:pStyle w:val="12"/>
              <w:spacing w:line="240" w:lineRule="atLeast"/>
              <w:textAlignment w:val="baseline"/>
              <w:rPr>
                <w:color w:val="000000"/>
                <w:sz w:val="21"/>
                <w:szCs w:val="21"/>
              </w:rPr>
            </w:pPr>
            <w:r>
              <w:rPr>
                <w:color w:val="000000"/>
                <w:sz w:val="21"/>
                <w:szCs w:val="21"/>
              </w:rPr>
              <w:t>固废</w:t>
            </w:r>
          </w:p>
        </w:tc>
        <w:tc>
          <w:tcPr>
            <w:tcW w:w="3007" w:type="pct"/>
            <w:vAlign w:val="center"/>
          </w:tcPr>
          <w:p w14:paraId="4ACD5436">
            <w:pPr>
              <w:pStyle w:val="12"/>
              <w:spacing w:line="240" w:lineRule="atLeast"/>
              <w:jc w:val="both"/>
              <w:textAlignment w:val="baseline"/>
              <w:rPr>
                <w:bCs/>
                <w:snapToGrid w:val="0"/>
                <w:color w:val="000000"/>
                <w:sz w:val="21"/>
                <w:szCs w:val="21"/>
              </w:rPr>
            </w:pPr>
            <w:r>
              <w:rPr>
                <w:bCs/>
                <w:snapToGrid w:val="0"/>
                <w:color w:val="000000"/>
                <w:sz w:val="21"/>
                <w:szCs w:val="21"/>
              </w:rPr>
              <w:t>1、</w:t>
            </w:r>
            <w:r>
              <w:rPr>
                <w:color w:val="000000"/>
                <w:sz w:val="21"/>
                <w:szCs w:val="21"/>
              </w:rPr>
              <w:t>危险废物主要为催化燃烧脱氢废催化剂</w:t>
            </w:r>
            <w:r>
              <w:rPr>
                <w:bCs/>
                <w:snapToGrid w:val="0"/>
                <w:color w:val="000000"/>
                <w:sz w:val="21"/>
                <w:szCs w:val="21"/>
              </w:rPr>
              <w:t>，</w:t>
            </w:r>
            <w:r>
              <w:rPr>
                <w:color w:val="000000"/>
                <w:sz w:val="21"/>
                <w:szCs w:val="21"/>
              </w:rPr>
              <w:t>密闭罐暂存LNG工厂现有危废暂存间（53.76m</w:t>
            </w:r>
            <w:r>
              <w:rPr>
                <w:color w:val="000000"/>
                <w:sz w:val="21"/>
                <w:szCs w:val="21"/>
                <w:vertAlign w:val="superscript"/>
              </w:rPr>
              <w:t>2</w:t>
            </w:r>
            <w:r>
              <w:rPr>
                <w:color w:val="000000"/>
                <w:sz w:val="21"/>
                <w:szCs w:val="21"/>
              </w:rPr>
              <w:t>）</w:t>
            </w:r>
            <w:r>
              <w:rPr>
                <w:bCs/>
                <w:snapToGrid w:val="0"/>
                <w:color w:val="000000"/>
                <w:sz w:val="21"/>
                <w:szCs w:val="21"/>
              </w:rPr>
              <w:t>暂存后定期交有资质单位处置。</w:t>
            </w:r>
          </w:p>
          <w:p w14:paraId="38A9C6C2">
            <w:pPr>
              <w:pStyle w:val="12"/>
              <w:spacing w:line="240" w:lineRule="atLeast"/>
              <w:jc w:val="both"/>
              <w:textAlignment w:val="baseline"/>
              <w:rPr>
                <w:bCs/>
                <w:snapToGrid w:val="0"/>
                <w:color w:val="000000"/>
                <w:sz w:val="21"/>
                <w:szCs w:val="21"/>
              </w:rPr>
            </w:pPr>
            <w:r>
              <w:rPr>
                <w:bCs/>
                <w:snapToGrid w:val="0"/>
                <w:color w:val="000000"/>
                <w:sz w:val="21"/>
                <w:szCs w:val="21"/>
              </w:rPr>
              <w:t>2、</w:t>
            </w:r>
            <w:r>
              <w:rPr>
                <w:color w:val="000000"/>
                <w:sz w:val="21"/>
                <w:szCs w:val="21"/>
              </w:rPr>
              <w:t>一般工业固体废物包括吸附脱氢废催化剂、废干燥剂、低温精制废吸附剂、废滤膜、废瓷球</w:t>
            </w:r>
            <w:r>
              <w:rPr>
                <w:bCs/>
                <w:snapToGrid w:val="0"/>
                <w:color w:val="000000"/>
                <w:sz w:val="21"/>
                <w:szCs w:val="21"/>
              </w:rPr>
              <w:t>，定期更换后交回收单位。</w:t>
            </w:r>
            <w:r>
              <w:rPr>
                <w:color w:val="000000"/>
                <w:sz w:val="21"/>
                <w:szCs w:val="21"/>
              </w:rPr>
              <w:t>一般工业固体废物依托LNG工厂现有一般固废暂存间（9m</w:t>
            </w:r>
            <w:r>
              <w:rPr>
                <w:color w:val="000000"/>
                <w:sz w:val="21"/>
                <w:szCs w:val="21"/>
                <w:vertAlign w:val="superscript"/>
              </w:rPr>
              <w:t>2</w:t>
            </w:r>
            <w:r>
              <w:rPr>
                <w:color w:val="000000"/>
                <w:sz w:val="21"/>
                <w:szCs w:val="21"/>
              </w:rPr>
              <w:t>）暂存。</w:t>
            </w:r>
          </w:p>
          <w:p w14:paraId="12B83CDA">
            <w:pPr>
              <w:pStyle w:val="12"/>
              <w:spacing w:line="240" w:lineRule="atLeast"/>
              <w:jc w:val="both"/>
              <w:textAlignment w:val="baseline"/>
              <w:rPr>
                <w:color w:val="000000"/>
                <w:sz w:val="21"/>
                <w:szCs w:val="21"/>
              </w:rPr>
            </w:pPr>
            <w:r>
              <w:rPr>
                <w:bCs/>
                <w:snapToGrid w:val="0"/>
                <w:color w:val="000000"/>
                <w:sz w:val="21"/>
                <w:szCs w:val="21"/>
              </w:rPr>
              <w:t>3、生活垃圾统一收集后交由环卫部门处理。</w:t>
            </w:r>
          </w:p>
        </w:tc>
        <w:tc>
          <w:tcPr>
            <w:tcW w:w="692" w:type="pct"/>
            <w:vAlign w:val="center"/>
          </w:tcPr>
          <w:p w14:paraId="497ECD9F">
            <w:pPr>
              <w:pStyle w:val="12"/>
              <w:spacing w:line="240" w:lineRule="atLeast"/>
              <w:textAlignment w:val="baseline"/>
              <w:rPr>
                <w:color w:val="000000"/>
                <w:sz w:val="21"/>
                <w:szCs w:val="21"/>
              </w:rPr>
            </w:pPr>
            <w:r>
              <w:rPr>
                <w:color w:val="000000"/>
                <w:sz w:val="21"/>
                <w:szCs w:val="21"/>
              </w:rPr>
              <w:t>依托</w:t>
            </w:r>
          </w:p>
        </w:tc>
      </w:tr>
      <w:tr w14:paraId="5DAD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vMerge w:val="continue"/>
            <w:vAlign w:val="center"/>
          </w:tcPr>
          <w:p w14:paraId="5CAD9C36">
            <w:pPr>
              <w:spacing w:line="240" w:lineRule="atLeast"/>
              <w:jc w:val="center"/>
              <w:rPr>
                <w:color w:val="000000"/>
                <w:sz w:val="21"/>
              </w:rPr>
            </w:pPr>
          </w:p>
        </w:tc>
        <w:tc>
          <w:tcPr>
            <w:tcW w:w="917" w:type="pct"/>
            <w:vAlign w:val="center"/>
          </w:tcPr>
          <w:p w14:paraId="1EA3F11B">
            <w:pPr>
              <w:pStyle w:val="12"/>
              <w:spacing w:line="240" w:lineRule="atLeast"/>
              <w:textAlignment w:val="baseline"/>
              <w:rPr>
                <w:color w:val="000000"/>
                <w:sz w:val="21"/>
                <w:szCs w:val="21"/>
              </w:rPr>
            </w:pPr>
            <w:r>
              <w:rPr>
                <w:color w:val="000000"/>
                <w:sz w:val="21"/>
                <w:szCs w:val="21"/>
              </w:rPr>
              <w:t>风险防范</w:t>
            </w:r>
          </w:p>
        </w:tc>
        <w:tc>
          <w:tcPr>
            <w:tcW w:w="3007" w:type="pct"/>
            <w:vAlign w:val="center"/>
          </w:tcPr>
          <w:p w14:paraId="357C3C11">
            <w:pPr>
              <w:spacing w:line="240" w:lineRule="atLeast"/>
              <w:rPr>
                <w:color w:val="000000"/>
                <w:sz w:val="21"/>
              </w:rPr>
            </w:pPr>
            <w:r>
              <w:rPr>
                <w:color w:val="000000"/>
                <w:sz w:val="21"/>
              </w:rPr>
              <w:t>项目事故水池依托LNG工厂现有事故水池，装车及储存单元周边设置防渗漏收集管沟。提氦装置区设置气体泄漏探测器等。</w:t>
            </w:r>
          </w:p>
        </w:tc>
        <w:tc>
          <w:tcPr>
            <w:tcW w:w="692" w:type="pct"/>
            <w:vAlign w:val="center"/>
          </w:tcPr>
          <w:p w14:paraId="440886DB">
            <w:pPr>
              <w:pStyle w:val="12"/>
              <w:spacing w:line="240" w:lineRule="atLeast"/>
              <w:textAlignment w:val="baseline"/>
              <w:rPr>
                <w:color w:val="000000"/>
                <w:sz w:val="21"/>
                <w:szCs w:val="21"/>
              </w:rPr>
            </w:pPr>
            <w:r>
              <w:rPr>
                <w:color w:val="000000"/>
                <w:sz w:val="21"/>
                <w:szCs w:val="21"/>
              </w:rPr>
              <w:t>依托事故池</w:t>
            </w:r>
          </w:p>
        </w:tc>
      </w:tr>
    </w:tbl>
    <w:p w14:paraId="11943E90">
      <w:pPr>
        <w:pStyle w:val="785"/>
        <w:outlineLvl w:val="2"/>
        <w:rPr>
          <w:color w:val="000000"/>
          <w:szCs w:val="24"/>
          <w:lang w:val="en-US"/>
        </w:rPr>
      </w:pPr>
      <w:r>
        <w:rPr>
          <w:color w:val="000000"/>
          <w:szCs w:val="24"/>
          <w:lang w:val="en-US"/>
        </w:rPr>
        <w:t>3.1.4</w:t>
      </w:r>
      <w:r>
        <w:rPr>
          <w:color w:val="000000"/>
          <w:szCs w:val="24"/>
        </w:rPr>
        <w:t>项目依托</w:t>
      </w:r>
      <w:r>
        <w:rPr>
          <w:color w:val="000000"/>
          <w:szCs w:val="24"/>
          <w:lang w:val="en-US"/>
        </w:rPr>
        <w:t>工程及可行性分析</w:t>
      </w:r>
    </w:p>
    <w:p w14:paraId="4CBA42CC">
      <w:pPr>
        <w:ind w:firstLine="480"/>
        <w:jc w:val="center"/>
        <w:rPr>
          <w:color w:val="000000"/>
          <w:sz w:val="21"/>
        </w:rPr>
      </w:pPr>
      <w:r>
        <w:rPr>
          <w:color w:val="000000"/>
          <w:szCs w:val="24"/>
        </w:rPr>
        <w:t>本项目主要利用现有LNG工厂现有空地新建提氦装置区、装车及储存单元等，公用及环保工程均依托LNG工厂现有条件，主要依托的现有工程内容见表3.1.4-1。</w:t>
      </w:r>
      <w:r>
        <w:rPr>
          <w:color w:val="000000"/>
          <w:sz w:val="21"/>
        </w:rPr>
        <w:br w:type="page"/>
      </w:r>
      <w:r>
        <w:rPr>
          <w:color w:val="000000"/>
          <w:sz w:val="21"/>
        </w:rPr>
        <w:t>表3.1.4-1 依托工程及可行性分析一览表</w:t>
      </w:r>
    </w:p>
    <w:tbl>
      <w:tblPr>
        <w:tblStyle w:val="73"/>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0" w:type="dxa"/>
          <w:bottom w:w="0" w:type="dxa"/>
          <w:right w:w="0" w:type="dxa"/>
        </w:tblCellMar>
      </w:tblPr>
      <w:tblGrid>
        <w:gridCol w:w="778"/>
        <w:gridCol w:w="950"/>
        <w:gridCol w:w="730"/>
        <w:gridCol w:w="2099"/>
        <w:gridCol w:w="3588"/>
        <w:gridCol w:w="714"/>
      </w:tblGrid>
      <w:tr w14:paraId="7DBFA2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9" w:type="pct"/>
            <w:vAlign w:val="center"/>
          </w:tcPr>
          <w:p w14:paraId="3786848C">
            <w:pPr>
              <w:pStyle w:val="2180"/>
              <w:rPr>
                <w:color w:val="000000"/>
                <w:kern w:val="2"/>
                <w:szCs w:val="21"/>
              </w:rPr>
            </w:pPr>
            <w:r>
              <w:rPr>
                <w:color w:val="000000"/>
                <w:kern w:val="2"/>
                <w:szCs w:val="21"/>
              </w:rPr>
              <w:t>序号</w:t>
            </w:r>
          </w:p>
        </w:tc>
        <w:tc>
          <w:tcPr>
            <w:tcW w:w="536" w:type="pct"/>
            <w:vAlign w:val="center"/>
          </w:tcPr>
          <w:p w14:paraId="1E6DCA58">
            <w:pPr>
              <w:pStyle w:val="2180"/>
              <w:rPr>
                <w:color w:val="000000"/>
                <w:kern w:val="2"/>
                <w:szCs w:val="21"/>
              </w:rPr>
            </w:pPr>
            <w:r>
              <w:rPr>
                <w:color w:val="000000"/>
                <w:kern w:val="2"/>
                <w:szCs w:val="21"/>
              </w:rPr>
              <w:t>依托工程</w:t>
            </w:r>
          </w:p>
        </w:tc>
        <w:tc>
          <w:tcPr>
            <w:tcW w:w="1596" w:type="pct"/>
            <w:gridSpan w:val="2"/>
            <w:vAlign w:val="center"/>
          </w:tcPr>
          <w:p w14:paraId="7AD23F7D">
            <w:pPr>
              <w:pStyle w:val="2180"/>
              <w:rPr>
                <w:color w:val="000000"/>
                <w:kern w:val="2"/>
                <w:szCs w:val="21"/>
              </w:rPr>
            </w:pPr>
            <w:r>
              <w:rPr>
                <w:color w:val="000000"/>
                <w:kern w:val="2"/>
                <w:szCs w:val="21"/>
              </w:rPr>
              <w:t>本项目需求</w:t>
            </w:r>
          </w:p>
        </w:tc>
        <w:tc>
          <w:tcPr>
            <w:tcW w:w="2024" w:type="pct"/>
            <w:vAlign w:val="center"/>
          </w:tcPr>
          <w:p w14:paraId="0048D074">
            <w:pPr>
              <w:pStyle w:val="2180"/>
              <w:rPr>
                <w:color w:val="000000"/>
                <w:kern w:val="2"/>
                <w:szCs w:val="21"/>
              </w:rPr>
            </w:pPr>
            <w:r>
              <w:rPr>
                <w:color w:val="000000"/>
                <w:kern w:val="2"/>
                <w:szCs w:val="21"/>
              </w:rPr>
              <w:t>LNG工厂现有工程能力</w:t>
            </w:r>
          </w:p>
        </w:tc>
        <w:tc>
          <w:tcPr>
            <w:tcW w:w="403" w:type="pct"/>
            <w:vAlign w:val="center"/>
          </w:tcPr>
          <w:p w14:paraId="42871857">
            <w:pPr>
              <w:pStyle w:val="2180"/>
              <w:rPr>
                <w:color w:val="000000"/>
                <w:kern w:val="2"/>
                <w:szCs w:val="21"/>
              </w:rPr>
            </w:pPr>
            <w:r>
              <w:rPr>
                <w:color w:val="000000"/>
                <w:kern w:val="2"/>
                <w:szCs w:val="21"/>
              </w:rPr>
              <w:t>依托可行性</w:t>
            </w:r>
          </w:p>
        </w:tc>
      </w:tr>
      <w:tr w14:paraId="4DF669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439" w:type="pct"/>
            <w:vAlign w:val="center"/>
          </w:tcPr>
          <w:p w14:paraId="787BC5B6">
            <w:pPr>
              <w:pStyle w:val="2180"/>
              <w:rPr>
                <w:color w:val="000000"/>
                <w:kern w:val="2"/>
                <w:szCs w:val="21"/>
              </w:rPr>
            </w:pPr>
            <w:r>
              <w:rPr>
                <w:color w:val="000000"/>
                <w:kern w:val="2"/>
                <w:szCs w:val="21"/>
              </w:rPr>
              <w:t>1</w:t>
            </w:r>
          </w:p>
        </w:tc>
        <w:tc>
          <w:tcPr>
            <w:tcW w:w="536" w:type="pct"/>
            <w:vAlign w:val="center"/>
          </w:tcPr>
          <w:p w14:paraId="2ED5769A">
            <w:pPr>
              <w:pStyle w:val="2180"/>
              <w:rPr>
                <w:color w:val="000000"/>
                <w:kern w:val="2"/>
                <w:szCs w:val="21"/>
              </w:rPr>
            </w:pPr>
            <w:r>
              <w:rPr>
                <w:color w:val="000000"/>
                <w:kern w:val="2"/>
                <w:szCs w:val="21"/>
              </w:rPr>
              <w:t>冷却循环水系统</w:t>
            </w:r>
          </w:p>
        </w:tc>
        <w:tc>
          <w:tcPr>
            <w:tcW w:w="1596" w:type="pct"/>
            <w:gridSpan w:val="2"/>
            <w:vAlign w:val="center"/>
          </w:tcPr>
          <w:p w14:paraId="0498B35D">
            <w:pPr>
              <w:pStyle w:val="2180"/>
              <w:rPr>
                <w:color w:val="000000"/>
                <w:kern w:val="2"/>
                <w:szCs w:val="21"/>
              </w:rPr>
            </w:pPr>
            <w:r>
              <w:rPr>
                <w:color w:val="000000"/>
                <w:kern w:val="2"/>
                <w:szCs w:val="21"/>
              </w:rPr>
              <w:t>本装置区设计循环水量为12.89m</w:t>
            </w:r>
            <w:r>
              <w:rPr>
                <w:color w:val="000000"/>
                <w:kern w:val="2"/>
                <w:szCs w:val="21"/>
                <w:vertAlign w:val="superscript"/>
              </w:rPr>
              <w:t>3</w:t>
            </w:r>
            <w:r>
              <w:rPr>
                <w:color w:val="000000"/>
                <w:kern w:val="2"/>
                <w:szCs w:val="21"/>
              </w:rPr>
              <w:t>/h。</w:t>
            </w:r>
          </w:p>
        </w:tc>
        <w:tc>
          <w:tcPr>
            <w:tcW w:w="2024" w:type="pct"/>
            <w:vAlign w:val="center"/>
          </w:tcPr>
          <w:p w14:paraId="290F6161">
            <w:pPr>
              <w:pStyle w:val="2180"/>
              <w:jc w:val="left"/>
              <w:rPr>
                <w:color w:val="000000"/>
                <w:kern w:val="2"/>
                <w:szCs w:val="21"/>
              </w:rPr>
            </w:pPr>
            <w:r>
              <w:rPr>
                <w:color w:val="000000"/>
                <w:kern w:val="2"/>
                <w:szCs w:val="21"/>
              </w:rPr>
              <w:t>LNG工厂设计冷却循环水量为3000m</w:t>
            </w:r>
            <w:r>
              <w:rPr>
                <w:color w:val="000000"/>
                <w:kern w:val="2"/>
                <w:szCs w:val="21"/>
                <w:vertAlign w:val="superscript"/>
              </w:rPr>
              <w:t>3</w:t>
            </w:r>
            <w:r>
              <w:rPr>
                <w:color w:val="000000"/>
                <w:kern w:val="2"/>
                <w:szCs w:val="21"/>
              </w:rPr>
              <w:t>/h，</w:t>
            </w:r>
            <w:r>
              <w:rPr>
                <w:color w:val="000000"/>
                <w:szCs w:val="21"/>
              </w:rPr>
              <w:t>现有LNG工厂</w:t>
            </w:r>
            <w:r>
              <w:rPr>
                <w:color w:val="000000"/>
                <w:kern w:val="2"/>
                <w:szCs w:val="21"/>
              </w:rPr>
              <w:t>设置2台逆流组合式通风冷却塔，单塔能力为1500m</w:t>
            </w:r>
            <w:r>
              <w:rPr>
                <w:color w:val="000000"/>
                <w:kern w:val="2"/>
                <w:szCs w:val="21"/>
                <w:vertAlign w:val="superscript"/>
              </w:rPr>
              <w:t>3</w:t>
            </w:r>
            <w:r>
              <w:rPr>
                <w:color w:val="000000"/>
                <w:kern w:val="2"/>
                <w:szCs w:val="21"/>
              </w:rPr>
              <w:t>/h</w:t>
            </w:r>
            <w:r>
              <w:rPr>
                <w:color w:val="000000"/>
                <w:szCs w:val="21"/>
              </w:rPr>
              <w:t>，总能力为3000</w:t>
            </w:r>
            <w:r>
              <w:rPr>
                <w:color w:val="000000"/>
                <w:kern w:val="2"/>
                <w:szCs w:val="21"/>
              </w:rPr>
              <w:t>m</w:t>
            </w:r>
            <w:r>
              <w:rPr>
                <w:color w:val="000000"/>
                <w:kern w:val="2"/>
                <w:szCs w:val="21"/>
                <w:vertAlign w:val="superscript"/>
              </w:rPr>
              <w:t>3</w:t>
            </w:r>
            <w:r>
              <w:rPr>
                <w:color w:val="000000"/>
                <w:kern w:val="2"/>
                <w:szCs w:val="21"/>
              </w:rPr>
              <w:t>/h</w:t>
            </w:r>
            <w:r>
              <w:rPr>
                <w:color w:val="000000"/>
                <w:szCs w:val="21"/>
              </w:rPr>
              <w:t>，</w:t>
            </w:r>
            <w:r>
              <w:rPr>
                <w:color w:val="000000"/>
                <w:kern w:val="2"/>
                <w:szCs w:val="21"/>
              </w:rPr>
              <w:t>LNG工厂实际使用量2884m</w:t>
            </w:r>
            <w:r>
              <w:rPr>
                <w:color w:val="000000"/>
                <w:kern w:val="2"/>
                <w:szCs w:val="21"/>
                <w:vertAlign w:val="superscript"/>
              </w:rPr>
              <w:t>3</w:t>
            </w:r>
            <w:r>
              <w:rPr>
                <w:color w:val="000000"/>
                <w:kern w:val="2"/>
                <w:szCs w:val="21"/>
              </w:rPr>
              <w:t>/h，富余量116m</w:t>
            </w:r>
            <w:r>
              <w:rPr>
                <w:color w:val="000000"/>
                <w:kern w:val="2"/>
                <w:szCs w:val="21"/>
                <w:vertAlign w:val="superscript"/>
              </w:rPr>
              <w:t>3</w:t>
            </w:r>
            <w:r>
              <w:rPr>
                <w:color w:val="000000"/>
                <w:kern w:val="2"/>
                <w:szCs w:val="21"/>
              </w:rPr>
              <w:t>/h，可满足本项目循环冷却水用水要求。</w:t>
            </w:r>
          </w:p>
        </w:tc>
        <w:tc>
          <w:tcPr>
            <w:tcW w:w="403" w:type="pct"/>
            <w:vAlign w:val="center"/>
          </w:tcPr>
          <w:p w14:paraId="35C5D0BA">
            <w:pPr>
              <w:pStyle w:val="2180"/>
              <w:rPr>
                <w:color w:val="000000"/>
                <w:kern w:val="2"/>
                <w:szCs w:val="21"/>
              </w:rPr>
            </w:pPr>
            <w:r>
              <w:rPr>
                <w:color w:val="000000"/>
                <w:kern w:val="2"/>
                <w:szCs w:val="21"/>
              </w:rPr>
              <w:t>依托可行</w:t>
            </w:r>
          </w:p>
        </w:tc>
      </w:tr>
      <w:tr w14:paraId="2DB7E40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9" w:type="pct"/>
            <w:vAlign w:val="center"/>
          </w:tcPr>
          <w:p w14:paraId="6DA3C963">
            <w:pPr>
              <w:pStyle w:val="2180"/>
              <w:rPr>
                <w:color w:val="000000"/>
                <w:kern w:val="2"/>
                <w:szCs w:val="21"/>
              </w:rPr>
            </w:pPr>
            <w:r>
              <w:rPr>
                <w:color w:val="000000"/>
                <w:kern w:val="2"/>
                <w:szCs w:val="21"/>
              </w:rPr>
              <w:t>2</w:t>
            </w:r>
          </w:p>
        </w:tc>
        <w:tc>
          <w:tcPr>
            <w:tcW w:w="536" w:type="pct"/>
            <w:vAlign w:val="center"/>
          </w:tcPr>
          <w:p w14:paraId="762921D1">
            <w:pPr>
              <w:pStyle w:val="2180"/>
              <w:rPr>
                <w:color w:val="000000"/>
                <w:kern w:val="2"/>
                <w:szCs w:val="21"/>
              </w:rPr>
            </w:pPr>
            <w:r>
              <w:rPr>
                <w:color w:val="000000"/>
                <w:kern w:val="2"/>
                <w:szCs w:val="21"/>
              </w:rPr>
              <w:t>排水</w:t>
            </w:r>
          </w:p>
        </w:tc>
        <w:tc>
          <w:tcPr>
            <w:tcW w:w="1596" w:type="pct"/>
            <w:gridSpan w:val="2"/>
            <w:vAlign w:val="center"/>
          </w:tcPr>
          <w:p w14:paraId="4B3C7A90">
            <w:pPr>
              <w:widowControl w:val="0"/>
              <w:autoSpaceDE w:val="0"/>
              <w:autoSpaceDN w:val="0"/>
              <w:spacing w:line="240" w:lineRule="atLeast"/>
              <w:rPr>
                <w:color w:val="000000"/>
                <w:sz w:val="21"/>
              </w:rPr>
            </w:pPr>
            <w:r>
              <w:rPr>
                <w:color w:val="000000"/>
                <w:sz w:val="21"/>
              </w:rPr>
              <w:t>生产废水依托LNG工厂生产废水池处理后进入生产废水提升池、生活污水依托LNG工厂现有化粪池处理后进入生活污水提升池，分别经泵提升后在界区内汇合后统一输送至园区潘家坝污水处理厂处理</w:t>
            </w:r>
          </w:p>
        </w:tc>
        <w:tc>
          <w:tcPr>
            <w:tcW w:w="2024" w:type="pct"/>
            <w:vAlign w:val="center"/>
          </w:tcPr>
          <w:p w14:paraId="61BCF52C">
            <w:pPr>
              <w:pStyle w:val="2180"/>
              <w:jc w:val="left"/>
              <w:rPr>
                <w:color w:val="000000"/>
                <w:kern w:val="2"/>
                <w:szCs w:val="21"/>
              </w:rPr>
            </w:pPr>
            <w:r>
              <w:rPr>
                <w:color w:val="000000"/>
                <w:kern w:val="2"/>
                <w:szCs w:val="21"/>
              </w:rPr>
              <w:t>全厂生产废水、生活污水分别经管道、污水池收集后，经泵提升合并后，统一输送至园区潘家污水处理</w:t>
            </w:r>
            <w:r>
              <w:rPr>
                <w:rFonts w:hint="eastAsia"/>
                <w:color w:val="000000"/>
                <w:kern w:val="2"/>
                <w:szCs w:val="21"/>
              </w:rPr>
              <w:t>厂</w:t>
            </w:r>
            <w:r>
              <w:rPr>
                <w:color w:val="000000"/>
                <w:kern w:val="2"/>
                <w:szCs w:val="21"/>
              </w:rPr>
              <w:t>集中处理，现有各排水管网完好</w:t>
            </w:r>
          </w:p>
        </w:tc>
        <w:tc>
          <w:tcPr>
            <w:tcW w:w="403" w:type="pct"/>
            <w:vAlign w:val="center"/>
          </w:tcPr>
          <w:p w14:paraId="1EFE4791">
            <w:pPr>
              <w:pStyle w:val="2180"/>
              <w:rPr>
                <w:color w:val="000000"/>
                <w:kern w:val="2"/>
                <w:szCs w:val="21"/>
              </w:rPr>
            </w:pPr>
            <w:r>
              <w:rPr>
                <w:color w:val="000000"/>
                <w:kern w:val="2"/>
                <w:szCs w:val="21"/>
              </w:rPr>
              <w:t>依托可行</w:t>
            </w:r>
          </w:p>
        </w:tc>
      </w:tr>
      <w:tr w14:paraId="6E8664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9" w:type="pct"/>
            <w:vAlign w:val="center"/>
          </w:tcPr>
          <w:p w14:paraId="50BB4733">
            <w:pPr>
              <w:pStyle w:val="2180"/>
              <w:rPr>
                <w:color w:val="000000"/>
                <w:kern w:val="2"/>
                <w:szCs w:val="21"/>
              </w:rPr>
            </w:pPr>
            <w:r>
              <w:rPr>
                <w:color w:val="000000"/>
                <w:kern w:val="2"/>
                <w:szCs w:val="21"/>
              </w:rPr>
              <w:t>3</w:t>
            </w:r>
          </w:p>
        </w:tc>
        <w:tc>
          <w:tcPr>
            <w:tcW w:w="536" w:type="pct"/>
            <w:vAlign w:val="center"/>
          </w:tcPr>
          <w:p w14:paraId="39A58D82">
            <w:pPr>
              <w:pStyle w:val="2180"/>
              <w:rPr>
                <w:color w:val="000000"/>
                <w:kern w:val="2"/>
                <w:szCs w:val="21"/>
              </w:rPr>
            </w:pPr>
            <w:r>
              <w:rPr>
                <w:color w:val="000000"/>
                <w:kern w:val="2"/>
                <w:szCs w:val="21"/>
              </w:rPr>
              <w:t>仪表空气</w:t>
            </w:r>
          </w:p>
        </w:tc>
        <w:tc>
          <w:tcPr>
            <w:tcW w:w="1596" w:type="pct"/>
            <w:gridSpan w:val="2"/>
            <w:vAlign w:val="center"/>
          </w:tcPr>
          <w:p w14:paraId="7E99C313">
            <w:pPr>
              <w:pStyle w:val="2180"/>
              <w:rPr>
                <w:color w:val="000000"/>
                <w:kern w:val="2"/>
                <w:szCs w:val="21"/>
              </w:rPr>
            </w:pPr>
            <w:r>
              <w:rPr>
                <w:color w:val="000000"/>
                <w:kern w:val="2"/>
                <w:szCs w:val="21"/>
              </w:rPr>
              <w:t>本装置仪表空气正常使用量约120Nm</w:t>
            </w:r>
            <w:r>
              <w:rPr>
                <w:color w:val="000000"/>
                <w:kern w:val="2"/>
                <w:szCs w:val="21"/>
                <w:vertAlign w:val="superscript"/>
              </w:rPr>
              <w:t>3</w:t>
            </w:r>
            <w:r>
              <w:rPr>
                <w:color w:val="000000"/>
                <w:kern w:val="2"/>
                <w:szCs w:val="21"/>
              </w:rPr>
              <w:t>/h，最大使用量125Nm</w:t>
            </w:r>
            <w:r>
              <w:rPr>
                <w:color w:val="000000"/>
                <w:kern w:val="2"/>
                <w:szCs w:val="21"/>
                <w:vertAlign w:val="superscript"/>
              </w:rPr>
              <w:t>3</w:t>
            </w:r>
            <w:r>
              <w:rPr>
                <w:color w:val="000000"/>
                <w:kern w:val="2"/>
                <w:szCs w:val="21"/>
              </w:rPr>
              <w:t>/h。</w:t>
            </w:r>
          </w:p>
        </w:tc>
        <w:tc>
          <w:tcPr>
            <w:tcW w:w="2024" w:type="pct"/>
            <w:vAlign w:val="center"/>
          </w:tcPr>
          <w:p w14:paraId="0AB4A7C4">
            <w:pPr>
              <w:pStyle w:val="2180"/>
              <w:rPr>
                <w:color w:val="000000"/>
                <w:kern w:val="2"/>
                <w:szCs w:val="21"/>
              </w:rPr>
            </w:pPr>
            <w:r>
              <w:rPr>
                <w:color w:val="000000"/>
                <w:kern w:val="2"/>
                <w:szCs w:val="21"/>
              </w:rPr>
              <w:t>LNG工厂现有空气压缩机房设置有3台空压机，2用1备，其中2台1500Nm</w:t>
            </w:r>
            <w:r>
              <w:rPr>
                <w:color w:val="000000"/>
                <w:kern w:val="2"/>
                <w:szCs w:val="21"/>
                <w:vertAlign w:val="superscript"/>
              </w:rPr>
              <w:t>3</w:t>
            </w:r>
            <w:r>
              <w:rPr>
                <w:color w:val="000000"/>
                <w:kern w:val="2"/>
                <w:szCs w:val="21"/>
              </w:rPr>
              <w:t>/h空压机，1台1100m</w:t>
            </w:r>
            <w:r>
              <w:rPr>
                <w:color w:val="000000"/>
                <w:kern w:val="2"/>
                <w:szCs w:val="21"/>
                <w:vertAlign w:val="superscript"/>
              </w:rPr>
              <w:t>3</w:t>
            </w:r>
            <w:r>
              <w:rPr>
                <w:color w:val="000000"/>
                <w:kern w:val="2"/>
                <w:szCs w:val="21"/>
              </w:rPr>
              <w:t>/h，现有LNG工厂实际用气量为1800m</w:t>
            </w:r>
            <w:r>
              <w:rPr>
                <w:color w:val="000000"/>
                <w:kern w:val="2"/>
                <w:szCs w:val="21"/>
                <w:vertAlign w:val="superscript"/>
              </w:rPr>
              <w:t>3</w:t>
            </w:r>
            <w:r>
              <w:rPr>
                <w:color w:val="000000"/>
                <w:kern w:val="2"/>
                <w:szCs w:val="21"/>
              </w:rPr>
              <w:t>/h，目前富余约1200m</w:t>
            </w:r>
            <w:r>
              <w:rPr>
                <w:color w:val="000000"/>
                <w:kern w:val="2"/>
                <w:szCs w:val="21"/>
                <w:vertAlign w:val="superscript"/>
              </w:rPr>
              <w:t>3</w:t>
            </w:r>
            <w:r>
              <w:rPr>
                <w:color w:val="000000"/>
                <w:kern w:val="2"/>
                <w:szCs w:val="21"/>
              </w:rPr>
              <w:t>/h，满足本项目仪表空气使用量。</w:t>
            </w:r>
          </w:p>
        </w:tc>
        <w:tc>
          <w:tcPr>
            <w:tcW w:w="403" w:type="pct"/>
            <w:vAlign w:val="center"/>
          </w:tcPr>
          <w:p w14:paraId="05CE21BD">
            <w:pPr>
              <w:pStyle w:val="2180"/>
              <w:rPr>
                <w:color w:val="000000"/>
                <w:kern w:val="2"/>
                <w:szCs w:val="21"/>
              </w:rPr>
            </w:pPr>
            <w:r>
              <w:rPr>
                <w:color w:val="000000"/>
                <w:kern w:val="2"/>
                <w:szCs w:val="21"/>
              </w:rPr>
              <w:t>依托可行</w:t>
            </w:r>
          </w:p>
        </w:tc>
      </w:tr>
      <w:tr w14:paraId="193C4E9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439" w:type="pct"/>
            <w:vAlign w:val="center"/>
          </w:tcPr>
          <w:p w14:paraId="051544B7">
            <w:pPr>
              <w:pStyle w:val="2180"/>
              <w:rPr>
                <w:color w:val="000000"/>
                <w:kern w:val="2"/>
                <w:szCs w:val="21"/>
              </w:rPr>
            </w:pPr>
            <w:r>
              <w:rPr>
                <w:color w:val="000000"/>
                <w:kern w:val="2"/>
                <w:szCs w:val="21"/>
              </w:rPr>
              <w:t>4</w:t>
            </w:r>
          </w:p>
        </w:tc>
        <w:tc>
          <w:tcPr>
            <w:tcW w:w="536" w:type="pct"/>
            <w:vAlign w:val="center"/>
          </w:tcPr>
          <w:p w14:paraId="2161F698">
            <w:pPr>
              <w:autoSpaceDE w:val="0"/>
              <w:autoSpaceDN w:val="0"/>
              <w:jc w:val="center"/>
              <w:rPr>
                <w:color w:val="000000"/>
                <w:sz w:val="21"/>
              </w:rPr>
            </w:pPr>
            <w:r>
              <w:rPr>
                <w:bCs/>
                <w:snapToGrid w:val="0"/>
                <w:color w:val="000000"/>
                <w:sz w:val="21"/>
              </w:rPr>
              <w:t>消防</w:t>
            </w:r>
          </w:p>
        </w:tc>
        <w:tc>
          <w:tcPr>
            <w:tcW w:w="1596" w:type="pct"/>
            <w:gridSpan w:val="2"/>
            <w:vAlign w:val="center"/>
          </w:tcPr>
          <w:p w14:paraId="55CA63BA">
            <w:pPr>
              <w:autoSpaceDE w:val="0"/>
              <w:autoSpaceDN w:val="0"/>
              <w:rPr>
                <w:color w:val="000000"/>
                <w:sz w:val="21"/>
              </w:rPr>
            </w:pPr>
            <w:r>
              <w:rPr>
                <w:color w:val="000000"/>
                <w:sz w:val="21"/>
              </w:rPr>
              <w:t>本项目一次消防水需求量为324m</w:t>
            </w:r>
            <w:r>
              <w:rPr>
                <w:color w:val="000000"/>
                <w:sz w:val="21"/>
                <w:vertAlign w:val="superscript"/>
              </w:rPr>
              <w:t>3</w:t>
            </w:r>
          </w:p>
        </w:tc>
        <w:tc>
          <w:tcPr>
            <w:tcW w:w="2024" w:type="pct"/>
            <w:vAlign w:val="center"/>
          </w:tcPr>
          <w:p w14:paraId="6C930645">
            <w:pPr>
              <w:pStyle w:val="2180"/>
              <w:rPr>
                <w:color w:val="000000"/>
                <w:kern w:val="2"/>
                <w:szCs w:val="21"/>
              </w:rPr>
            </w:pPr>
            <w:r>
              <w:rPr>
                <w:color w:val="000000"/>
                <w:kern w:val="2"/>
                <w:szCs w:val="21"/>
              </w:rPr>
              <w:t>LNG工厂设有DN150消防水管网、室外消火栓、水炮、高倍数泡沫灭火系统、干粉灭火系统、火灾自动报警系统、可燃检测报警系统、稳高压消防给水系统，LNG工厂设置防水储罐2座，单罐容积为3000m</w:t>
            </w:r>
            <w:r>
              <w:rPr>
                <w:color w:val="000000"/>
                <w:kern w:val="2"/>
                <w:szCs w:val="21"/>
                <w:vertAlign w:val="superscript"/>
              </w:rPr>
              <w:t>3</w:t>
            </w:r>
            <w:r>
              <w:rPr>
                <w:color w:val="000000"/>
                <w:kern w:val="2"/>
                <w:szCs w:val="21"/>
              </w:rPr>
              <w:t>，消防水罐总容积为6000m</w:t>
            </w:r>
            <w:r>
              <w:rPr>
                <w:color w:val="000000"/>
                <w:kern w:val="2"/>
                <w:szCs w:val="21"/>
                <w:vertAlign w:val="superscript"/>
              </w:rPr>
              <w:t>3</w:t>
            </w:r>
            <w:r>
              <w:rPr>
                <w:color w:val="000000"/>
                <w:kern w:val="2"/>
                <w:szCs w:val="21"/>
              </w:rPr>
              <w:t>，同时设有消防水泵和稳压泵，日常保持稳高压消防管网压力，LNG工厂一次消防用水量约5000m</w:t>
            </w:r>
            <w:r>
              <w:rPr>
                <w:color w:val="000000"/>
                <w:kern w:val="2"/>
                <w:szCs w:val="21"/>
                <w:vertAlign w:val="superscript"/>
              </w:rPr>
              <w:t>3</w:t>
            </w:r>
            <w:r>
              <w:rPr>
                <w:color w:val="000000"/>
                <w:kern w:val="2"/>
                <w:szCs w:val="21"/>
              </w:rPr>
              <w:t>，消防储水量约6000m</w:t>
            </w:r>
            <w:r>
              <w:rPr>
                <w:color w:val="000000"/>
                <w:kern w:val="2"/>
                <w:szCs w:val="21"/>
                <w:vertAlign w:val="superscript"/>
              </w:rPr>
              <w:t>3</w:t>
            </w:r>
            <w:r>
              <w:rPr>
                <w:color w:val="000000"/>
                <w:kern w:val="2"/>
                <w:szCs w:val="21"/>
              </w:rPr>
              <w:t>，可满足本项目消防用水需求</w:t>
            </w:r>
          </w:p>
        </w:tc>
        <w:tc>
          <w:tcPr>
            <w:tcW w:w="403" w:type="pct"/>
            <w:vAlign w:val="center"/>
          </w:tcPr>
          <w:p w14:paraId="332255E8">
            <w:pPr>
              <w:pStyle w:val="2180"/>
              <w:rPr>
                <w:color w:val="000000"/>
                <w:kern w:val="2"/>
                <w:szCs w:val="21"/>
              </w:rPr>
            </w:pPr>
          </w:p>
        </w:tc>
      </w:tr>
      <w:tr w14:paraId="1816CE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39" w:type="pct"/>
            <w:vMerge w:val="restart"/>
            <w:vAlign w:val="center"/>
          </w:tcPr>
          <w:p w14:paraId="0D1F51E0">
            <w:pPr>
              <w:pStyle w:val="2180"/>
              <w:rPr>
                <w:color w:val="000000"/>
                <w:kern w:val="2"/>
                <w:szCs w:val="21"/>
              </w:rPr>
            </w:pPr>
            <w:r>
              <w:rPr>
                <w:color w:val="000000"/>
                <w:kern w:val="2"/>
                <w:szCs w:val="21"/>
              </w:rPr>
              <w:t>5</w:t>
            </w:r>
          </w:p>
        </w:tc>
        <w:tc>
          <w:tcPr>
            <w:tcW w:w="536" w:type="pct"/>
            <w:vMerge w:val="restart"/>
            <w:vAlign w:val="center"/>
          </w:tcPr>
          <w:p w14:paraId="07578B03">
            <w:pPr>
              <w:pStyle w:val="2180"/>
              <w:rPr>
                <w:color w:val="000000"/>
                <w:kern w:val="2"/>
                <w:szCs w:val="21"/>
              </w:rPr>
            </w:pPr>
            <w:r>
              <w:rPr>
                <w:color w:val="000000"/>
                <w:kern w:val="2"/>
                <w:szCs w:val="21"/>
              </w:rPr>
              <w:t>废水</w:t>
            </w:r>
          </w:p>
        </w:tc>
        <w:tc>
          <w:tcPr>
            <w:tcW w:w="412" w:type="pct"/>
            <w:vAlign w:val="center"/>
          </w:tcPr>
          <w:p w14:paraId="09DF164E">
            <w:pPr>
              <w:pStyle w:val="2180"/>
              <w:rPr>
                <w:color w:val="000000"/>
                <w:kern w:val="2"/>
                <w:szCs w:val="21"/>
              </w:rPr>
            </w:pPr>
            <w:r>
              <w:rPr>
                <w:color w:val="000000"/>
                <w:kern w:val="2"/>
                <w:szCs w:val="21"/>
              </w:rPr>
              <w:t>生活</w:t>
            </w:r>
          </w:p>
          <w:p w14:paraId="560BCE30">
            <w:pPr>
              <w:pStyle w:val="2180"/>
              <w:rPr>
                <w:color w:val="000000"/>
                <w:kern w:val="2"/>
                <w:szCs w:val="21"/>
              </w:rPr>
            </w:pPr>
            <w:r>
              <w:rPr>
                <w:color w:val="000000"/>
                <w:kern w:val="2"/>
                <w:szCs w:val="21"/>
              </w:rPr>
              <w:t>污水</w:t>
            </w:r>
          </w:p>
        </w:tc>
        <w:tc>
          <w:tcPr>
            <w:tcW w:w="1183" w:type="pct"/>
            <w:vAlign w:val="center"/>
          </w:tcPr>
          <w:p w14:paraId="6CBB0473">
            <w:pPr>
              <w:pStyle w:val="2180"/>
              <w:rPr>
                <w:color w:val="000000"/>
                <w:kern w:val="2"/>
                <w:szCs w:val="21"/>
              </w:rPr>
            </w:pPr>
            <w:r>
              <w:rPr>
                <w:color w:val="000000"/>
                <w:kern w:val="2"/>
                <w:szCs w:val="21"/>
              </w:rPr>
              <w:t>本项目生活污水量为1.08m</w:t>
            </w:r>
            <w:r>
              <w:rPr>
                <w:color w:val="000000"/>
                <w:kern w:val="2"/>
                <w:szCs w:val="21"/>
                <w:vertAlign w:val="superscript"/>
              </w:rPr>
              <w:t>3</w:t>
            </w:r>
            <w:r>
              <w:rPr>
                <w:color w:val="000000"/>
                <w:kern w:val="2"/>
                <w:szCs w:val="21"/>
              </w:rPr>
              <w:t>/d</w:t>
            </w:r>
          </w:p>
        </w:tc>
        <w:tc>
          <w:tcPr>
            <w:tcW w:w="2024" w:type="pct"/>
            <w:vAlign w:val="center"/>
          </w:tcPr>
          <w:p w14:paraId="6E31CC66">
            <w:pPr>
              <w:pStyle w:val="2180"/>
              <w:jc w:val="left"/>
              <w:rPr>
                <w:color w:val="000000"/>
                <w:kern w:val="2"/>
                <w:szCs w:val="21"/>
              </w:rPr>
            </w:pPr>
            <w:r>
              <w:rPr>
                <w:color w:val="000000"/>
                <w:kern w:val="2"/>
                <w:szCs w:val="21"/>
              </w:rPr>
              <w:t>LNG工厂设有2个化粪池，其中综合楼化粪池处理规模约12m</w:t>
            </w:r>
            <w:r>
              <w:rPr>
                <w:color w:val="000000"/>
                <w:kern w:val="2"/>
                <w:szCs w:val="21"/>
                <w:vertAlign w:val="superscript"/>
              </w:rPr>
              <w:t>3</w:t>
            </w:r>
            <w:r>
              <w:rPr>
                <w:color w:val="000000"/>
                <w:kern w:val="2"/>
                <w:szCs w:val="21"/>
              </w:rPr>
              <w:t>/d，装卸区化粪池处理规模6m</w:t>
            </w:r>
            <w:r>
              <w:rPr>
                <w:color w:val="000000"/>
                <w:kern w:val="2"/>
                <w:szCs w:val="21"/>
                <w:vertAlign w:val="superscript"/>
              </w:rPr>
              <w:t>3</w:t>
            </w:r>
            <w:r>
              <w:rPr>
                <w:color w:val="000000"/>
                <w:kern w:val="2"/>
                <w:szCs w:val="21"/>
              </w:rPr>
              <w:t>/d，本项目依托综合楼化粪池现实际处理规模约8m</w:t>
            </w:r>
            <w:r>
              <w:rPr>
                <w:color w:val="000000"/>
                <w:kern w:val="2"/>
                <w:szCs w:val="21"/>
                <w:vertAlign w:val="superscript"/>
              </w:rPr>
              <w:t>3</w:t>
            </w:r>
            <w:r>
              <w:rPr>
                <w:color w:val="000000"/>
                <w:kern w:val="2"/>
                <w:szCs w:val="21"/>
              </w:rPr>
              <w:t>/d，富余4m</w:t>
            </w:r>
            <w:r>
              <w:rPr>
                <w:color w:val="000000"/>
                <w:kern w:val="2"/>
                <w:szCs w:val="21"/>
                <w:vertAlign w:val="superscript"/>
              </w:rPr>
              <w:t>3</w:t>
            </w:r>
            <w:r>
              <w:rPr>
                <w:color w:val="000000"/>
                <w:kern w:val="2"/>
                <w:szCs w:val="21"/>
              </w:rPr>
              <w:t>/d，可满足本项目生活污水处理需求。</w:t>
            </w:r>
          </w:p>
        </w:tc>
        <w:tc>
          <w:tcPr>
            <w:tcW w:w="403" w:type="pct"/>
            <w:vAlign w:val="center"/>
          </w:tcPr>
          <w:p w14:paraId="3FB715B9">
            <w:pPr>
              <w:pStyle w:val="2180"/>
              <w:rPr>
                <w:color w:val="000000"/>
                <w:kern w:val="2"/>
                <w:szCs w:val="21"/>
              </w:rPr>
            </w:pPr>
            <w:r>
              <w:rPr>
                <w:color w:val="000000"/>
                <w:kern w:val="2"/>
                <w:szCs w:val="21"/>
              </w:rPr>
              <w:t>依托可行</w:t>
            </w:r>
          </w:p>
        </w:tc>
      </w:tr>
      <w:tr w14:paraId="3020A4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39" w:type="pct"/>
            <w:vMerge w:val="continue"/>
            <w:vAlign w:val="center"/>
          </w:tcPr>
          <w:p w14:paraId="4D300E39">
            <w:pPr>
              <w:pStyle w:val="2180"/>
              <w:rPr>
                <w:color w:val="000000"/>
                <w:kern w:val="2"/>
                <w:szCs w:val="21"/>
              </w:rPr>
            </w:pPr>
          </w:p>
        </w:tc>
        <w:tc>
          <w:tcPr>
            <w:tcW w:w="536" w:type="pct"/>
            <w:vMerge w:val="continue"/>
            <w:vAlign w:val="center"/>
          </w:tcPr>
          <w:p w14:paraId="3C5290E0">
            <w:pPr>
              <w:pStyle w:val="2180"/>
              <w:rPr>
                <w:color w:val="000000"/>
                <w:kern w:val="2"/>
                <w:szCs w:val="21"/>
              </w:rPr>
            </w:pPr>
          </w:p>
        </w:tc>
        <w:tc>
          <w:tcPr>
            <w:tcW w:w="412" w:type="pct"/>
            <w:vAlign w:val="center"/>
          </w:tcPr>
          <w:p w14:paraId="7813FA9C">
            <w:pPr>
              <w:pStyle w:val="2180"/>
              <w:rPr>
                <w:color w:val="000000"/>
                <w:kern w:val="2"/>
                <w:szCs w:val="21"/>
              </w:rPr>
            </w:pPr>
            <w:r>
              <w:rPr>
                <w:color w:val="000000"/>
                <w:kern w:val="2"/>
                <w:szCs w:val="21"/>
              </w:rPr>
              <w:t>生产废水</w:t>
            </w:r>
          </w:p>
        </w:tc>
        <w:tc>
          <w:tcPr>
            <w:tcW w:w="1183" w:type="pct"/>
            <w:vAlign w:val="center"/>
          </w:tcPr>
          <w:p w14:paraId="0184078C">
            <w:pPr>
              <w:pStyle w:val="2180"/>
              <w:rPr>
                <w:color w:val="000000"/>
                <w:kern w:val="2"/>
                <w:szCs w:val="21"/>
              </w:rPr>
            </w:pPr>
            <w:r>
              <w:rPr>
                <w:color w:val="000000"/>
                <w:kern w:val="2"/>
                <w:szCs w:val="21"/>
              </w:rPr>
              <w:t>本项目生产废水量为0.0056m</w:t>
            </w:r>
            <w:r>
              <w:rPr>
                <w:color w:val="000000"/>
                <w:kern w:val="2"/>
                <w:szCs w:val="21"/>
                <w:vertAlign w:val="superscript"/>
              </w:rPr>
              <w:t>3</w:t>
            </w:r>
            <w:r>
              <w:rPr>
                <w:color w:val="000000"/>
                <w:kern w:val="2"/>
                <w:szCs w:val="21"/>
              </w:rPr>
              <w:t>/h</w:t>
            </w:r>
          </w:p>
        </w:tc>
        <w:tc>
          <w:tcPr>
            <w:tcW w:w="2024" w:type="pct"/>
            <w:vAlign w:val="center"/>
          </w:tcPr>
          <w:p w14:paraId="5DEFBACF">
            <w:pPr>
              <w:pStyle w:val="2180"/>
              <w:jc w:val="left"/>
              <w:rPr>
                <w:color w:val="000000"/>
                <w:kern w:val="2"/>
                <w:szCs w:val="21"/>
              </w:rPr>
            </w:pPr>
            <w:r>
              <w:rPr>
                <w:color w:val="000000"/>
                <w:kern w:val="2"/>
                <w:szCs w:val="21"/>
              </w:rPr>
              <w:t>LNG工厂设有1个生产废水池（设计处理规模2.2m</w:t>
            </w:r>
            <w:r>
              <w:rPr>
                <w:color w:val="000000"/>
                <w:kern w:val="2"/>
                <w:szCs w:val="21"/>
                <w:vertAlign w:val="superscript"/>
              </w:rPr>
              <w:t>3</w:t>
            </w:r>
            <w:r>
              <w:rPr>
                <w:color w:val="000000"/>
                <w:kern w:val="2"/>
                <w:szCs w:val="21"/>
              </w:rPr>
              <w:t>/h），现实际处理规模约2m</w:t>
            </w:r>
            <w:r>
              <w:rPr>
                <w:color w:val="000000"/>
                <w:kern w:val="2"/>
                <w:szCs w:val="21"/>
                <w:vertAlign w:val="superscript"/>
              </w:rPr>
              <w:t>3</w:t>
            </w:r>
            <w:r>
              <w:rPr>
                <w:color w:val="000000"/>
                <w:kern w:val="2"/>
                <w:szCs w:val="21"/>
              </w:rPr>
              <w:t>/h，富余0.2m</w:t>
            </w:r>
            <w:r>
              <w:rPr>
                <w:color w:val="000000"/>
                <w:kern w:val="2"/>
                <w:szCs w:val="21"/>
                <w:vertAlign w:val="superscript"/>
              </w:rPr>
              <w:t>3</w:t>
            </w:r>
            <w:r>
              <w:rPr>
                <w:color w:val="000000"/>
                <w:kern w:val="2"/>
                <w:szCs w:val="21"/>
              </w:rPr>
              <w:t>/h，其富余能力可满足本项目生产废水处理需求。</w:t>
            </w:r>
          </w:p>
        </w:tc>
        <w:tc>
          <w:tcPr>
            <w:tcW w:w="403" w:type="pct"/>
            <w:vAlign w:val="center"/>
          </w:tcPr>
          <w:p w14:paraId="06230C48">
            <w:pPr>
              <w:pStyle w:val="2180"/>
              <w:rPr>
                <w:color w:val="000000"/>
                <w:kern w:val="2"/>
                <w:szCs w:val="21"/>
              </w:rPr>
            </w:pPr>
            <w:r>
              <w:rPr>
                <w:color w:val="000000"/>
                <w:kern w:val="2"/>
                <w:szCs w:val="21"/>
              </w:rPr>
              <w:t>依托可行</w:t>
            </w:r>
          </w:p>
        </w:tc>
      </w:tr>
      <w:tr w14:paraId="6093663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9" w:type="pct"/>
            <w:vAlign w:val="center"/>
          </w:tcPr>
          <w:p w14:paraId="6FD90E12">
            <w:pPr>
              <w:pStyle w:val="2180"/>
              <w:rPr>
                <w:color w:val="000000"/>
                <w:kern w:val="2"/>
                <w:szCs w:val="21"/>
              </w:rPr>
            </w:pPr>
            <w:r>
              <w:rPr>
                <w:color w:val="000000"/>
                <w:kern w:val="2"/>
                <w:szCs w:val="21"/>
              </w:rPr>
              <w:t>6</w:t>
            </w:r>
          </w:p>
        </w:tc>
        <w:tc>
          <w:tcPr>
            <w:tcW w:w="536" w:type="pct"/>
            <w:vAlign w:val="center"/>
          </w:tcPr>
          <w:p w14:paraId="4938A48E">
            <w:pPr>
              <w:pStyle w:val="2180"/>
              <w:rPr>
                <w:color w:val="000000"/>
                <w:kern w:val="2"/>
                <w:szCs w:val="21"/>
              </w:rPr>
            </w:pPr>
            <w:r>
              <w:rPr>
                <w:color w:val="000000"/>
                <w:kern w:val="2"/>
                <w:szCs w:val="21"/>
              </w:rPr>
              <w:t>废气</w:t>
            </w:r>
          </w:p>
        </w:tc>
        <w:tc>
          <w:tcPr>
            <w:tcW w:w="1596" w:type="pct"/>
            <w:gridSpan w:val="2"/>
            <w:vAlign w:val="center"/>
          </w:tcPr>
          <w:p w14:paraId="03AF7914">
            <w:pPr>
              <w:pStyle w:val="2180"/>
              <w:jc w:val="both"/>
              <w:rPr>
                <w:color w:val="000000"/>
                <w:kern w:val="2"/>
                <w:szCs w:val="21"/>
              </w:rPr>
            </w:pPr>
            <w:r>
              <w:rPr>
                <w:color w:val="000000"/>
                <w:kern w:val="2"/>
                <w:szCs w:val="21"/>
              </w:rPr>
              <w:t>再生尾气(139.97kg/h)引至火炬燃烧。</w:t>
            </w:r>
          </w:p>
        </w:tc>
        <w:tc>
          <w:tcPr>
            <w:tcW w:w="2024" w:type="pct"/>
            <w:vAlign w:val="center"/>
          </w:tcPr>
          <w:p w14:paraId="5799CCE7">
            <w:pPr>
              <w:pStyle w:val="409"/>
              <w:rPr>
                <w:rFonts w:ascii="Times New Roman" w:hAnsi="Times New Roman" w:eastAsia="宋体"/>
                <w:color w:val="000000"/>
              </w:rPr>
            </w:pPr>
            <w:r>
              <w:rPr>
                <w:rFonts w:ascii="Times New Roman" w:hAnsi="Times New Roman" w:eastAsia="宋体"/>
                <w:color w:val="000000"/>
              </w:rPr>
              <w:t>LNG工厂设置两套火炬，一套为热火炬，一套为冷火炬。</w:t>
            </w:r>
          </w:p>
          <w:p w14:paraId="7FD913C3">
            <w:pPr>
              <w:pStyle w:val="409"/>
              <w:rPr>
                <w:rFonts w:ascii="Times New Roman" w:hAnsi="Times New Roman" w:eastAsia="宋体"/>
                <w:color w:val="000000"/>
              </w:rPr>
            </w:pPr>
            <w:r>
              <w:rPr>
                <w:rFonts w:ascii="Times New Roman" w:hAnsi="Times New Roman" w:eastAsia="宋体"/>
                <w:color w:val="000000"/>
              </w:rPr>
              <w:t>热火炬设计处理能力185t/h，现处理能力100t/h，富余处理能力85t/h。</w:t>
            </w:r>
          </w:p>
          <w:p w14:paraId="06D6D929">
            <w:pPr>
              <w:pStyle w:val="2180"/>
              <w:rPr>
                <w:color w:val="000000"/>
                <w:kern w:val="2"/>
                <w:szCs w:val="21"/>
              </w:rPr>
            </w:pPr>
            <w:r>
              <w:rPr>
                <w:color w:val="000000"/>
                <w:kern w:val="2"/>
                <w:szCs w:val="21"/>
              </w:rPr>
              <w:t>冷火炬设计处理能力20t/h，现处理能力10t/h，富余处理能力10t/h。可满足本项目废气燃烧需求。</w:t>
            </w:r>
          </w:p>
        </w:tc>
        <w:tc>
          <w:tcPr>
            <w:tcW w:w="403" w:type="pct"/>
            <w:vAlign w:val="center"/>
          </w:tcPr>
          <w:p w14:paraId="6FC224FA">
            <w:pPr>
              <w:pStyle w:val="2180"/>
              <w:rPr>
                <w:color w:val="000000"/>
                <w:kern w:val="2"/>
                <w:szCs w:val="21"/>
              </w:rPr>
            </w:pPr>
            <w:r>
              <w:rPr>
                <w:color w:val="000000"/>
                <w:kern w:val="2"/>
                <w:szCs w:val="21"/>
              </w:rPr>
              <w:t>依托可行</w:t>
            </w:r>
          </w:p>
        </w:tc>
      </w:tr>
      <w:tr w14:paraId="57C5473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9" w:type="pct"/>
            <w:vAlign w:val="center"/>
          </w:tcPr>
          <w:p w14:paraId="445F3A3B">
            <w:pPr>
              <w:pStyle w:val="2180"/>
              <w:rPr>
                <w:color w:val="000000"/>
                <w:kern w:val="2"/>
                <w:szCs w:val="21"/>
              </w:rPr>
            </w:pPr>
            <w:r>
              <w:rPr>
                <w:color w:val="000000"/>
                <w:kern w:val="2"/>
                <w:szCs w:val="21"/>
              </w:rPr>
              <w:t>7</w:t>
            </w:r>
          </w:p>
        </w:tc>
        <w:tc>
          <w:tcPr>
            <w:tcW w:w="536" w:type="pct"/>
            <w:vAlign w:val="center"/>
          </w:tcPr>
          <w:p w14:paraId="0661944A">
            <w:pPr>
              <w:pStyle w:val="2180"/>
              <w:rPr>
                <w:color w:val="000000"/>
                <w:kern w:val="2"/>
                <w:szCs w:val="21"/>
              </w:rPr>
            </w:pPr>
            <w:r>
              <w:rPr>
                <w:color w:val="000000"/>
                <w:kern w:val="2"/>
                <w:szCs w:val="21"/>
              </w:rPr>
              <w:t>一般固废</w:t>
            </w:r>
          </w:p>
        </w:tc>
        <w:tc>
          <w:tcPr>
            <w:tcW w:w="1596" w:type="pct"/>
            <w:gridSpan w:val="2"/>
            <w:vAlign w:val="center"/>
          </w:tcPr>
          <w:p w14:paraId="01A03614">
            <w:pPr>
              <w:pStyle w:val="2180"/>
              <w:rPr>
                <w:color w:val="000000"/>
                <w:kern w:val="2"/>
                <w:szCs w:val="21"/>
              </w:rPr>
            </w:pPr>
            <w:r>
              <w:rPr>
                <w:color w:val="000000"/>
                <w:kern w:val="2"/>
                <w:szCs w:val="21"/>
              </w:rPr>
              <w:t>项目产生的一般固废产生量为1.6536t/a。</w:t>
            </w:r>
          </w:p>
        </w:tc>
        <w:tc>
          <w:tcPr>
            <w:tcW w:w="2024" w:type="pct"/>
            <w:vAlign w:val="center"/>
          </w:tcPr>
          <w:p w14:paraId="7DC72FA3">
            <w:pPr>
              <w:pStyle w:val="2180"/>
              <w:rPr>
                <w:color w:val="000000"/>
                <w:kern w:val="2"/>
                <w:szCs w:val="21"/>
              </w:rPr>
            </w:pPr>
            <w:r>
              <w:rPr>
                <w:rStyle w:val="2183"/>
                <w:color w:val="000000"/>
                <w:kern w:val="2"/>
                <w:szCs w:val="21"/>
              </w:rPr>
              <w:t>本项目装置固废产生量较少，依托LNG工厂现有9m</w:t>
            </w:r>
            <w:r>
              <w:rPr>
                <w:rStyle w:val="2183"/>
                <w:color w:val="000000"/>
                <w:kern w:val="2"/>
                <w:szCs w:val="21"/>
                <w:vertAlign w:val="superscript"/>
              </w:rPr>
              <w:t>2</w:t>
            </w:r>
            <w:r>
              <w:rPr>
                <w:rStyle w:val="2183"/>
                <w:color w:val="000000"/>
                <w:kern w:val="2"/>
                <w:szCs w:val="21"/>
              </w:rPr>
              <w:t>的一般固废暂存间，目前一般暂存间无固废暂存，富余面积9m</w:t>
            </w:r>
            <w:r>
              <w:rPr>
                <w:rStyle w:val="2183"/>
                <w:color w:val="000000"/>
                <w:kern w:val="2"/>
                <w:szCs w:val="21"/>
                <w:vertAlign w:val="superscript"/>
              </w:rPr>
              <w:t>2</w:t>
            </w:r>
            <w:r>
              <w:rPr>
                <w:rStyle w:val="2183"/>
                <w:color w:val="000000"/>
                <w:kern w:val="2"/>
                <w:szCs w:val="21"/>
              </w:rPr>
              <w:t>，本项目固废产生周期较长，且与现有工程产废周期不冲突，即产即运，故现有一般固废暂存间能够满足本项目对危废暂存的需求。</w:t>
            </w:r>
          </w:p>
        </w:tc>
        <w:tc>
          <w:tcPr>
            <w:tcW w:w="403" w:type="pct"/>
            <w:vAlign w:val="center"/>
          </w:tcPr>
          <w:p w14:paraId="632AC473">
            <w:pPr>
              <w:pStyle w:val="2180"/>
              <w:rPr>
                <w:color w:val="000000"/>
                <w:kern w:val="2"/>
                <w:szCs w:val="21"/>
              </w:rPr>
            </w:pPr>
            <w:r>
              <w:rPr>
                <w:color w:val="000000"/>
                <w:kern w:val="2"/>
                <w:szCs w:val="21"/>
              </w:rPr>
              <w:t>依托可行</w:t>
            </w:r>
          </w:p>
        </w:tc>
      </w:tr>
      <w:tr w14:paraId="4A95AEB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9" w:type="pct"/>
            <w:vAlign w:val="center"/>
          </w:tcPr>
          <w:p w14:paraId="09DC9E44">
            <w:pPr>
              <w:pStyle w:val="2180"/>
              <w:rPr>
                <w:color w:val="000000"/>
                <w:kern w:val="2"/>
                <w:szCs w:val="21"/>
              </w:rPr>
            </w:pPr>
            <w:r>
              <w:rPr>
                <w:color w:val="000000"/>
                <w:kern w:val="2"/>
                <w:szCs w:val="21"/>
              </w:rPr>
              <w:t>8</w:t>
            </w:r>
          </w:p>
        </w:tc>
        <w:tc>
          <w:tcPr>
            <w:tcW w:w="536" w:type="pct"/>
            <w:vAlign w:val="center"/>
          </w:tcPr>
          <w:p w14:paraId="3817C597">
            <w:pPr>
              <w:pStyle w:val="2180"/>
              <w:rPr>
                <w:color w:val="000000"/>
                <w:kern w:val="2"/>
                <w:szCs w:val="21"/>
              </w:rPr>
            </w:pPr>
            <w:r>
              <w:rPr>
                <w:color w:val="000000"/>
                <w:kern w:val="2"/>
                <w:szCs w:val="21"/>
              </w:rPr>
              <w:t>危险固废</w:t>
            </w:r>
          </w:p>
        </w:tc>
        <w:tc>
          <w:tcPr>
            <w:tcW w:w="1596" w:type="pct"/>
            <w:gridSpan w:val="2"/>
            <w:vAlign w:val="center"/>
          </w:tcPr>
          <w:p w14:paraId="0EAD3737">
            <w:pPr>
              <w:pStyle w:val="2180"/>
              <w:rPr>
                <w:color w:val="000000"/>
                <w:kern w:val="2"/>
                <w:szCs w:val="21"/>
              </w:rPr>
            </w:pPr>
            <w:r>
              <w:rPr>
                <w:color w:val="000000"/>
                <w:kern w:val="2"/>
                <w:szCs w:val="21"/>
              </w:rPr>
              <w:t>项目产生的危废预计产生量0.4135t/a。</w:t>
            </w:r>
          </w:p>
        </w:tc>
        <w:tc>
          <w:tcPr>
            <w:tcW w:w="2024" w:type="pct"/>
            <w:vAlign w:val="center"/>
          </w:tcPr>
          <w:p w14:paraId="3C9A2961">
            <w:pPr>
              <w:pStyle w:val="2180"/>
              <w:rPr>
                <w:rStyle w:val="2183"/>
                <w:color w:val="000000"/>
                <w:kern w:val="2"/>
                <w:szCs w:val="21"/>
              </w:rPr>
            </w:pPr>
            <w:r>
              <w:rPr>
                <w:rStyle w:val="2183"/>
                <w:color w:val="000000"/>
                <w:kern w:val="2"/>
                <w:szCs w:val="21"/>
              </w:rPr>
              <w:t>本项目装置危废产生量较少，依托LNG工厂现有53.76m</w:t>
            </w:r>
            <w:r>
              <w:rPr>
                <w:rStyle w:val="2183"/>
                <w:color w:val="000000"/>
                <w:kern w:val="2"/>
                <w:szCs w:val="21"/>
                <w:vertAlign w:val="superscript"/>
              </w:rPr>
              <w:t>2</w:t>
            </w:r>
            <w:r>
              <w:rPr>
                <w:rStyle w:val="2183"/>
                <w:color w:val="000000"/>
                <w:kern w:val="2"/>
                <w:szCs w:val="21"/>
              </w:rPr>
              <w:t>的危废暂存间。危废暂存间已进行防腐防渗处理，产生的危废交危废单位处置；危废暂存间满足《危险废物贮存污染控制标准》（GB 18597-2001）及其修改单要求。目前危废暂存间仅暂存少量实验室废液及废机油等，占用面积约13.76m</w:t>
            </w:r>
            <w:r>
              <w:rPr>
                <w:rStyle w:val="2183"/>
                <w:color w:val="000000"/>
                <w:kern w:val="2"/>
                <w:szCs w:val="21"/>
                <w:vertAlign w:val="superscript"/>
              </w:rPr>
              <w:t>2</w:t>
            </w:r>
            <w:r>
              <w:rPr>
                <w:rStyle w:val="2183"/>
                <w:color w:val="000000"/>
                <w:kern w:val="2"/>
                <w:szCs w:val="21"/>
              </w:rPr>
              <w:t>，富余面积40m</w:t>
            </w:r>
            <w:r>
              <w:rPr>
                <w:rStyle w:val="2183"/>
                <w:color w:val="000000"/>
                <w:kern w:val="2"/>
                <w:szCs w:val="21"/>
                <w:vertAlign w:val="superscript"/>
              </w:rPr>
              <w:t>2</w:t>
            </w:r>
            <w:r>
              <w:rPr>
                <w:rStyle w:val="2183"/>
                <w:color w:val="000000"/>
                <w:kern w:val="2"/>
                <w:szCs w:val="21"/>
              </w:rPr>
              <w:t>，本项目危废产生周期较少，即产即运，故现有危废暂存间能够满足本项目对危废暂存的需求。</w:t>
            </w:r>
          </w:p>
        </w:tc>
        <w:tc>
          <w:tcPr>
            <w:tcW w:w="403" w:type="pct"/>
            <w:vAlign w:val="center"/>
          </w:tcPr>
          <w:p w14:paraId="1FABA9FA">
            <w:pPr>
              <w:pStyle w:val="2180"/>
              <w:rPr>
                <w:color w:val="000000"/>
                <w:kern w:val="2"/>
                <w:szCs w:val="21"/>
              </w:rPr>
            </w:pPr>
            <w:r>
              <w:rPr>
                <w:color w:val="000000"/>
                <w:kern w:val="2"/>
                <w:szCs w:val="21"/>
              </w:rPr>
              <w:t>依托可行</w:t>
            </w:r>
          </w:p>
        </w:tc>
      </w:tr>
      <w:tr w14:paraId="39F195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39" w:type="pct"/>
            <w:vAlign w:val="center"/>
          </w:tcPr>
          <w:p w14:paraId="39625781">
            <w:pPr>
              <w:pStyle w:val="2180"/>
              <w:rPr>
                <w:color w:val="000000"/>
                <w:kern w:val="2"/>
                <w:szCs w:val="21"/>
              </w:rPr>
            </w:pPr>
            <w:r>
              <w:rPr>
                <w:color w:val="000000"/>
                <w:kern w:val="2"/>
                <w:szCs w:val="21"/>
              </w:rPr>
              <w:t>9</w:t>
            </w:r>
          </w:p>
        </w:tc>
        <w:tc>
          <w:tcPr>
            <w:tcW w:w="536" w:type="pct"/>
            <w:vAlign w:val="center"/>
          </w:tcPr>
          <w:p w14:paraId="4D2EDC39">
            <w:pPr>
              <w:pStyle w:val="2180"/>
              <w:rPr>
                <w:color w:val="000000"/>
                <w:kern w:val="2"/>
                <w:szCs w:val="21"/>
              </w:rPr>
            </w:pPr>
            <w:r>
              <w:rPr>
                <w:color w:val="000000"/>
                <w:kern w:val="2"/>
                <w:szCs w:val="21"/>
              </w:rPr>
              <w:t>风险</w:t>
            </w:r>
          </w:p>
        </w:tc>
        <w:tc>
          <w:tcPr>
            <w:tcW w:w="1596" w:type="pct"/>
            <w:gridSpan w:val="2"/>
            <w:vAlign w:val="center"/>
          </w:tcPr>
          <w:p w14:paraId="0FBE41F8">
            <w:pPr>
              <w:pStyle w:val="2180"/>
              <w:rPr>
                <w:color w:val="000000"/>
                <w:kern w:val="2"/>
                <w:szCs w:val="21"/>
              </w:rPr>
            </w:pPr>
            <w:r>
              <w:rPr>
                <w:color w:val="000000"/>
                <w:kern w:val="2"/>
                <w:szCs w:val="21"/>
              </w:rPr>
              <w:t>事故池</w:t>
            </w:r>
          </w:p>
        </w:tc>
        <w:tc>
          <w:tcPr>
            <w:tcW w:w="2024" w:type="pct"/>
            <w:vAlign w:val="center"/>
          </w:tcPr>
          <w:p w14:paraId="25837C91">
            <w:pPr>
              <w:pStyle w:val="2180"/>
              <w:rPr>
                <w:color w:val="000000"/>
                <w:kern w:val="2"/>
                <w:szCs w:val="21"/>
              </w:rPr>
            </w:pPr>
            <w:r>
              <w:rPr>
                <w:color w:val="000000"/>
                <w:kern w:val="2"/>
                <w:szCs w:val="21"/>
              </w:rPr>
              <w:t>LNG工厂设有1个1000m</w:t>
            </w:r>
            <w:r>
              <w:rPr>
                <w:color w:val="000000"/>
                <w:kern w:val="2"/>
                <w:szCs w:val="21"/>
                <w:vertAlign w:val="superscript"/>
              </w:rPr>
              <w:t>3</w:t>
            </w:r>
            <w:r>
              <w:rPr>
                <w:color w:val="000000"/>
                <w:kern w:val="2"/>
                <w:szCs w:val="21"/>
              </w:rPr>
              <w:t>事故池，可满足全厂事故废水收集的需求。</w:t>
            </w:r>
          </w:p>
        </w:tc>
        <w:tc>
          <w:tcPr>
            <w:tcW w:w="403" w:type="pct"/>
            <w:vAlign w:val="center"/>
          </w:tcPr>
          <w:p w14:paraId="1B47328A">
            <w:pPr>
              <w:pStyle w:val="2180"/>
              <w:rPr>
                <w:color w:val="000000"/>
                <w:kern w:val="2"/>
                <w:szCs w:val="21"/>
              </w:rPr>
            </w:pPr>
          </w:p>
        </w:tc>
      </w:tr>
    </w:tbl>
    <w:p w14:paraId="24B50A26">
      <w:pPr>
        <w:pStyle w:val="771"/>
        <w:rPr>
          <w:b/>
          <w:bCs w:val="0"/>
          <w:color w:val="000000"/>
        </w:rPr>
      </w:pPr>
      <w:r>
        <w:rPr>
          <w:b/>
          <w:bCs w:val="0"/>
          <w:color w:val="000000"/>
        </w:rPr>
        <w:t>3.1.5 公用工程</w:t>
      </w:r>
    </w:p>
    <w:p w14:paraId="60BD8302">
      <w:pPr>
        <w:pStyle w:val="9"/>
        <w:tabs>
          <w:tab w:val="left" w:pos="0"/>
          <w:tab w:val="left" w:pos="1418"/>
        </w:tabs>
        <w:rPr>
          <w:b w:val="0"/>
          <w:bCs/>
          <w:color w:val="000000"/>
          <w:szCs w:val="24"/>
        </w:rPr>
      </w:pPr>
      <w:r>
        <w:rPr>
          <w:b w:val="0"/>
          <w:bCs/>
          <w:color w:val="000000"/>
          <w:szCs w:val="24"/>
        </w:rPr>
        <w:t>3.1.5.1给排水</w:t>
      </w:r>
    </w:p>
    <w:p w14:paraId="1DEB73F3">
      <w:pPr>
        <w:ind w:firstLine="480"/>
        <w:rPr>
          <w:color w:val="000000"/>
          <w:szCs w:val="24"/>
        </w:rPr>
      </w:pPr>
      <w:r>
        <w:rPr>
          <w:color w:val="000000"/>
          <w:szCs w:val="24"/>
        </w:rPr>
        <w:t>本项目新鲜水由白涛化工园给水厂统一供给，项目用水主要为生活用水和冷却循环水，冷却循环水依托LNG厂现有冷却循环水系统。本项目新鲜水用水量为1744.92</w:t>
      </w:r>
      <w:r>
        <w:rPr>
          <w:color w:val="000000"/>
          <w:sz w:val="21"/>
        </w:rPr>
        <w:t>m</w:t>
      </w:r>
      <w:r>
        <w:rPr>
          <w:color w:val="000000"/>
          <w:sz w:val="21"/>
          <w:vertAlign w:val="superscript"/>
        </w:rPr>
        <w:t>3</w:t>
      </w:r>
      <w:r>
        <w:rPr>
          <w:color w:val="000000"/>
          <w:sz w:val="21"/>
        </w:rPr>
        <w:t>/a。</w:t>
      </w:r>
    </w:p>
    <w:p w14:paraId="75DD41C0">
      <w:pPr>
        <w:ind w:firstLine="480"/>
        <w:rPr>
          <w:color w:val="000000"/>
          <w:szCs w:val="24"/>
        </w:rPr>
      </w:pPr>
      <w:r>
        <w:rPr>
          <w:color w:val="000000"/>
          <w:szCs w:val="24"/>
        </w:rPr>
        <w:t>本项目排水主要为生产废水、生活污水和冷却循环水，其中生产废水主要为催化燃烧脱氢单元产生的冷凝水依托LNG工厂生产废水池处理后进入生产废水提升池，生活污水依托LNG工厂现有化粪池处理后进入生活污水提升池，分别经泵提升后在界区内汇合后统一输送至园区潘家坝污水处理厂处理；冷却循环水排水依托LNG工厂循环水系统的排水管道，进入雨水管网。</w:t>
      </w:r>
    </w:p>
    <w:p w14:paraId="62C01929">
      <w:pPr>
        <w:ind w:firstLine="480"/>
        <w:rPr>
          <w:color w:val="000000"/>
        </w:rPr>
      </w:pPr>
      <w:r>
        <w:rPr>
          <w:color w:val="000000"/>
          <w:szCs w:val="24"/>
        </w:rPr>
        <w:t>本项目外排废水总量为224.58</w:t>
      </w:r>
      <w:r>
        <w:rPr>
          <w:color w:val="000000"/>
          <w:sz w:val="21"/>
        </w:rPr>
        <w:t>m</w:t>
      </w:r>
      <w:r>
        <w:rPr>
          <w:color w:val="000000"/>
          <w:sz w:val="21"/>
          <w:vertAlign w:val="superscript"/>
        </w:rPr>
        <w:t>3</w:t>
      </w:r>
      <w:r>
        <w:rPr>
          <w:color w:val="000000"/>
          <w:sz w:val="21"/>
        </w:rPr>
        <w:t>/a</w:t>
      </w:r>
      <w:r>
        <w:rPr>
          <w:color w:val="000000"/>
          <w:szCs w:val="24"/>
        </w:rPr>
        <w:t>，外排循环水量102.90</w:t>
      </w:r>
      <w:r>
        <w:rPr>
          <w:color w:val="000000"/>
          <w:sz w:val="21"/>
        </w:rPr>
        <w:t>m</w:t>
      </w:r>
      <w:r>
        <w:rPr>
          <w:color w:val="000000"/>
          <w:sz w:val="21"/>
          <w:vertAlign w:val="superscript"/>
        </w:rPr>
        <w:t>3</w:t>
      </w:r>
      <w:r>
        <w:rPr>
          <w:color w:val="000000"/>
          <w:sz w:val="21"/>
        </w:rPr>
        <w:t>/a</w:t>
      </w:r>
      <w:r>
        <w:rPr>
          <w:color w:val="000000"/>
          <w:szCs w:val="24"/>
        </w:rPr>
        <w:t>。</w:t>
      </w:r>
    </w:p>
    <w:p w14:paraId="21144473">
      <w:pPr>
        <w:ind w:firstLine="480" w:firstLineChars="200"/>
        <w:rPr>
          <w:color w:val="000000"/>
          <w:szCs w:val="24"/>
        </w:rPr>
      </w:pPr>
      <w:r>
        <w:rPr>
          <w:color w:val="000000"/>
        </w:rPr>
        <w:t>本项目给排水情况见表3.1.5-1。</w:t>
      </w:r>
    </w:p>
    <w:p w14:paraId="124ED62F">
      <w:pPr>
        <w:widowControl w:val="0"/>
        <w:jc w:val="center"/>
        <w:rPr>
          <w:bCs/>
          <w:color w:val="000000"/>
          <w:spacing w:val="20"/>
          <w:position w:val="-6"/>
        </w:rPr>
      </w:pPr>
    </w:p>
    <w:p w14:paraId="324D6FFF">
      <w:pPr>
        <w:widowControl w:val="0"/>
        <w:jc w:val="center"/>
        <w:rPr>
          <w:bCs/>
          <w:color w:val="000000"/>
          <w:spacing w:val="20"/>
          <w:position w:val="-6"/>
        </w:rPr>
      </w:pPr>
    </w:p>
    <w:p w14:paraId="41D3F38E">
      <w:pPr>
        <w:widowControl w:val="0"/>
        <w:jc w:val="center"/>
        <w:rPr>
          <w:bCs/>
          <w:color w:val="000000"/>
          <w:spacing w:val="20"/>
          <w:position w:val="-6"/>
        </w:rPr>
      </w:pPr>
    </w:p>
    <w:p w14:paraId="63EF1567">
      <w:pPr>
        <w:widowControl w:val="0"/>
        <w:jc w:val="center"/>
        <w:rPr>
          <w:bCs/>
          <w:color w:val="000000"/>
          <w:spacing w:val="20"/>
          <w:position w:val="-6"/>
        </w:rPr>
      </w:pPr>
    </w:p>
    <w:p w14:paraId="3E7CE632">
      <w:pPr>
        <w:widowControl w:val="0"/>
        <w:jc w:val="center"/>
        <w:rPr>
          <w:bCs/>
          <w:color w:val="000000"/>
          <w:spacing w:val="20"/>
          <w:position w:val="-6"/>
        </w:rPr>
      </w:pPr>
    </w:p>
    <w:p w14:paraId="1E22CB9B">
      <w:pPr>
        <w:widowControl w:val="0"/>
        <w:jc w:val="center"/>
        <w:rPr>
          <w:bCs/>
          <w:color w:val="000000"/>
          <w:spacing w:val="20"/>
          <w:position w:val="-6"/>
        </w:rPr>
      </w:pPr>
    </w:p>
    <w:p w14:paraId="4A0A50EF">
      <w:pPr>
        <w:widowControl w:val="0"/>
        <w:jc w:val="center"/>
        <w:rPr>
          <w:bCs/>
          <w:color w:val="000000"/>
          <w:spacing w:val="20"/>
          <w:position w:val="-6"/>
        </w:rPr>
      </w:pPr>
    </w:p>
    <w:p w14:paraId="3F78DCC0">
      <w:pPr>
        <w:widowControl w:val="0"/>
        <w:jc w:val="center"/>
        <w:rPr>
          <w:bCs/>
          <w:color w:val="000000"/>
          <w:spacing w:val="20"/>
          <w:position w:val="-6"/>
        </w:rPr>
      </w:pPr>
      <w:r>
        <w:rPr>
          <w:bCs/>
          <w:color w:val="000000"/>
          <w:spacing w:val="20"/>
          <w:position w:val="-6"/>
        </w:rPr>
        <w:t>表3.1.5-1  本项目给排水核算表</w:t>
      </w:r>
    </w:p>
    <w:tbl>
      <w:tblPr>
        <w:tblStyle w:val="73"/>
        <w:tblW w:w="4997"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42"/>
        <w:gridCol w:w="768"/>
        <w:gridCol w:w="815"/>
        <w:gridCol w:w="1031"/>
        <w:gridCol w:w="1031"/>
        <w:gridCol w:w="1056"/>
        <w:gridCol w:w="1328"/>
        <w:gridCol w:w="1357"/>
      </w:tblGrid>
      <w:tr w14:paraId="15BDAF7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235" w:type="pct"/>
            <w:tcBorders>
              <w:tl2br w:val="nil"/>
              <w:tr2bl w:val="nil"/>
            </w:tcBorders>
            <w:vAlign w:val="center"/>
          </w:tcPr>
          <w:p w14:paraId="113D2C75">
            <w:pPr>
              <w:spacing w:line="320" w:lineRule="exact"/>
              <w:jc w:val="center"/>
              <w:rPr>
                <w:color w:val="000000"/>
                <w:sz w:val="21"/>
              </w:rPr>
            </w:pPr>
            <w:r>
              <w:rPr>
                <w:color w:val="000000"/>
                <w:sz w:val="21"/>
              </w:rPr>
              <w:t>序号</w:t>
            </w:r>
          </w:p>
        </w:tc>
        <w:tc>
          <w:tcPr>
            <w:tcW w:w="686" w:type="pct"/>
            <w:tcBorders>
              <w:tl2br w:val="nil"/>
              <w:tr2bl w:val="nil"/>
            </w:tcBorders>
            <w:vAlign w:val="center"/>
          </w:tcPr>
          <w:p w14:paraId="7151AA24">
            <w:pPr>
              <w:spacing w:line="320" w:lineRule="exact"/>
              <w:jc w:val="center"/>
              <w:rPr>
                <w:color w:val="000000"/>
                <w:sz w:val="21"/>
              </w:rPr>
            </w:pPr>
            <w:r>
              <w:rPr>
                <w:color w:val="000000"/>
                <w:sz w:val="21"/>
              </w:rPr>
              <w:t>用水项目</w:t>
            </w:r>
          </w:p>
        </w:tc>
        <w:tc>
          <w:tcPr>
            <w:tcW w:w="424" w:type="pct"/>
            <w:tcBorders>
              <w:tl2br w:val="nil"/>
              <w:tr2bl w:val="nil"/>
            </w:tcBorders>
            <w:vAlign w:val="center"/>
          </w:tcPr>
          <w:p w14:paraId="2D0601C4">
            <w:pPr>
              <w:spacing w:line="320" w:lineRule="exact"/>
              <w:jc w:val="center"/>
              <w:rPr>
                <w:color w:val="000000"/>
                <w:sz w:val="21"/>
              </w:rPr>
            </w:pPr>
            <w:r>
              <w:rPr>
                <w:color w:val="000000"/>
                <w:sz w:val="21"/>
              </w:rPr>
              <w:t>用水规模</w:t>
            </w:r>
          </w:p>
        </w:tc>
        <w:tc>
          <w:tcPr>
            <w:tcW w:w="448" w:type="pct"/>
            <w:tcBorders>
              <w:tl2br w:val="nil"/>
              <w:tr2bl w:val="nil"/>
            </w:tcBorders>
            <w:vAlign w:val="center"/>
          </w:tcPr>
          <w:p w14:paraId="4B229872">
            <w:pPr>
              <w:spacing w:line="320" w:lineRule="exact"/>
              <w:jc w:val="center"/>
              <w:rPr>
                <w:color w:val="000000"/>
                <w:sz w:val="21"/>
              </w:rPr>
            </w:pPr>
            <w:r>
              <w:rPr>
                <w:color w:val="000000"/>
                <w:sz w:val="21"/>
              </w:rPr>
              <w:t>用水标准</w:t>
            </w:r>
          </w:p>
          <w:p w14:paraId="721B3A6A">
            <w:pPr>
              <w:spacing w:line="320" w:lineRule="exact"/>
              <w:jc w:val="center"/>
              <w:rPr>
                <w:color w:val="000000"/>
                <w:sz w:val="21"/>
              </w:rPr>
            </w:pPr>
          </w:p>
        </w:tc>
        <w:tc>
          <w:tcPr>
            <w:tcW w:w="569" w:type="pct"/>
            <w:tcBorders>
              <w:tl2br w:val="nil"/>
              <w:tr2bl w:val="nil"/>
            </w:tcBorders>
            <w:vAlign w:val="center"/>
          </w:tcPr>
          <w:p w14:paraId="77F60705">
            <w:pPr>
              <w:spacing w:line="320" w:lineRule="exact"/>
              <w:jc w:val="center"/>
              <w:rPr>
                <w:color w:val="000000"/>
                <w:sz w:val="21"/>
              </w:rPr>
            </w:pPr>
            <w:r>
              <w:rPr>
                <w:color w:val="000000"/>
                <w:sz w:val="21"/>
              </w:rPr>
              <w:t>日用水量（m</w:t>
            </w:r>
            <w:r>
              <w:rPr>
                <w:color w:val="000000"/>
                <w:sz w:val="21"/>
                <w:vertAlign w:val="superscript"/>
              </w:rPr>
              <w:t>3</w:t>
            </w:r>
            <w:r>
              <w:rPr>
                <w:color w:val="000000"/>
                <w:sz w:val="21"/>
              </w:rPr>
              <w:t>/d）</w:t>
            </w:r>
          </w:p>
        </w:tc>
        <w:tc>
          <w:tcPr>
            <w:tcW w:w="569" w:type="pct"/>
            <w:tcBorders>
              <w:tl2br w:val="nil"/>
              <w:tr2bl w:val="nil"/>
            </w:tcBorders>
            <w:vAlign w:val="center"/>
          </w:tcPr>
          <w:p w14:paraId="240C3A36">
            <w:pPr>
              <w:spacing w:line="320" w:lineRule="exact"/>
              <w:jc w:val="center"/>
              <w:rPr>
                <w:color w:val="000000"/>
                <w:sz w:val="21"/>
              </w:rPr>
            </w:pPr>
            <w:r>
              <w:rPr>
                <w:color w:val="000000"/>
                <w:sz w:val="21"/>
              </w:rPr>
              <w:t>排水量（m</w:t>
            </w:r>
            <w:r>
              <w:rPr>
                <w:color w:val="000000"/>
                <w:sz w:val="21"/>
                <w:vertAlign w:val="superscript"/>
              </w:rPr>
              <w:t>3</w:t>
            </w:r>
            <w:r>
              <w:rPr>
                <w:color w:val="000000"/>
                <w:sz w:val="21"/>
              </w:rPr>
              <w:t>/d）</w:t>
            </w:r>
          </w:p>
        </w:tc>
        <w:tc>
          <w:tcPr>
            <w:tcW w:w="583" w:type="pct"/>
            <w:tcBorders>
              <w:tl2br w:val="nil"/>
              <w:tr2bl w:val="nil"/>
            </w:tcBorders>
            <w:vAlign w:val="center"/>
          </w:tcPr>
          <w:p w14:paraId="2C4C5E1A">
            <w:pPr>
              <w:spacing w:line="320" w:lineRule="exact"/>
              <w:jc w:val="center"/>
              <w:rPr>
                <w:color w:val="000000"/>
                <w:sz w:val="21"/>
              </w:rPr>
            </w:pPr>
            <w:r>
              <w:rPr>
                <w:color w:val="000000"/>
                <w:sz w:val="21"/>
              </w:rPr>
              <w:t>日用水量（m</w:t>
            </w:r>
            <w:r>
              <w:rPr>
                <w:color w:val="000000"/>
                <w:sz w:val="21"/>
                <w:vertAlign w:val="superscript"/>
              </w:rPr>
              <w:t>3</w:t>
            </w:r>
            <w:r>
              <w:rPr>
                <w:color w:val="000000"/>
                <w:sz w:val="21"/>
              </w:rPr>
              <w:t>/a）</w:t>
            </w:r>
          </w:p>
        </w:tc>
        <w:tc>
          <w:tcPr>
            <w:tcW w:w="733" w:type="pct"/>
            <w:tcBorders>
              <w:tl2br w:val="nil"/>
              <w:tr2bl w:val="nil"/>
            </w:tcBorders>
            <w:vAlign w:val="center"/>
          </w:tcPr>
          <w:p w14:paraId="32FF9E67">
            <w:pPr>
              <w:spacing w:line="320" w:lineRule="exact"/>
              <w:jc w:val="center"/>
              <w:rPr>
                <w:color w:val="000000"/>
                <w:sz w:val="21"/>
              </w:rPr>
            </w:pPr>
            <w:r>
              <w:rPr>
                <w:color w:val="000000"/>
                <w:sz w:val="21"/>
              </w:rPr>
              <w:t>排水量（m</w:t>
            </w:r>
            <w:r>
              <w:rPr>
                <w:color w:val="000000"/>
                <w:sz w:val="21"/>
                <w:vertAlign w:val="superscript"/>
              </w:rPr>
              <w:t>3</w:t>
            </w:r>
            <w:r>
              <w:rPr>
                <w:color w:val="000000"/>
                <w:sz w:val="21"/>
              </w:rPr>
              <w:t>/a）</w:t>
            </w:r>
          </w:p>
        </w:tc>
        <w:tc>
          <w:tcPr>
            <w:tcW w:w="749" w:type="pct"/>
            <w:tcBorders>
              <w:tl2br w:val="nil"/>
              <w:tr2bl w:val="nil"/>
            </w:tcBorders>
            <w:vAlign w:val="center"/>
          </w:tcPr>
          <w:p w14:paraId="48B230BE">
            <w:pPr>
              <w:spacing w:line="320" w:lineRule="exact"/>
              <w:jc w:val="center"/>
              <w:rPr>
                <w:color w:val="000000"/>
                <w:sz w:val="21"/>
              </w:rPr>
            </w:pPr>
            <w:r>
              <w:rPr>
                <w:color w:val="000000"/>
                <w:sz w:val="21"/>
              </w:rPr>
              <w:t>备注</w:t>
            </w:r>
          </w:p>
        </w:tc>
      </w:tr>
      <w:tr w14:paraId="65427ED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235" w:type="pct"/>
            <w:tcBorders>
              <w:tl2br w:val="nil"/>
              <w:tr2bl w:val="nil"/>
            </w:tcBorders>
            <w:vAlign w:val="center"/>
          </w:tcPr>
          <w:p w14:paraId="4E1A6C18">
            <w:pPr>
              <w:spacing w:line="320" w:lineRule="exact"/>
              <w:jc w:val="center"/>
              <w:rPr>
                <w:color w:val="000000"/>
                <w:sz w:val="21"/>
              </w:rPr>
            </w:pPr>
            <w:r>
              <w:rPr>
                <w:color w:val="000000"/>
                <w:sz w:val="21"/>
              </w:rPr>
              <w:t>1</w:t>
            </w:r>
          </w:p>
        </w:tc>
        <w:tc>
          <w:tcPr>
            <w:tcW w:w="686" w:type="pct"/>
            <w:tcBorders>
              <w:tl2br w:val="nil"/>
              <w:tr2bl w:val="nil"/>
            </w:tcBorders>
            <w:vAlign w:val="center"/>
          </w:tcPr>
          <w:p w14:paraId="6B368A3F">
            <w:pPr>
              <w:spacing w:line="320" w:lineRule="exact"/>
              <w:jc w:val="center"/>
              <w:rPr>
                <w:color w:val="000000"/>
                <w:sz w:val="21"/>
              </w:rPr>
            </w:pPr>
            <w:r>
              <w:rPr>
                <w:color w:val="000000"/>
                <w:sz w:val="21"/>
              </w:rPr>
              <w:t>生活</w:t>
            </w:r>
          </w:p>
        </w:tc>
        <w:tc>
          <w:tcPr>
            <w:tcW w:w="424" w:type="pct"/>
            <w:tcBorders>
              <w:tl2br w:val="nil"/>
              <w:tr2bl w:val="nil"/>
            </w:tcBorders>
            <w:vAlign w:val="center"/>
          </w:tcPr>
          <w:p w14:paraId="761217DB">
            <w:pPr>
              <w:spacing w:line="320" w:lineRule="exact"/>
              <w:jc w:val="center"/>
              <w:rPr>
                <w:color w:val="000000"/>
                <w:sz w:val="21"/>
              </w:rPr>
            </w:pPr>
            <w:r>
              <w:rPr>
                <w:color w:val="000000"/>
                <w:sz w:val="21"/>
              </w:rPr>
              <w:t>12人</w:t>
            </w:r>
          </w:p>
        </w:tc>
        <w:tc>
          <w:tcPr>
            <w:tcW w:w="448" w:type="pct"/>
            <w:tcBorders>
              <w:tl2br w:val="nil"/>
              <w:tr2bl w:val="nil"/>
            </w:tcBorders>
            <w:vAlign w:val="center"/>
          </w:tcPr>
          <w:p w14:paraId="442A47DF">
            <w:pPr>
              <w:spacing w:line="320" w:lineRule="exact"/>
              <w:jc w:val="center"/>
              <w:rPr>
                <w:color w:val="000000"/>
                <w:sz w:val="21"/>
              </w:rPr>
            </w:pPr>
            <w:r>
              <w:rPr>
                <w:color w:val="000000"/>
                <w:sz w:val="21"/>
              </w:rPr>
              <w:t>50L/人</w:t>
            </w:r>
          </w:p>
        </w:tc>
        <w:tc>
          <w:tcPr>
            <w:tcW w:w="569" w:type="pct"/>
            <w:tcBorders>
              <w:tl2br w:val="nil"/>
              <w:tr2bl w:val="nil"/>
            </w:tcBorders>
            <w:vAlign w:val="center"/>
          </w:tcPr>
          <w:p w14:paraId="035453F6">
            <w:pPr>
              <w:spacing w:line="320" w:lineRule="exact"/>
              <w:jc w:val="center"/>
              <w:rPr>
                <w:color w:val="000000"/>
                <w:sz w:val="21"/>
              </w:rPr>
            </w:pPr>
            <w:r>
              <w:rPr>
                <w:color w:val="000000"/>
                <w:sz w:val="21"/>
              </w:rPr>
              <w:t>0.6</w:t>
            </w:r>
          </w:p>
        </w:tc>
        <w:tc>
          <w:tcPr>
            <w:tcW w:w="569" w:type="pct"/>
            <w:tcBorders>
              <w:tl2br w:val="nil"/>
              <w:tr2bl w:val="nil"/>
            </w:tcBorders>
            <w:vAlign w:val="center"/>
          </w:tcPr>
          <w:p w14:paraId="1939CFF5">
            <w:pPr>
              <w:spacing w:line="320" w:lineRule="exact"/>
              <w:jc w:val="center"/>
              <w:rPr>
                <w:color w:val="000000"/>
                <w:sz w:val="21"/>
              </w:rPr>
            </w:pPr>
            <w:r>
              <w:rPr>
                <w:color w:val="000000"/>
                <w:sz w:val="21"/>
              </w:rPr>
              <w:t>0.54</w:t>
            </w:r>
          </w:p>
        </w:tc>
        <w:tc>
          <w:tcPr>
            <w:tcW w:w="583" w:type="pct"/>
            <w:tcBorders>
              <w:tl2br w:val="nil"/>
              <w:tr2bl w:val="nil"/>
            </w:tcBorders>
            <w:vAlign w:val="center"/>
          </w:tcPr>
          <w:p w14:paraId="1A900506">
            <w:pPr>
              <w:spacing w:line="320" w:lineRule="exact"/>
              <w:jc w:val="center"/>
              <w:rPr>
                <w:color w:val="000000"/>
                <w:sz w:val="21"/>
              </w:rPr>
            </w:pPr>
            <w:r>
              <w:rPr>
                <w:color w:val="000000"/>
                <w:sz w:val="21"/>
              </w:rPr>
              <w:t>199.8</w:t>
            </w:r>
          </w:p>
        </w:tc>
        <w:tc>
          <w:tcPr>
            <w:tcW w:w="733" w:type="pct"/>
            <w:tcBorders>
              <w:tl2br w:val="nil"/>
              <w:tr2bl w:val="nil"/>
            </w:tcBorders>
            <w:vAlign w:val="center"/>
          </w:tcPr>
          <w:p w14:paraId="6F2E1ABB">
            <w:pPr>
              <w:spacing w:line="320" w:lineRule="exact"/>
              <w:jc w:val="center"/>
              <w:rPr>
                <w:color w:val="000000"/>
                <w:sz w:val="21"/>
              </w:rPr>
            </w:pPr>
            <w:r>
              <w:rPr>
                <w:color w:val="000000"/>
                <w:sz w:val="21"/>
              </w:rPr>
              <w:t>179.82</w:t>
            </w:r>
          </w:p>
        </w:tc>
        <w:tc>
          <w:tcPr>
            <w:tcW w:w="749" w:type="pct"/>
            <w:tcBorders>
              <w:tl2br w:val="nil"/>
              <w:tr2bl w:val="nil"/>
            </w:tcBorders>
            <w:vAlign w:val="center"/>
          </w:tcPr>
          <w:p w14:paraId="17FCF935">
            <w:pPr>
              <w:spacing w:line="320" w:lineRule="exact"/>
              <w:jc w:val="center"/>
              <w:rPr>
                <w:color w:val="000000"/>
                <w:sz w:val="21"/>
              </w:rPr>
            </w:pPr>
            <w:r>
              <w:rPr>
                <w:bCs/>
                <w:color w:val="000000"/>
                <w:sz w:val="21"/>
              </w:rPr>
              <w:t>生活污水</w:t>
            </w:r>
            <w:r>
              <w:rPr>
                <w:color w:val="000000"/>
                <w:sz w:val="21"/>
              </w:rPr>
              <w:t>依托LNG工厂现有化粪池处理</w:t>
            </w:r>
          </w:p>
        </w:tc>
      </w:tr>
      <w:tr w14:paraId="14E6FD0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235" w:type="pct"/>
            <w:tcBorders>
              <w:tl2br w:val="nil"/>
              <w:tr2bl w:val="nil"/>
            </w:tcBorders>
            <w:vAlign w:val="center"/>
          </w:tcPr>
          <w:p w14:paraId="7F9EC564">
            <w:pPr>
              <w:spacing w:line="320" w:lineRule="exact"/>
              <w:jc w:val="center"/>
              <w:rPr>
                <w:color w:val="000000"/>
                <w:sz w:val="21"/>
              </w:rPr>
            </w:pPr>
            <w:r>
              <w:rPr>
                <w:color w:val="000000"/>
                <w:sz w:val="21"/>
              </w:rPr>
              <w:t>2</w:t>
            </w:r>
          </w:p>
        </w:tc>
        <w:tc>
          <w:tcPr>
            <w:tcW w:w="686" w:type="pct"/>
            <w:tcBorders>
              <w:tl2br w:val="nil"/>
              <w:tr2bl w:val="nil"/>
            </w:tcBorders>
            <w:vAlign w:val="center"/>
          </w:tcPr>
          <w:p w14:paraId="2CE7AD6B">
            <w:pPr>
              <w:spacing w:line="320" w:lineRule="exact"/>
              <w:jc w:val="center"/>
              <w:rPr>
                <w:color w:val="000000"/>
                <w:sz w:val="21"/>
              </w:rPr>
            </w:pPr>
            <w:r>
              <w:rPr>
                <w:color w:val="000000"/>
                <w:sz w:val="21"/>
              </w:rPr>
              <w:t>生产</w:t>
            </w:r>
          </w:p>
        </w:tc>
        <w:tc>
          <w:tcPr>
            <w:tcW w:w="424" w:type="pct"/>
            <w:tcBorders>
              <w:tl2br w:val="nil"/>
              <w:tr2bl w:val="nil"/>
            </w:tcBorders>
            <w:vAlign w:val="center"/>
          </w:tcPr>
          <w:p w14:paraId="48B9FA78">
            <w:pPr>
              <w:spacing w:line="320" w:lineRule="exact"/>
              <w:jc w:val="center"/>
              <w:rPr>
                <w:color w:val="000000"/>
                <w:sz w:val="21"/>
              </w:rPr>
            </w:pPr>
            <w:r>
              <w:rPr>
                <w:color w:val="000000"/>
                <w:sz w:val="21"/>
              </w:rPr>
              <w:t>/</w:t>
            </w:r>
          </w:p>
        </w:tc>
        <w:tc>
          <w:tcPr>
            <w:tcW w:w="448" w:type="pct"/>
            <w:tcBorders>
              <w:tl2br w:val="nil"/>
              <w:tr2bl w:val="nil"/>
            </w:tcBorders>
            <w:vAlign w:val="center"/>
          </w:tcPr>
          <w:p w14:paraId="0F17278A">
            <w:pPr>
              <w:spacing w:line="320" w:lineRule="exact"/>
              <w:jc w:val="center"/>
              <w:rPr>
                <w:color w:val="000000"/>
                <w:sz w:val="21"/>
              </w:rPr>
            </w:pPr>
            <w:r>
              <w:rPr>
                <w:color w:val="000000"/>
                <w:sz w:val="21"/>
              </w:rPr>
              <w:t>/</w:t>
            </w:r>
          </w:p>
        </w:tc>
        <w:tc>
          <w:tcPr>
            <w:tcW w:w="569" w:type="pct"/>
            <w:tcBorders>
              <w:tl2br w:val="nil"/>
              <w:tr2bl w:val="nil"/>
            </w:tcBorders>
            <w:vAlign w:val="center"/>
          </w:tcPr>
          <w:p w14:paraId="5916A4A5">
            <w:pPr>
              <w:spacing w:line="320" w:lineRule="exact"/>
              <w:jc w:val="center"/>
              <w:rPr>
                <w:color w:val="000000"/>
                <w:sz w:val="21"/>
              </w:rPr>
            </w:pPr>
            <w:r>
              <w:rPr>
                <w:color w:val="000000"/>
                <w:sz w:val="21"/>
              </w:rPr>
              <w:t>/</w:t>
            </w:r>
          </w:p>
        </w:tc>
        <w:tc>
          <w:tcPr>
            <w:tcW w:w="569" w:type="pct"/>
            <w:tcBorders>
              <w:tl2br w:val="nil"/>
              <w:tr2bl w:val="nil"/>
            </w:tcBorders>
            <w:vAlign w:val="center"/>
          </w:tcPr>
          <w:p w14:paraId="78CCB3E8">
            <w:pPr>
              <w:spacing w:line="320" w:lineRule="exact"/>
              <w:jc w:val="center"/>
              <w:rPr>
                <w:color w:val="000000"/>
                <w:sz w:val="21"/>
              </w:rPr>
            </w:pPr>
            <w:r>
              <w:rPr>
                <w:color w:val="000000"/>
                <w:sz w:val="21"/>
              </w:rPr>
              <w:t>0.1344</w:t>
            </w:r>
          </w:p>
        </w:tc>
        <w:tc>
          <w:tcPr>
            <w:tcW w:w="583" w:type="pct"/>
            <w:tcBorders>
              <w:tl2br w:val="nil"/>
              <w:tr2bl w:val="nil"/>
            </w:tcBorders>
            <w:vAlign w:val="center"/>
          </w:tcPr>
          <w:p w14:paraId="4E64965B">
            <w:pPr>
              <w:spacing w:line="320" w:lineRule="exact"/>
              <w:jc w:val="center"/>
              <w:rPr>
                <w:color w:val="000000"/>
                <w:sz w:val="21"/>
              </w:rPr>
            </w:pPr>
            <w:r>
              <w:rPr>
                <w:color w:val="000000"/>
                <w:sz w:val="21"/>
              </w:rPr>
              <w:t>/</w:t>
            </w:r>
          </w:p>
        </w:tc>
        <w:tc>
          <w:tcPr>
            <w:tcW w:w="733" w:type="pct"/>
            <w:tcBorders>
              <w:tl2br w:val="nil"/>
              <w:tr2bl w:val="nil"/>
            </w:tcBorders>
            <w:vAlign w:val="center"/>
          </w:tcPr>
          <w:p w14:paraId="34A929FB">
            <w:pPr>
              <w:jc w:val="center"/>
              <w:rPr>
                <w:color w:val="000000"/>
                <w:sz w:val="21"/>
              </w:rPr>
            </w:pPr>
            <w:r>
              <w:rPr>
                <w:color w:val="000000"/>
                <w:sz w:val="21"/>
              </w:rPr>
              <w:t>44.76</w:t>
            </w:r>
          </w:p>
        </w:tc>
        <w:tc>
          <w:tcPr>
            <w:tcW w:w="749" w:type="pct"/>
            <w:tcBorders>
              <w:tl2br w:val="nil"/>
              <w:tr2bl w:val="nil"/>
            </w:tcBorders>
            <w:vAlign w:val="center"/>
          </w:tcPr>
          <w:p w14:paraId="049E2B52">
            <w:pPr>
              <w:spacing w:line="320" w:lineRule="exact"/>
              <w:jc w:val="center"/>
              <w:rPr>
                <w:bCs/>
                <w:color w:val="000000"/>
                <w:sz w:val="21"/>
              </w:rPr>
            </w:pPr>
            <w:r>
              <w:rPr>
                <w:color w:val="000000"/>
                <w:sz w:val="21"/>
              </w:rPr>
              <w:t>生产废水依托LNG工厂现有生产废水池处理</w:t>
            </w:r>
          </w:p>
        </w:tc>
      </w:tr>
      <w:tr w14:paraId="40579E4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235" w:type="pct"/>
            <w:tcBorders>
              <w:tl2br w:val="nil"/>
              <w:tr2bl w:val="nil"/>
            </w:tcBorders>
            <w:vAlign w:val="center"/>
          </w:tcPr>
          <w:p w14:paraId="32DD7288">
            <w:pPr>
              <w:spacing w:line="320" w:lineRule="exact"/>
              <w:jc w:val="center"/>
              <w:rPr>
                <w:color w:val="000000"/>
                <w:sz w:val="21"/>
              </w:rPr>
            </w:pPr>
            <w:r>
              <w:rPr>
                <w:color w:val="000000"/>
                <w:sz w:val="21"/>
              </w:rPr>
              <w:t>3</w:t>
            </w:r>
          </w:p>
        </w:tc>
        <w:tc>
          <w:tcPr>
            <w:tcW w:w="686" w:type="pct"/>
            <w:tcBorders>
              <w:tl2br w:val="nil"/>
              <w:tr2bl w:val="nil"/>
            </w:tcBorders>
            <w:vAlign w:val="center"/>
          </w:tcPr>
          <w:p w14:paraId="4DDF0DBF">
            <w:pPr>
              <w:spacing w:line="320" w:lineRule="exact"/>
              <w:jc w:val="center"/>
              <w:rPr>
                <w:color w:val="000000"/>
                <w:sz w:val="21"/>
              </w:rPr>
            </w:pPr>
            <w:r>
              <w:rPr>
                <w:color w:val="000000"/>
                <w:sz w:val="21"/>
              </w:rPr>
              <w:t>冷却循环水</w:t>
            </w:r>
          </w:p>
        </w:tc>
        <w:tc>
          <w:tcPr>
            <w:tcW w:w="872" w:type="pct"/>
            <w:gridSpan w:val="2"/>
            <w:tcBorders>
              <w:tl2br w:val="nil"/>
              <w:tr2bl w:val="nil"/>
            </w:tcBorders>
            <w:vAlign w:val="center"/>
          </w:tcPr>
          <w:p w14:paraId="0A4AD460">
            <w:pPr>
              <w:spacing w:line="320" w:lineRule="exact"/>
              <w:jc w:val="center"/>
              <w:rPr>
                <w:color w:val="000000"/>
                <w:sz w:val="21"/>
              </w:rPr>
            </w:pPr>
            <w:r>
              <w:rPr>
                <w:color w:val="000000"/>
                <w:sz w:val="21"/>
              </w:rPr>
              <w:t>循环水量为12.89m</w:t>
            </w:r>
            <w:r>
              <w:rPr>
                <w:color w:val="000000"/>
                <w:sz w:val="21"/>
                <w:vertAlign w:val="superscript"/>
              </w:rPr>
              <w:t>3</w:t>
            </w:r>
            <w:r>
              <w:rPr>
                <w:color w:val="000000"/>
                <w:sz w:val="21"/>
              </w:rPr>
              <w:t>/h，补充水量为循环水量的1.5%，排放量为循环水量的0.1%</w:t>
            </w:r>
          </w:p>
        </w:tc>
        <w:tc>
          <w:tcPr>
            <w:tcW w:w="569" w:type="pct"/>
            <w:tcBorders>
              <w:tl2br w:val="nil"/>
              <w:tr2bl w:val="nil"/>
            </w:tcBorders>
            <w:vAlign w:val="center"/>
          </w:tcPr>
          <w:p w14:paraId="2507D201">
            <w:pPr>
              <w:spacing w:line="320" w:lineRule="exact"/>
              <w:jc w:val="center"/>
              <w:rPr>
                <w:color w:val="000000"/>
                <w:sz w:val="21"/>
              </w:rPr>
            </w:pPr>
            <w:r>
              <w:rPr>
                <w:color w:val="000000"/>
                <w:sz w:val="21"/>
              </w:rPr>
              <w:t>4.64</w:t>
            </w:r>
          </w:p>
        </w:tc>
        <w:tc>
          <w:tcPr>
            <w:tcW w:w="569" w:type="pct"/>
            <w:tcBorders>
              <w:tl2br w:val="nil"/>
              <w:tr2bl w:val="nil"/>
            </w:tcBorders>
            <w:vAlign w:val="center"/>
          </w:tcPr>
          <w:p w14:paraId="66C8B4D1">
            <w:pPr>
              <w:spacing w:line="320" w:lineRule="exact"/>
              <w:jc w:val="center"/>
              <w:rPr>
                <w:color w:val="000000"/>
                <w:sz w:val="21"/>
              </w:rPr>
            </w:pPr>
            <w:r>
              <w:rPr>
                <w:color w:val="000000"/>
                <w:sz w:val="21"/>
              </w:rPr>
              <w:t>0.309</w:t>
            </w:r>
          </w:p>
        </w:tc>
        <w:tc>
          <w:tcPr>
            <w:tcW w:w="583" w:type="pct"/>
            <w:tcBorders>
              <w:tl2br w:val="nil"/>
              <w:tr2bl w:val="nil"/>
            </w:tcBorders>
            <w:vAlign w:val="center"/>
          </w:tcPr>
          <w:p w14:paraId="7F7B8202">
            <w:pPr>
              <w:spacing w:line="320" w:lineRule="exact"/>
              <w:jc w:val="center"/>
              <w:rPr>
                <w:color w:val="000000"/>
                <w:sz w:val="21"/>
              </w:rPr>
            </w:pPr>
            <w:r>
              <w:rPr>
                <w:color w:val="000000"/>
                <w:sz w:val="21"/>
              </w:rPr>
              <w:t>1545.12</w:t>
            </w:r>
          </w:p>
        </w:tc>
        <w:tc>
          <w:tcPr>
            <w:tcW w:w="733" w:type="pct"/>
            <w:tcBorders>
              <w:tl2br w:val="nil"/>
              <w:tr2bl w:val="nil"/>
            </w:tcBorders>
            <w:vAlign w:val="center"/>
          </w:tcPr>
          <w:p w14:paraId="7CF84F39">
            <w:pPr>
              <w:spacing w:line="320" w:lineRule="exact"/>
              <w:jc w:val="center"/>
              <w:rPr>
                <w:color w:val="000000"/>
                <w:sz w:val="21"/>
              </w:rPr>
            </w:pPr>
            <w:r>
              <w:rPr>
                <w:color w:val="000000"/>
                <w:sz w:val="21"/>
              </w:rPr>
              <w:t>102.90</w:t>
            </w:r>
          </w:p>
        </w:tc>
        <w:tc>
          <w:tcPr>
            <w:tcW w:w="749" w:type="pct"/>
            <w:tcBorders>
              <w:tl2br w:val="nil"/>
              <w:tr2bl w:val="nil"/>
            </w:tcBorders>
            <w:vAlign w:val="center"/>
          </w:tcPr>
          <w:p w14:paraId="2AB93013">
            <w:pPr>
              <w:jc w:val="center"/>
              <w:rPr>
                <w:color w:val="000000"/>
                <w:sz w:val="21"/>
              </w:rPr>
            </w:pPr>
            <w:r>
              <w:rPr>
                <w:color w:val="000000"/>
                <w:sz w:val="21"/>
              </w:rPr>
              <w:t>依托LNG工厂循环水系统的排水管道排入雨水管网</w:t>
            </w:r>
          </w:p>
        </w:tc>
      </w:tr>
      <w:tr w14:paraId="7E8EE60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center"/>
        </w:trPr>
        <w:tc>
          <w:tcPr>
            <w:tcW w:w="1795" w:type="pct"/>
            <w:gridSpan w:val="4"/>
            <w:tcBorders>
              <w:tl2br w:val="nil"/>
              <w:tr2bl w:val="nil"/>
            </w:tcBorders>
            <w:vAlign w:val="center"/>
          </w:tcPr>
          <w:p w14:paraId="7D2B303F">
            <w:pPr>
              <w:spacing w:line="320" w:lineRule="exact"/>
              <w:jc w:val="center"/>
              <w:rPr>
                <w:color w:val="000000"/>
                <w:sz w:val="21"/>
              </w:rPr>
            </w:pPr>
            <w:r>
              <w:rPr>
                <w:color w:val="000000"/>
                <w:sz w:val="21"/>
              </w:rPr>
              <w:t>合计</w:t>
            </w:r>
          </w:p>
        </w:tc>
        <w:tc>
          <w:tcPr>
            <w:tcW w:w="569" w:type="pct"/>
            <w:tcBorders>
              <w:tl2br w:val="nil"/>
              <w:tr2bl w:val="nil"/>
            </w:tcBorders>
            <w:vAlign w:val="center"/>
          </w:tcPr>
          <w:p w14:paraId="738DBDAC">
            <w:pPr>
              <w:spacing w:line="320" w:lineRule="exact"/>
              <w:jc w:val="center"/>
              <w:rPr>
                <w:color w:val="000000"/>
                <w:sz w:val="21"/>
              </w:rPr>
            </w:pPr>
            <w:r>
              <w:rPr>
                <w:color w:val="000000"/>
                <w:sz w:val="21"/>
              </w:rPr>
              <w:t>5.24</w:t>
            </w:r>
          </w:p>
        </w:tc>
        <w:tc>
          <w:tcPr>
            <w:tcW w:w="569" w:type="pct"/>
            <w:tcBorders>
              <w:tl2br w:val="nil"/>
              <w:tr2bl w:val="nil"/>
            </w:tcBorders>
            <w:vAlign w:val="center"/>
          </w:tcPr>
          <w:p w14:paraId="6F81C595">
            <w:pPr>
              <w:spacing w:line="320" w:lineRule="exact"/>
              <w:jc w:val="center"/>
              <w:rPr>
                <w:color w:val="000000"/>
                <w:sz w:val="21"/>
              </w:rPr>
            </w:pPr>
            <w:r>
              <w:rPr>
                <w:color w:val="000000"/>
                <w:sz w:val="21"/>
              </w:rPr>
              <w:t>0.9834</w:t>
            </w:r>
          </w:p>
        </w:tc>
        <w:tc>
          <w:tcPr>
            <w:tcW w:w="583" w:type="pct"/>
            <w:tcBorders>
              <w:tl2br w:val="nil"/>
              <w:tr2bl w:val="nil"/>
            </w:tcBorders>
            <w:vAlign w:val="center"/>
          </w:tcPr>
          <w:p w14:paraId="051AE39E">
            <w:pPr>
              <w:spacing w:line="320" w:lineRule="exact"/>
              <w:jc w:val="center"/>
              <w:rPr>
                <w:color w:val="000000"/>
                <w:sz w:val="21"/>
              </w:rPr>
            </w:pPr>
            <w:r>
              <w:rPr>
                <w:color w:val="000000"/>
                <w:sz w:val="21"/>
              </w:rPr>
              <w:t>1744.92</w:t>
            </w:r>
          </w:p>
        </w:tc>
        <w:tc>
          <w:tcPr>
            <w:tcW w:w="733" w:type="pct"/>
            <w:tcBorders>
              <w:tl2br w:val="nil"/>
              <w:tr2bl w:val="nil"/>
            </w:tcBorders>
            <w:vAlign w:val="center"/>
          </w:tcPr>
          <w:p w14:paraId="14051AD9">
            <w:pPr>
              <w:spacing w:line="320" w:lineRule="exact"/>
              <w:jc w:val="center"/>
              <w:rPr>
                <w:color w:val="000000"/>
                <w:sz w:val="21"/>
              </w:rPr>
            </w:pPr>
            <w:r>
              <w:rPr>
                <w:color w:val="000000"/>
                <w:sz w:val="21"/>
              </w:rPr>
              <w:t>327.48（其中102.90排入雨水管网，224.58排入污水管网）</w:t>
            </w:r>
          </w:p>
        </w:tc>
        <w:tc>
          <w:tcPr>
            <w:tcW w:w="749" w:type="pct"/>
            <w:tcBorders>
              <w:tl2br w:val="nil"/>
              <w:tr2bl w:val="nil"/>
            </w:tcBorders>
            <w:vAlign w:val="center"/>
          </w:tcPr>
          <w:p w14:paraId="38C876C5">
            <w:pPr>
              <w:jc w:val="center"/>
              <w:rPr>
                <w:color w:val="000000"/>
                <w:sz w:val="21"/>
              </w:rPr>
            </w:pPr>
            <w:r>
              <w:rPr>
                <w:color w:val="000000"/>
                <w:sz w:val="21"/>
              </w:rPr>
              <w:t>/</w:t>
            </w:r>
          </w:p>
        </w:tc>
      </w:tr>
    </w:tbl>
    <w:p w14:paraId="707BD59B">
      <w:pPr>
        <w:pStyle w:val="31"/>
        <w:rPr>
          <w:color w:val="000000"/>
          <w:sz w:val="21"/>
          <w:szCs w:val="21"/>
        </w:rPr>
      </w:pPr>
      <w:r>
        <w:rPr>
          <w:color w:val="000000"/>
          <w:sz w:val="21"/>
          <w:szCs w:val="21"/>
        </w:rPr>
        <w:t>备注：工作时间24h/d，333d/a。</w:t>
      </w:r>
    </w:p>
    <w:p w14:paraId="7FA7DFC1">
      <w:pPr>
        <w:pStyle w:val="9"/>
        <w:tabs>
          <w:tab w:val="left" w:pos="0"/>
          <w:tab w:val="left" w:pos="1418"/>
        </w:tabs>
        <w:rPr>
          <w:b w:val="0"/>
          <w:bCs/>
          <w:color w:val="000000"/>
          <w:szCs w:val="24"/>
        </w:rPr>
      </w:pPr>
      <w:r>
        <w:rPr>
          <w:b w:val="0"/>
          <w:bCs/>
          <w:color w:val="000000"/>
          <w:szCs w:val="24"/>
        </w:rPr>
        <w:t>3.1.5.2供电</w:t>
      </w:r>
    </w:p>
    <w:p w14:paraId="06E1B867">
      <w:pPr>
        <w:ind w:firstLine="480"/>
        <w:rPr>
          <w:color w:val="000000"/>
          <w:szCs w:val="24"/>
        </w:rPr>
      </w:pPr>
      <w:r>
        <w:rPr>
          <w:color w:val="000000"/>
          <w:szCs w:val="24"/>
        </w:rPr>
        <w:t>本项目年耗电量约1219×10</w:t>
      </w:r>
      <w:r>
        <w:rPr>
          <w:color w:val="000000"/>
          <w:szCs w:val="24"/>
          <w:vertAlign w:val="superscript"/>
        </w:rPr>
        <w:t>4</w:t>
      </w:r>
      <w:r>
        <w:rPr>
          <w:color w:val="000000"/>
          <w:szCs w:val="24"/>
        </w:rPr>
        <w:t>kWh，新增高低压配电柜放置在LNG工厂已有配电室内，电源分别引自该配电室10KV及0.38KV配电系统，且上级配电系统应能满足本项目100%用电需求。</w:t>
      </w:r>
    </w:p>
    <w:p w14:paraId="78926656">
      <w:pPr>
        <w:pStyle w:val="9"/>
        <w:tabs>
          <w:tab w:val="left" w:pos="0"/>
          <w:tab w:val="left" w:pos="1418"/>
        </w:tabs>
        <w:rPr>
          <w:b w:val="0"/>
          <w:bCs/>
          <w:color w:val="000000"/>
          <w:szCs w:val="24"/>
        </w:rPr>
      </w:pPr>
      <w:r>
        <w:rPr>
          <w:b w:val="0"/>
          <w:bCs/>
          <w:color w:val="000000"/>
          <w:szCs w:val="24"/>
        </w:rPr>
        <w:t>3.1.5.3供气</w:t>
      </w:r>
    </w:p>
    <w:p w14:paraId="57BFFD83">
      <w:pPr>
        <w:ind w:firstLine="480" w:firstLineChars="200"/>
        <w:rPr>
          <w:color w:val="000000"/>
          <w:szCs w:val="24"/>
        </w:rPr>
      </w:pPr>
      <w:r>
        <w:rPr>
          <w:color w:val="000000"/>
          <w:szCs w:val="24"/>
        </w:rPr>
        <w:t>项目仪表空气主要用于各类仪表，正常用量约为120m</w:t>
      </w:r>
      <w:r>
        <w:rPr>
          <w:color w:val="000000"/>
          <w:szCs w:val="24"/>
          <w:vertAlign w:val="superscript"/>
        </w:rPr>
        <w:t>3</w:t>
      </w:r>
      <w:r>
        <w:rPr>
          <w:color w:val="000000"/>
          <w:szCs w:val="24"/>
        </w:rPr>
        <w:t>/h，最大使用量125m</w:t>
      </w:r>
      <w:r>
        <w:rPr>
          <w:color w:val="000000"/>
          <w:szCs w:val="24"/>
          <w:vertAlign w:val="superscript"/>
        </w:rPr>
        <w:t>3</w:t>
      </w:r>
      <w:r>
        <w:rPr>
          <w:color w:val="000000"/>
          <w:szCs w:val="24"/>
        </w:rPr>
        <w:t>/h，由LNG工厂现有的空气压缩机房供给。现有空气压缩机房设置有3台空压机，2用1备，其中2台1500Nm</w:t>
      </w:r>
      <w:r>
        <w:rPr>
          <w:color w:val="000000"/>
          <w:szCs w:val="24"/>
          <w:vertAlign w:val="superscript"/>
        </w:rPr>
        <w:t>3</w:t>
      </w:r>
      <w:r>
        <w:rPr>
          <w:color w:val="000000"/>
          <w:szCs w:val="24"/>
        </w:rPr>
        <w:t>/h空压机，1台1100m</w:t>
      </w:r>
      <w:r>
        <w:rPr>
          <w:color w:val="000000"/>
          <w:szCs w:val="24"/>
          <w:vertAlign w:val="superscript"/>
        </w:rPr>
        <w:t>3</w:t>
      </w:r>
      <w:r>
        <w:rPr>
          <w:color w:val="000000"/>
          <w:szCs w:val="24"/>
        </w:rPr>
        <w:t>/h，现有LNG工厂实际用气量为1800Nm</w:t>
      </w:r>
      <w:r>
        <w:rPr>
          <w:color w:val="000000"/>
          <w:szCs w:val="24"/>
          <w:vertAlign w:val="superscript"/>
        </w:rPr>
        <w:t>3</w:t>
      </w:r>
      <w:r>
        <w:rPr>
          <w:color w:val="000000"/>
          <w:szCs w:val="24"/>
        </w:rPr>
        <w:t>/h，目前富余约1200Nm</w:t>
      </w:r>
      <w:r>
        <w:rPr>
          <w:color w:val="000000"/>
          <w:szCs w:val="24"/>
          <w:vertAlign w:val="superscript"/>
        </w:rPr>
        <w:t>3</w:t>
      </w:r>
      <w:r>
        <w:rPr>
          <w:color w:val="000000"/>
          <w:szCs w:val="24"/>
        </w:rPr>
        <w:t>/h，可满足本项目仪表空气用气需求。</w:t>
      </w:r>
    </w:p>
    <w:p w14:paraId="4AE970BD">
      <w:pPr>
        <w:pStyle w:val="9"/>
        <w:tabs>
          <w:tab w:val="left" w:pos="0"/>
          <w:tab w:val="left" w:pos="1418"/>
        </w:tabs>
        <w:rPr>
          <w:b w:val="0"/>
          <w:bCs/>
          <w:color w:val="000000"/>
          <w:szCs w:val="24"/>
        </w:rPr>
      </w:pPr>
      <w:r>
        <w:rPr>
          <w:b w:val="0"/>
          <w:bCs/>
          <w:color w:val="000000"/>
          <w:szCs w:val="24"/>
        </w:rPr>
        <w:t>3.1.5.4消防</w:t>
      </w:r>
    </w:p>
    <w:p w14:paraId="1F268BB2">
      <w:pPr>
        <w:ind w:firstLine="480"/>
        <w:rPr>
          <w:color w:val="000000"/>
          <w:szCs w:val="24"/>
        </w:rPr>
      </w:pPr>
      <w:r>
        <w:rPr>
          <w:color w:val="000000"/>
          <w:szCs w:val="24"/>
        </w:rPr>
        <w:t>根据《建筑设计防火规范》（GB 50016-2014）和《石油化工企业设计防火标准》（GB 50160-2008）（2018修订）规定，厂区消防用水量应按同一时间内火灾次数和最大一次灭火用水量确定。本工程消防用水量按工艺装置区一次灭火用水量计算。</w:t>
      </w:r>
    </w:p>
    <w:p w14:paraId="4D857FC0">
      <w:pPr>
        <w:ind w:firstLine="480"/>
        <w:rPr>
          <w:color w:val="000000"/>
        </w:rPr>
      </w:pPr>
      <w:r>
        <w:rPr>
          <w:color w:val="000000"/>
          <w:szCs w:val="24"/>
        </w:rPr>
        <w:t>本工程为BOG提氦项目，BOG的主要组分为氮气、甲烷，根据《石油化工企业设计防火标准》（GB 50160-2008）（2018修订）第8.4.3条第1款，对其生产规模、火灾危险类别进行分析，本项目装置区消防用水量可参考《石油天然气工程设计防火规范》（GB 50183-2004）中五级天然气净化厂装置区消防用水量计算，消火栓一次消防用水量为30L/S，本项目火灾延续供水时间按3h计算，则一次消防用水量为324m</w:t>
      </w:r>
      <w:r>
        <w:rPr>
          <w:color w:val="000000"/>
          <w:szCs w:val="24"/>
          <w:vertAlign w:val="superscript"/>
        </w:rPr>
        <w:t>3</w:t>
      </w:r>
      <w:r>
        <w:rPr>
          <w:color w:val="000000"/>
          <w:szCs w:val="24"/>
        </w:rPr>
        <w:t>。</w:t>
      </w:r>
    </w:p>
    <w:p w14:paraId="6245D7A5">
      <w:pPr>
        <w:pStyle w:val="771"/>
        <w:rPr>
          <w:b/>
          <w:bCs w:val="0"/>
          <w:color w:val="000000"/>
        </w:rPr>
      </w:pPr>
      <w:bookmarkStart w:id="215" w:name="_Toc472509288"/>
      <w:r>
        <w:rPr>
          <w:b/>
          <w:bCs w:val="0"/>
          <w:color w:val="000000"/>
        </w:rPr>
        <w:t>3.1.6 储运工程</w:t>
      </w:r>
      <w:bookmarkEnd w:id="215"/>
    </w:p>
    <w:p w14:paraId="6A3F6E48">
      <w:pPr>
        <w:pStyle w:val="72"/>
        <w:numPr>
          <w:ilvl w:val="0"/>
          <w:numId w:val="4"/>
        </w:numPr>
        <w:spacing w:after="0"/>
        <w:ind w:firstLine="480" w:firstLineChars="200"/>
        <w:rPr>
          <w:color w:val="000000"/>
          <w:kern w:val="2"/>
          <w:szCs w:val="24"/>
        </w:rPr>
      </w:pPr>
      <w:r>
        <w:rPr>
          <w:color w:val="000000"/>
          <w:kern w:val="2"/>
          <w:szCs w:val="24"/>
        </w:rPr>
        <w:t>液氧</w:t>
      </w:r>
      <w:r>
        <w:rPr>
          <w:color w:val="000000"/>
          <w:szCs w:val="24"/>
        </w:rPr>
        <w:t>储罐</w:t>
      </w:r>
    </w:p>
    <w:p w14:paraId="1FD96D67">
      <w:pPr>
        <w:pStyle w:val="72"/>
        <w:spacing w:after="0"/>
        <w:ind w:firstLine="480" w:firstLineChars="200"/>
        <w:rPr>
          <w:color w:val="000000"/>
          <w:kern w:val="2"/>
          <w:szCs w:val="24"/>
        </w:rPr>
      </w:pPr>
      <w:r>
        <w:rPr>
          <w:color w:val="000000"/>
          <w:szCs w:val="24"/>
        </w:rPr>
        <w:t>位于提氦装置区南侧，设置1个，容积10m</w:t>
      </w:r>
      <w:r>
        <w:rPr>
          <w:color w:val="000000"/>
          <w:szCs w:val="24"/>
          <w:vertAlign w:val="superscript"/>
        </w:rPr>
        <w:t>3</w:t>
      </w:r>
      <w:r>
        <w:rPr>
          <w:color w:val="000000"/>
          <w:szCs w:val="24"/>
        </w:rPr>
        <w:t>，用于工艺除氢。</w:t>
      </w:r>
    </w:p>
    <w:p w14:paraId="16A2EE07">
      <w:pPr>
        <w:pStyle w:val="72"/>
        <w:numPr>
          <w:ilvl w:val="0"/>
          <w:numId w:val="4"/>
        </w:numPr>
        <w:spacing w:after="0"/>
        <w:ind w:firstLine="480" w:firstLineChars="200"/>
        <w:rPr>
          <w:color w:val="000000"/>
          <w:kern w:val="2"/>
          <w:szCs w:val="24"/>
        </w:rPr>
      </w:pPr>
      <w:r>
        <w:rPr>
          <w:color w:val="000000"/>
          <w:kern w:val="2"/>
          <w:szCs w:val="24"/>
        </w:rPr>
        <w:t>液氮储罐</w:t>
      </w:r>
    </w:p>
    <w:p w14:paraId="5DF60F1E">
      <w:pPr>
        <w:pStyle w:val="72"/>
        <w:spacing w:after="0"/>
        <w:ind w:firstLine="480" w:firstLineChars="200"/>
        <w:rPr>
          <w:color w:val="000000"/>
          <w:kern w:val="2"/>
          <w:szCs w:val="24"/>
        </w:rPr>
      </w:pPr>
      <w:r>
        <w:rPr>
          <w:color w:val="000000"/>
          <w:szCs w:val="24"/>
        </w:rPr>
        <w:t>位于提氦装置区南侧，设置</w:t>
      </w:r>
      <w:r>
        <w:rPr>
          <w:color w:val="000000"/>
          <w:kern w:val="2"/>
          <w:szCs w:val="24"/>
        </w:rPr>
        <w:t>1个，容积50m</w:t>
      </w:r>
      <w:r>
        <w:rPr>
          <w:color w:val="000000"/>
          <w:kern w:val="2"/>
          <w:szCs w:val="24"/>
          <w:vertAlign w:val="superscript"/>
        </w:rPr>
        <w:t>3</w:t>
      </w:r>
      <w:r>
        <w:rPr>
          <w:color w:val="000000"/>
          <w:kern w:val="2"/>
          <w:szCs w:val="24"/>
        </w:rPr>
        <w:t>，用于生产系统再生气、置换氮气等，并为低温精制等工序提供冷量。</w:t>
      </w:r>
    </w:p>
    <w:p w14:paraId="210A9DA1">
      <w:pPr>
        <w:pStyle w:val="2"/>
        <w:widowControl w:val="0"/>
        <w:spacing w:after="0" w:line="360" w:lineRule="auto"/>
        <w:ind w:left="0" w:leftChars="0" w:firstLine="480"/>
        <w:rPr>
          <w:rFonts w:ascii="Times New Roman" w:hAnsi="Times New Roman" w:cs="Times New Roman"/>
          <w:color w:val="000000"/>
          <w:kern w:val="2"/>
          <w:sz w:val="24"/>
        </w:rPr>
      </w:pPr>
      <w:r>
        <w:rPr>
          <w:rFonts w:ascii="Times New Roman" w:hAnsi="Times New Roman" w:cs="Times New Roman"/>
          <w:color w:val="000000"/>
          <w:kern w:val="2"/>
          <w:sz w:val="24"/>
        </w:rPr>
        <w:t>（3）钢瓶间</w:t>
      </w:r>
    </w:p>
    <w:p w14:paraId="3210D57D">
      <w:pPr>
        <w:pStyle w:val="2"/>
        <w:widowControl w:val="0"/>
        <w:spacing w:after="0" w:line="360" w:lineRule="auto"/>
        <w:ind w:left="0" w:leftChars="0" w:firstLine="480"/>
        <w:rPr>
          <w:rFonts w:ascii="Times New Roman" w:hAnsi="Times New Roman" w:cs="Times New Roman"/>
          <w:color w:val="000000"/>
          <w:kern w:val="2"/>
          <w:sz w:val="24"/>
        </w:rPr>
      </w:pPr>
      <w:r>
        <w:rPr>
          <w:rFonts w:ascii="Times New Roman" w:hAnsi="Times New Roman" w:cs="Times New Roman"/>
          <w:color w:val="000000"/>
          <w:kern w:val="2"/>
          <w:sz w:val="24"/>
        </w:rPr>
        <w:t>面积约25m</w:t>
      </w:r>
      <w:r>
        <w:rPr>
          <w:rFonts w:ascii="Times New Roman" w:hAnsi="Times New Roman" w:cs="Times New Roman"/>
          <w:color w:val="000000"/>
          <w:kern w:val="2"/>
          <w:sz w:val="24"/>
          <w:vertAlign w:val="superscript"/>
        </w:rPr>
        <w:t>2</w:t>
      </w:r>
      <w:r>
        <w:rPr>
          <w:rFonts w:ascii="Times New Roman" w:hAnsi="Times New Roman" w:cs="Times New Roman"/>
          <w:color w:val="000000"/>
          <w:kern w:val="2"/>
          <w:sz w:val="24"/>
        </w:rPr>
        <w:t>，设192个氦气钢瓶，单个容积约50L（直径约229mm、高度约1.25m），用于充装氦气。</w:t>
      </w:r>
    </w:p>
    <w:p w14:paraId="4D7ABA9E">
      <w:pPr>
        <w:pStyle w:val="2"/>
        <w:widowControl w:val="0"/>
        <w:spacing w:after="0" w:line="360" w:lineRule="auto"/>
        <w:ind w:left="0" w:leftChars="0" w:firstLine="480"/>
        <w:rPr>
          <w:rFonts w:ascii="Times New Roman" w:hAnsi="Times New Roman" w:cs="Times New Roman"/>
          <w:color w:val="000000"/>
          <w:kern w:val="2"/>
          <w:sz w:val="24"/>
        </w:rPr>
      </w:pPr>
      <w:r>
        <w:rPr>
          <w:rFonts w:ascii="Times New Roman" w:hAnsi="Times New Roman" w:cs="Times New Roman"/>
          <w:color w:val="000000"/>
          <w:kern w:val="2"/>
          <w:sz w:val="24"/>
        </w:rPr>
        <w:t>（4）氦气回收罐</w:t>
      </w:r>
    </w:p>
    <w:p w14:paraId="5BC87BDE">
      <w:pPr>
        <w:pStyle w:val="2"/>
        <w:widowControl w:val="0"/>
        <w:spacing w:after="0" w:line="360" w:lineRule="auto"/>
        <w:ind w:left="0" w:leftChars="0" w:firstLine="480"/>
        <w:rPr>
          <w:rFonts w:ascii="Times New Roman" w:hAnsi="Times New Roman" w:cs="Times New Roman"/>
          <w:color w:val="000000"/>
          <w:kern w:val="2"/>
          <w:sz w:val="24"/>
        </w:rPr>
      </w:pPr>
      <w:r>
        <w:rPr>
          <w:rFonts w:ascii="Times New Roman" w:hAnsi="Times New Roman" w:cs="Times New Roman"/>
          <w:color w:val="000000"/>
          <w:kern w:val="2"/>
          <w:sz w:val="24"/>
        </w:rPr>
        <w:t>在压缩机区内设1个氦气回收罐，回收装瓶及装车放空氦气，有效容积约3.5m</w:t>
      </w:r>
      <w:r>
        <w:rPr>
          <w:rFonts w:ascii="Times New Roman" w:hAnsi="Times New Roman" w:cs="Times New Roman"/>
          <w:color w:val="000000"/>
          <w:kern w:val="2"/>
          <w:sz w:val="24"/>
          <w:vertAlign w:val="superscript"/>
        </w:rPr>
        <w:t>3</w:t>
      </w:r>
      <w:r>
        <w:rPr>
          <w:rFonts w:ascii="Times New Roman" w:hAnsi="Times New Roman" w:cs="Times New Roman"/>
          <w:color w:val="000000"/>
          <w:kern w:val="2"/>
          <w:sz w:val="24"/>
        </w:rPr>
        <w:t>（操作压力0.8MPa，常温）。</w:t>
      </w:r>
    </w:p>
    <w:p w14:paraId="495AB692">
      <w:pPr>
        <w:pStyle w:val="2"/>
        <w:widowControl w:val="0"/>
        <w:spacing w:after="0" w:line="360" w:lineRule="auto"/>
        <w:ind w:left="0" w:leftChars="0" w:firstLine="480"/>
        <w:rPr>
          <w:rFonts w:ascii="Times New Roman" w:hAnsi="Times New Roman" w:cs="Times New Roman"/>
          <w:color w:val="000000"/>
          <w:kern w:val="2"/>
          <w:sz w:val="24"/>
        </w:rPr>
      </w:pPr>
      <w:r>
        <w:rPr>
          <w:rFonts w:ascii="Times New Roman" w:hAnsi="Times New Roman" w:cs="Times New Roman"/>
          <w:color w:val="000000"/>
          <w:kern w:val="2"/>
          <w:sz w:val="24"/>
        </w:rPr>
        <w:t>（5）停车区</w:t>
      </w:r>
    </w:p>
    <w:p w14:paraId="54B4560B">
      <w:pPr>
        <w:pStyle w:val="2"/>
        <w:widowControl w:val="0"/>
        <w:spacing w:after="0" w:line="360" w:lineRule="auto"/>
        <w:ind w:left="0" w:leftChars="0" w:firstLine="480"/>
        <w:rPr>
          <w:rFonts w:ascii="Times New Roman" w:hAnsi="Times New Roman" w:cs="Times New Roman"/>
          <w:color w:val="000000"/>
          <w:kern w:val="2"/>
          <w:sz w:val="24"/>
        </w:rPr>
      </w:pPr>
      <w:r>
        <w:rPr>
          <w:rFonts w:ascii="Times New Roman" w:hAnsi="Times New Roman" w:cs="Times New Roman"/>
          <w:color w:val="000000"/>
          <w:kern w:val="2"/>
          <w:sz w:val="24"/>
        </w:rPr>
        <w:t>1个，460m</w:t>
      </w:r>
      <w:r>
        <w:rPr>
          <w:rFonts w:ascii="Times New Roman" w:hAnsi="Times New Roman" w:cs="Times New Roman"/>
          <w:color w:val="000000"/>
          <w:kern w:val="2"/>
          <w:sz w:val="24"/>
          <w:vertAlign w:val="superscript"/>
        </w:rPr>
        <w:t>2</w:t>
      </w:r>
      <w:r>
        <w:rPr>
          <w:rFonts w:ascii="Times New Roman" w:hAnsi="Times New Roman" w:cs="Times New Roman"/>
          <w:color w:val="000000"/>
          <w:kern w:val="2"/>
          <w:sz w:val="24"/>
        </w:rPr>
        <w:t>，设置2个装车位，长管拖车外运。</w:t>
      </w:r>
    </w:p>
    <w:p w14:paraId="3F02DD80">
      <w:pPr>
        <w:pStyle w:val="2"/>
        <w:widowControl w:val="0"/>
        <w:spacing w:after="0" w:line="360" w:lineRule="auto"/>
        <w:ind w:left="0" w:leftChars="0" w:firstLine="480"/>
        <w:rPr>
          <w:rFonts w:ascii="Times New Roman" w:hAnsi="Times New Roman" w:cs="Times New Roman"/>
          <w:color w:val="000000"/>
          <w:kern w:val="2"/>
          <w:sz w:val="24"/>
        </w:rPr>
      </w:pPr>
      <w:r>
        <w:rPr>
          <w:rFonts w:ascii="Times New Roman" w:hAnsi="Times New Roman" w:cs="Times New Roman"/>
          <w:color w:val="000000"/>
          <w:kern w:val="2"/>
          <w:sz w:val="24"/>
        </w:rPr>
        <w:t>（6）物料输送管线</w:t>
      </w:r>
    </w:p>
    <w:p w14:paraId="1C4A16F1">
      <w:pPr>
        <w:pStyle w:val="2"/>
        <w:widowControl w:val="0"/>
        <w:spacing w:after="0" w:line="360" w:lineRule="auto"/>
        <w:ind w:left="0" w:leftChars="0" w:firstLine="480"/>
        <w:rPr>
          <w:rFonts w:ascii="Times New Roman" w:hAnsi="Times New Roman" w:cs="Times New Roman"/>
          <w:color w:val="000000"/>
          <w:kern w:val="2"/>
          <w:sz w:val="24"/>
        </w:rPr>
      </w:pPr>
      <w:r>
        <w:rPr>
          <w:rFonts w:ascii="Times New Roman" w:hAnsi="Times New Roman" w:cs="Times New Roman"/>
          <w:color w:val="000000"/>
          <w:kern w:val="2"/>
          <w:sz w:val="24"/>
        </w:rPr>
        <w:t>新建BOG尾气输送管线，沿现有管廊布置。</w:t>
      </w:r>
    </w:p>
    <w:p w14:paraId="3E0D2235">
      <w:pPr>
        <w:pStyle w:val="785"/>
        <w:outlineLvl w:val="2"/>
        <w:rPr>
          <w:b/>
          <w:bCs w:val="0"/>
          <w:color w:val="000000"/>
          <w:szCs w:val="24"/>
          <w:lang w:val="en-US"/>
        </w:rPr>
      </w:pPr>
      <w:r>
        <w:rPr>
          <w:b/>
          <w:bCs w:val="0"/>
          <w:color w:val="000000"/>
          <w:szCs w:val="24"/>
          <w:lang w:val="en-US"/>
        </w:rPr>
        <w:t>3.1.7主要生产设施设备</w:t>
      </w:r>
    </w:p>
    <w:p w14:paraId="4668CA79">
      <w:pPr>
        <w:ind w:firstLine="480"/>
        <w:rPr>
          <w:color w:val="000000"/>
          <w:szCs w:val="24"/>
        </w:rPr>
      </w:pPr>
      <w:r>
        <w:rPr>
          <w:color w:val="000000"/>
          <w:szCs w:val="24"/>
        </w:rPr>
        <w:t>本项目主要设施设备</w:t>
      </w:r>
      <w:r>
        <w:rPr>
          <w:rFonts w:hint="eastAsia"/>
          <w:color w:val="000000"/>
          <w:szCs w:val="24"/>
        </w:rPr>
        <w:t>略</w:t>
      </w:r>
      <w:r>
        <w:rPr>
          <w:color w:val="000000"/>
          <w:szCs w:val="24"/>
        </w:rPr>
        <w:t>。</w:t>
      </w:r>
    </w:p>
    <w:p w14:paraId="78B5E07F">
      <w:pPr>
        <w:pStyle w:val="2179"/>
        <w:spacing w:line="360" w:lineRule="auto"/>
        <w:ind w:firstLine="2520" w:firstLineChars="1200"/>
        <w:rPr>
          <w:color w:val="000000"/>
          <w:sz w:val="21"/>
          <w:szCs w:val="21"/>
        </w:rPr>
      </w:pPr>
    </w:p>
    <w:p w14:paraId="5282C368">
      <w:pPr>
        <w:pStyle w:val="2179"/>
        <w:spacing w:line="360" w:lineRule="auto"/>
        <w:ind w:firstLine="2520" w:firstLineChars="1200"/>
        <w:rPr>
          <w:color w:val="000000"/>
          <w:sz w:val="21"/>
          <w:szCs w:val="21"/>
        </w:rPr>
      </w:pPr>
    </w:p>
    <w:p w14:paraId="3FCC403C">
      <w:pPr>
        <w:pStyle w:val="2179"/>
        <w:spacing w:line="360" w:lineRule="auto"/>
        <w:ind w:firstLine="2520" w:firstLineChars="1200"/>
        <w:rPr>
          <w:color w:val="000000"/>
          <w:sz w:val="21"/>
          <w:szCs w:val="21"/>
        </w:rPr>
      </w:pPr>
    </w:p>
    <w:p w14:paraId="174486A4">
      <w:pPr>
        <w:pStyle w:val="2179"/>
        <w:spacing w:line="360" w:lineRule="auto"/>
        <w:ind w:firstLine="2520" w:firstLineChars="1200"/>
        <w:rPr>
          <w:color w:val="000000"/>
          <w:sz w:val="21"/>
          <w:szCs w:val="21"/>
        </w:rPr>
      </w:pPr>
    </w:p>
    <w:bookmarkEnd w:id="214"/>
    <w:p w14:paraId="61454EAD">
      <w:pPr>
        <w:outlineLvl w:val="2"/>
        <w:rPr>
          <w:bCs/>
          <w:color w:val="000000"/>
          <w:szCs w:val="24"/>
        </w:rPr>
      </w:pPr>
      <w:bookmarkStart w:id="216" w:name="_Toc472509287"/>
      <w:r>
        <w:rPr>
          <w:b/>
          <w:color w:val="000000"/>
          <w:szCs w:val="24"/>
        </w:rPr>
        <w:t>3.1.8主要原辅材料及能源消耗</w:t>
      </w:r>
    </w:p>
    <w:p w14:paraId="0104F673">
      <w:pPr>
        <w:ind w:firstLine="480"/>
        <w:rPr>
          <w:color w:val="000000"/>
          <w:szCs w:val="24"/>
        </w:rPr>
      </w:pPr>
      <w:r>
        <w:rPr>
          <w:color w:val="000000"/>
          <w:szCs w:val="24"/>
        </w:rPr>
        <w:t>主要原辅材料及能源消耗</w:t>
      </w:r>
      <w:r>
        <w:rPr>
          <w:rFonts w:hint="eastAsia"/>
          <w:color w:val="000000"/>
          <w:szCs w:val="24"/>
        </w:rPr>
        <w:t>略</w:t>
      </w:r>
      <w:r>
        <w:rPr>
          <w:color w:val="000000"/>
          <w:szCs w:val="24"/>
        </w:rPr>
        <w:t>。</w:t>
      </w:r>
    </w:p>
    <w:bookmarkEnd w:id="216"/>
    <w:p w14:paraId="245B31C7">
      <w:pPr>
        <w:pStyle w:val="771"/>
        <w:rPr>
          <w:b/>
          <w:bCs w:val="0"/>
          <w:color w:val="000000"/>
        </w:rPr>
      </w:pPr>
      <w:bookmarkStart w:id="217" w:name="_Toc472509286"/>
      <w:r>
        <w:rPr>
          <w:b/>
          <w:bCs w:val="0"/>
          <w:color w:val="000000"/>
        </w:rPr>
        <w:t>3.1.9 总平面布置</w:t>
      </w:r>
      <w:bookmarkEnd w:id="217"/>
    </w:p>
    <w:p w14:paraId="383C4540">
      <w:pPr>
        <w:pStyle w:val="68"/>
        <w:spacing w:before="0" w:beforeAutospacing="0" w:after="0" w:afterAutospacing="0" w:line="360" w:lineRule="auto"/>
        <w:ind w:firstLine="480" w:firstLineChars="200"/>
        <w:rPr>
          <w:rFonts w:ascii="Times New Roman" w:hAnsi="Times New Roman"/>
          <w:bCs/>
          <w:color w:val="000000"/>
        </w:rPr>
      </w:pPr>
      <w:r>
        <w:rPr>
          <w:rFonts w:ascii="Times New Roman" w:hAnsi="Times New Roman"/>
          <w:bCs/>
          <w:color w:val="000000"/>
        </w:rPr>
        <w:t>本工程仅在LNG工厂现有空地内进行建设，不新增占地，无需征地。</w:t>
      </w:r>
    </w:p>
    <w:p w14:paraId="494CB544">
      <w:pPr>
        <w:pStyle w:val="68"/>
        <w:spacing w:before="0" w:beforeAutospacing="0" w:after="0" w:afterAutospacing="0" w:line="360" w:lineRule="auto"/>
        <w:ind w:firstLine="480" w:firstLineChars="200"/>
        <w:rPr>
          <w:rFonts w:ascii="Times New Roman" w:hAnsi="Times New Roman"/>
          <w:bCs/>
          <w:color w:val="000000"/>
        </w:rPr>
      </w:pPr>
      <w:r>
        <w:rPr>
          <w:rFonts w:ascii="Times New Roman" w:hAnsi="Times New Roman"/>
          <w:bCs/>
          <w:color w:val="000000"/>
        </w:rPr>
        <w:t>本工程仅在厂区天然气液化装置内进行扩建，不新增装置外占地，无需征地。结合现天然气LNG工厂装置的布置，本项目将提氦装置区呈南北向布置于LNG工厂装置界区内的东部，东侧与二期预留用地相邻、北侧为热油炉、西侧为天然气液化单元、南侧为LNG工厂装置内储罐设施。本项目装置区占地为1060m</w:t>
      </w:r>
      <w:r>
        <w:rPr>
          <w:rFonts w:ascii="Times New Roman" w:hAnsi="Times New Roman"/>
          <w:bCs/>
          <w:color w:val="000000"/>
          <w:vertAlign w:val="superscript"/>
        </w:rPr>
        <w:t>2</w:t>
      </w:r>
      <w:r>
        <w:rPr>
          <w:rFonts w:ascii="Times New Roman" w:hAnsi="Times New Roman"/>
          <w:bCs/>
          <w:color w:val="000000"/>
        </w:rPr>
        <w:t>，东西宽20m，南北长53m。根据设计，项目新增设施与现有设施、周边建构筑物等之间满足《天然气液化工厂设计标准》（GB51261-2019）等相关规范中防火间距的要求，且保证了其他设备的安装、检修要求。将装车及储存单元（压缩机区、长管拖车停车位、钢瓶充装）布置于厂区东北角，二期LNG工厂预留用地的北端。其中压缩机区布置于单元的西北角，相对靠近提氦装置区。钢瓶充装区及钢瓶间布置于压缩机区的东侧，用地北端，可利用装置北侧场地作为钢瓶装车区，对装置影响最小。长管拖车停车位布置于钢瓶区的南侧，利用车尾处场地进行装车操作。三个单元集中紧凑布置，尽量减少对二期用地的影响。该区域占地面积为720m</w:t>
      </w:r>
      <w:r>
        <w:rPr>
          <w:rFonts w:ascii="Times New Roman" w:hAnsi="Times New Roman"/>
          <w:bCs/>
          <w:color w:val="000000"/>
          <w:vertAlign w:val="superscript"/>
        </w:rPr>
        <w:t>2</w:t>
      </w:r>
      <w:r>
        <w:rPr>
          <w:rFonts w:ascii="Times New Roman" w:hAnsi="Times New Roman"/>
          <w:bCs/>
          <w:color w:val="000000"/>
        </w:rPr>
        <w:t>，东西宽36m，南北长20m。</w:t>
      </w:r>
    </w:p>
    <w:p w14:paraId="55722AC6">
      <w:pPr>
        <w:pStyle w:val="68"/>
        <w:spacing w:before="0" w:beforeAutospacing="0" w:after="0" w:afterAutospacing="0" w:line="360" w:lineRule="auto"/>
        <w:ind w:firstLine="480" w:firstLineChars="200"/>
        <w:rPr>
          <w:rFonts w:ascii="Times New Roman" w:hAnsi="Times New Roman"/>
          <w:bCs/>
          <w:color w:val="000000"/>
        </w:rPr>
      </w:pPr>
      <w:r>
        <w:rPr>
          <w:rFonts w:ascii="Times New Roman" w:hAnsi="Times New Roman"/>
          <w:bCs/>
          <w:color w:val="000000"/>
        </w:rPr>
        <w:t>本工程占地均在厂区规划用地内，场地上无建、构筑物需拆除。本工程新增部分道路、管沟和车行铺砌。对建设过程中破坏的车行铺砌进行修复。现有厂区及装置区道路呈网状布置，各生产区及建筑物区均有道路环绕。整个道路系统满足消防、安全、运输和检修的要求。本工程总平面布置严格遵守和执行了国家颁布的有关规范、规定的要求，既满足生产要求又保证生产安全。</w:t>
      </w:r>
    </w:p>
    <w:p w14:paraId="663AB24D">
      <w:pPr>
        <w:ind w:firstLine="480"/>
        <w:rPr>
          <w:color w:val="000000"/>
          <w:kern w:val="0"/>
          <w:sz w:val="21"/>
        </w:rPr>
      </w:pPr>
      <w:r>
        <w:rPr>
          <w:color w:val="000000"/>
          <w:kern w:val="0"/>
          <w:szCs w:val="24"/>
        </w:rPr>
        <w:t>本项目与相邻工厂和设施的防火间距见表3.1.9-1，</w:t>
      </w:r>
      <w:r>
        <w:rPr>
          <w:color w:val="000000"/>
          <w:spacing w:val="10"/>
          <w:kern w:val="0"/>
          <w:szCs w:val="24"/>
        </w:rPr>
        <w:t>建、构筑物间的防火间距一览表见表3.1.9-2。</w:t>
      </w:r>
      <w:r>
        <w:rPr>
          <w:color w:val="000000"/>
          <w:szCs w:val="24"/>
        </w:rPr>
        <w:t>厂区总平面布置见附图2、项目设施设备布局图见附图3。</w:t>
      </w:r>
    </w:p>
    <w:p w14:paraId="00F8903F">
      <w:pPr>
        <w:pStyle w:val="2058"/>
        <w:spacing w:beforeLines="50" w:line="280" w:lineRule="exact"/>
        <w:ind w:firstLine="0" w:firstLineChars="0"/>
        <w:jc w:val="center"/>
        <w:rPr>
          <w:color w:val="000000"/>
        </w:rPr>
      </w:pPr>
      <w:r>
        <w:rPr>
          <w:color w:val="000000"/>
          <w:kern w:val="0"/>
          <w:sz w:val="21"/>
          <w:szCs w:val="21"/>
        </w:rPr>
        <w:t>表3.1.9-1 本项目与相邻工厂和设施的防火间距（m）</w:t>
      </w:r>
    </w:p>
    <w:tbl>
      <w:tblPr>
        <w:tblStyle w:val="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259"/>
        <w:gridCol w:w="1214"/>
        <w:gridCol w:w="1493"/>
        <w:gridCol w:w="1364"/>
        <w:gridCol w:w="1494"/>
        <w:gridCol w:w="920"/>
      </w:tblGrid>
      <w:tr w14:paraId="5DE3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trPr>
        <w:tc>
          <w:tcPr>
            <w:tcW w:w="1384" w:type="dxa"/>
            <w:tcBorders>
              <w:tl2br w:val="single" w:color="auto" w:sz="4" w:space="0"/>
            </w:tcBorders>
            <w:vAlign w:val="center"/>
          </w:tcPr>
          <w:p w14:paraId="4822738F">
            <w:pPr>
              <w:spacing w:line="240" w:lineRule="atLeast"/>
              <w:jc w:val="center"/>
              <w:textAlignment w:val="bottom"/>
              <w:rPr>
                <w:color w:val="000000"/>
                <w:kern w:val="0"/>
                <w:sz w:val="21"/>
              </w:rPr>
            </w:pPr>
            <w:r>
              <w:rPr>
                <w:color w:val="000000"/>
                <w:kern w:val="0"/>
                <w:sz w:val="21"/>
              </w:rPr>
              <w:t xml:space="preserve"> 相邻设施</w:t>
            </w:r>
          </w:p>
          <w:p w14:paraId="4EC2DFC0">
            <w:pPr>
              <w:spacing w:line="240" w:lineRule="atLeast"/>
              <w:jc w:val="center"/>
              <w:textAlignment w:val="bottom"/>
              <w:rPr>
                <w:color w:val="000000"/>
                <w:kern w:val="0"/>
                <w:sz w:val="21"/>
              </w:rPr>
            </w:pPr>
          </w:p>
          <w:p w14:paraId="3397EC81">
            <w:pPr>
              <w:spacing w:line="240" w:lineRule="atLeast"/>
              <w:jc w:val="center"/>
              <w:textAlignment w:val="bottom"/>
              <w:rPr>
                <w:color w:val="000000"/>
                <w:kern w:val="0"/>
                <w:sz w:val="21"/>
              </w:rPr>
            </w:pPr>
          </w:p>
          <w:p w14:paraId="3F52FF7D">
            <w:pPr>
              <w:spacing w:line="240" w:lineRule="atLeast"/>
              <w:jc w:val="center"/>
              <w:textAlignment w:val="bottom"/>
              <w:rPr>
                <w:color w:val="000000"/>
                <w:kern w:val="0"/>
                <w:sz w:val="21"/>
              </w:rPr>
            </w:pPr>
          </w:p>
          <w:p w14:paraId="3CC1EE32">
            <w:pPr>
              <w:spacing w:line="240" w:lineRule="atLeast"/>
              <w:jc w:val="center"/>
              <w:textAlignment w:val="bottom"/>
              <w:rPr>
                <w:color w:val="000000"/>
                <w:kern w:val="0"/>
                <w:sz w:val="21"/>
              </w:rPr>
            </w:pPr>
            <w:r>
              <w:rPr>
                <w:color w:val="000000"/>
                <w:kern w:val="0"/>
                <w:sz w:val="21"/>
              </w:rPr>
              <w:t>本项目</w:t>
            </w:r>
          </w:p>
          <w:p w14:paraId="59A56CB3">
            <w:pPr>
              <w:spacing w:line="240" w:lineRule="atLeast"/>
              <w:jc w:val="center"/>
              <w:textAlignment w:val="bottom"/>
              <w:rPr>
                <w:color w:val="000000"/>
                <w:kern w:val="0"/>
                <w:sz w:val="21"/>
              </w:rPr>
            </w:pPr>
            <w:r>
              <w:rPr>
                <w:color w:val="000000"/>
                <w:kern w:val="0"/>
                <w:sz w:val="21"/>
              </w:rPr>
              <w:t>设施</w:t>
            </w:r>
          </w:p>
        </w:tc>
        <w:tc>
          <w:tcPr>
            <w:tcW w:w="1301" w:type="dxa"/>
            <w:vAlign w:val="center"/>
          </w:tcPr>
          <w:p w14:paraId="09541B8B">
            <w:pPr>
              <w:spacing w:line="240" w:lineRule="atLeast"/>
              <w:jc w:val="center"/>
              <w:textAlignment w:val="bottom"/>
              <w:rPr>
                <w:color w:val="000000"/>
                <w:kern w:val="0"/>
                <w:sz w:val="21"/>
              </w:rPr>
            </w:pPr>
            <w:r>
              <w:rPr>
                <w:color w:val="000000"/>
                <w:kern w:val="0"/>
                <w:sz w:val="21"/>
              </w:rPr>
              <w:t>液化罐组(罐外壁)</w:t>
            </w:r>
          </w:p>
        </w:tc>
        <w:tc>
          <w:tcPr>
            <w:tcW w:w="1251" w:type="dxa"/>
            <w:vAlign w:val="center"/>
          </w:tcPr>
          <w:p w14:paraId="4C7B864F">
            <w:pPr>
              <w:spacing w:line="240" w:lineRule="atLeast"/>
              <w:jc w:val="center"/>
              <w:textAlignment w:val="bottom"/>
              <w:rPr>
                <w:color w:val="000000"/>
                <w:kern w:val="0"/>
                <w:sz w:val="21"/>
              </w:rPr>
            </w:pPr>
            <w:r>
              <w:rPr>
                <w:color w:val="000000"/>
                <w:kern w:val="0"/>
                <w:sz w:val="21"/>
              </w:rPr>
              <w:t>可燃液体罐组（罐外壁）</w:t>
            </w:r>
          </w:p>
        </w:tc>
        <w:tc>
          <w:tcPr>
            <w:tcW w:w="1559" w:type="dxa"/>
            <w:vAlign w:val="center"/>
          </w:tcPr>
          <w:p w14:paraId="7EB06C87">
            <w:pPr>
              <w:spacing w:line="240" w:lineRule="atLeast"/>
              <w:jc w:val="center"/>
              <w:textAlignment w:val="bottom"/>
              <w:rPr>
                <w:color w:val="000000"/>
                <w:kern w:val="0"/>
                <w:sz w:val="21"/>
              </w:rPr>
            </w:pPr>
            <w:r>
              <w:rPr>
                <w:color w:val="000000"/>
                <w:kern w:val="0"/>
                <w:sz w:val="21"/>
              </w:rPr>
              <w:t>甲、乙类工艺装置或设施（最外侧设备外缘或建筑物的最外轴线)</w:t>
            </w:r>
          </w:p>
        </w:tc>
        <w:tc>
          <w:tcPr>
            <w:tcW w:w="1417" w:type="dxa"/>
            <w:vAlign w:val="center"/>
          </w:tcPr>
          <w:p w14:paraId="68BEF0F2">
            <w:pPr>
              <w:spacing w:line="240" w:lineRule="atLeast"/>
              <w:jc w:val="center"/>
              <w:textAlignment w:val="bottom"/>
              <w:rPr>
                <w:color w:val="000000"/>
                <w:kern w:val="0"/>
                <w:sz w:val="21"/>
              </w:rPr>
            </w:pPr>
            <w:r>
              <w:rPr>
                <w:color w:val="000000"/>
                <w:kern w:val="0"/>
                <w:sz w:val="21"/>
              </w:rPr>
              <w:t>全厂性重要设施（最外侧设备外缘或建筑物的最外轴线)</w:t>
            </w:r>
          </w:p>
        </w:tc>
        <w:tc>
          <w:tcPr>
            <w:tcW w:w="1560" w:type="dxa"/>
            <w:vAlign w:val="center"/>
          </w:tcPr>
          <w:p w14:paraId="4D6F342E">
            <w:pPr>
              <w:spacing w:line="240" w:lineRule="atLeast"/>
              <w:jc w:val="center"/>
              <w:textAlignment w:val="bottom"/>
              <w:rPr>
                <w:color w:val="000000"/>
                <w:kern w:val="0"/>
                <w:sz w:val="21"/>
              </w:rPr>
            </w:pPr>
            <w:r>
              <w:rPr>
                <w:color w:val="000000"/>
                <w:kern w:val="0"/>
                <w:sz w:val="21"/>
              </w:rPr>
              <w:t>可能携带可燃液体的高架火炬(火炬中心)</w:t>
            </w:r>
          </w:p>
        </w:tc>
        <w:tc>
          <w:tcPr>
            <w:tcW w:w="928" w:type="dxa"/>
            <w:vAlign w:val="center"/>
          </w:tcPr>
          <w:p w14:paraId="28B3B660">
            <w:pPr>
              <w:spacing w:line="240" w:lineRule="atLeast"/>
              <w:jc w:val="center"/>
              <w:textAlignment w:val="bottom"/>
              <w:rPr>
                <w:color w:val="000000"/>
                <w:kern w:val="0"/>
                <w:sz w:val="21"/>
              </w:rPr>
            </w:pPr>
            <w:r>
              <w:rPr>
                <w:color w:val="000000"/>
                <w:kern w:val="0"/>
                <w:sz w:val="21"/>
              </w:rPr>
              <w:t>明火</w:t>
            </w:r>
          </w:p>
          <w:p w14:paraId="22078968">
            <w:pPr>
              <w:spacing w:line="240" w:lineRule="atLeast"/>
              <w:jc w:val="center"/>
              <w:textAlignment w:val="bottom"/>
              <w:rPr>
                <w:color w:val="000000"/>
                <w:kern w:val="0"/>
                <w:sz w:val="21"/>
              </w:rPr>
            </w:pPr>
            <w:r>
              <w:rPr>
                <w:color w:val="000000"/>
                <w:kern w:val="0"/>
                <w:sz w:val="21"/>
              </w:rPr>
              <w:t>地点</w:t>
            </w:r>
          </w:p>
        </w:tc>
      </w:tr>
      <w:tr w14:paraId="2596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67AB6B5B">
            <w:pPr>
              <w:spacing w:line="240" w:lineRule="atLeast"/>
              <w:jc w:val="center"/>
              <w:textAlignment w:val="bottom"/>
              <w:rPr>
                <w:color w:val="000000"/>
                <w:kern w:val="0"/>
                <w:sz w:val="21"/>
              </w:rPr>
            </w:pPr>
            <w:r>
              <w:rPr>
                <w:color w:val="000000"/>
                <w:kern w:val="0"/>
                <w:sz w:val="21"/>
              </w:rPr>
              <w:t>提氦装置区（甲类）</w:t>
            </w:r>
          </w:p>
        </w:tc>
        <w:tc>
          <w:tcPr>
            <w:tcW w:w="1301" w:type="dxa"/>
            <w:vAlign w:val="center"/>
          </w:tcPr>
          <w:p w14:paraId="67EE271C">
            <w:pPr>
              <w:spacing w:line="240" w:lineRule="atLeast"/>
              <w:jc w:val="center"/>
              <w:textAlignment w:val="bottom"/>
              <w:rPr>
                <w:color w:val="000000"/>
                <w:kern w:val="0"/>
                <w:sz w:val="21"/>
              </w:rPr>
            </w:pPr>
            <w:r>
              <w:rPr>
                <w:color w:val="000000"/>
                <w:kern w:val="0"/>
                <w:sz w:val="21"/>
              </w:rPr>
              <w:t>—（70）</w:t>
            </w:r>
          </w:p>
        </w:tc>
        <w:tc>
          <w:tcPr>
            <w:tcW w:w="1251" w:type="dxa"/>
            <w:vAlign w:val="center"/>
          </w:tcPr>
          <w:p w14:paraId="1AECE138">
            <w:pPr>
              <w:spacing w:line="240" w:lineRule="atLeast"/>
              <w:jc w:val="center"/>
              <w:textAlignment w:val="bottom"/>
              <w:rPr>
                <w:color w:val="000000"/>
                <w:kern w:val="0"/>
                <w:sz w:val="21"/>
              </w:rPr>
            </w:pPr>
            <w:r>
              <w:rPr>
                <w:color w:val="000000"/>
                <w:kern w:val="0"/>
                <w:sz w:val="21"/>
              </w:rPr>
              <w:t>—（50）</w:t>
            </w:r>
          </w:p>
        </w:tc>
        <w:tc>
          <w:tcPr>
            <w:tcW w:w="1559" w:type="dxa"/>
            <w:vAlign w:val="center"/>
          </w:tcPr>
          <w:p w14:paraId="07AA45B6">
            <w:pPr>
              <w:spacing w:line="240" w:lineRule="atLeast"/>
              <w:jc w:val="center"/>
              <w:textAlignment w:val="bottom"/>
              <w:rPr>
                <w:color w:val="000000"/>
                <w:kern w:val="0"/>
                <w:sz w:val="21"/>
              </w:rPr>
            </w:pPr>
            <w:r>
              <w:rPr>
                <w:color w:val="000000"/>
                <w:kern w:val="0"/>
                <w:sz w:val="21"/>
              </w:rPr>
              <w:t>—（40）</w:t>
            </w:r>
          </w:p>
        </w:tc>
        <w:tc>
          <w:tcPr>
            <w:tcW w:w="1417" w:type="dxa"/>
            <w:vAlign w:val="center"/>
          </w:tcPr>
          <w:p w14:paraId="539AEA9C">
            <w:pPr>
              <w:spacing w:line="240" w:lineRule="atLeast"/>
              <w:jc w:val="center"/>
              <w:textAlignment w:val="bottom"/>
              <w:rPr>
                <w:color w:val="000000"/>
                <w:kern w:val="0"/>
                <w:sz w:val="21"/>
              </w:rPr>
            </w:pPr>
            <w:r>
              <w:rPr>
                <w:color w:val="000000"/>
                <w:kern w:val="0"/>
                <w:sz w:val="21"/>
              </w:rPr>
              <w:t>—（40）</w:t>
            </w:r>
          </w:p>
        </w:tc>
        <w:tc>
          <w:tcPr>
            <w:tcW w:w="1560" w:type="dxa"/>
            <w:vAlign w:val="center"/>
          </w:tcPr>
          <w:p w14:paraId="15C1F7B2">
            <w:pPr>
              <w:spacing w:line="240" w:lineRule="atLeast"/>
              <w:jc w:val="center"/>
              <w:textAlignment w:val="bottom"/>
              <w:rPr>
                <w:color w:val="000000"/>
                <w:kern w:val="0"/>
                <w:sz w:val="21"/>
              </w:rPr>
            </w:pPr>
            <w:r>
              <w:rPr>
                <w:color w:val="000000"/>
                <w:kern w:val="0"/>
                <w:sz w:val="21"/>
              </w:rPr>
              <w:t>—（90）</w:t>
            </w:r>
          </w:p>
        </w:tc>
        <w:tc>
          <w:tcPr>
            <w:tcW w:w="928" w:type="dxa"/>
            <w:vAlign w:val="center"/>
          </w:tcPr>
          <w:p w14:paraId="0378DF11">
            <w:pPr>
              <w:spacing w:line="240" w:lineRule="atLeast"/>
              <w:jc w:val="center"/>
              <w:textAlignment w:val="bottom"/>
              <w:rPr>
                <w:color w:val="000000"/>
                <w:kern w:val="0"/>
                <w:sz w:val="21"/>
              </w:rPr>
            </w:pPr>
            <w:r>
              <w:rPr>
                <w:color w:val="000000"/>
                <w:kern w:val="0"/>
                <w:sz w:val="21"/>
              </w:rPr>
              <w:t>—（40）</w:t>
            </w:r>
          </w:p>
        </w:tc>
      </w:tr>
      <w:tr w14:paraId="04FB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14:paraId="76B12C31">
            <w:pPr>
              <w:spacing w:line="240" w:lineRule="atLeast"/>
              <w:jc w:val="center"/>
              <w:textAlignment w:val="bottom"/>
              <w:rPr>
                <w:color w:val="000000"/>
                <w:kern w:val="0"/>
                <w:sz w:val="21"/>
              </w:rPr>
            </w:pPr>
            <w:r>
              <w:rPr>
                <w:color w:val="000000"/>
                <w:kern w:val="0"/>
                <w:sz w:val="21"/>
              </w:rPr>
              <w:t>装车及储存单元区（戊类）</w:t>
            </w:r>
          </w:p>
        </w:tc>
        <w:tc>
          <w:tcPr>
            <w:tcW w:w="1301" w:type="dxa"/>
            <w:vAlign w:val="center"/>
          </w:tcPr>
          <w:p w14:paraId="5E81272E">
            <w:pPr>
              <w:spacing w:line="240" w:lineRule="atLeast"/>
              <w:jc w:val="center"/>
              <w:textAlignment w:val="bottom"/>
              <w:rPr>
                <w:color w:val="000000"/>
                <w:kern w:val="0"/>
                <w:sz w:val="21"/>
              </w:rPr>
            </w:pPr>
            <w:r>
              <w:rPr>
                <w:color w:val="000000"/>
                <w:kern w:val="0"/>
                <w:sz w:val="21"/>
              </w:rPr>
              <w:t>—</w:t>
            </w:r>
          </w:p>
        </w:tc>
        <w:tc>
          <w:tcPr>
            <w:tcW w:w="1251" w:type="dxa"/>
            <w:vAlign w:val="center"/>
          </w:tcPr>
          <w:p w14:paraId="7DBD5A4E">
            <w:pPr>
              <w:spacing w:line="240" w:lineRule="atLeast"/>
              <w:jc w:val="center"/>
              <w:textAlignment w:val="bottom"/>
              <w:rPr>
                <w:color w:val="000000"/>
                <w:kern w:val="0"/>
                <w:sz w:val="21"/>
              </w:rPr>
            </w:pPr>
            <w:r>
              <w:rPr>
                <w:color w:val="000000"/>
                <w:kern w:val="0"/>
                <w:sz w:val="21"/>
              </w:rPr>
              <w:t>—</w:t>
            </w:r>
          </w:p>
        </w:tc>
        <w:tc>
          <w:tcPr>
            <w:tcW w:w="1559" w:type="dxa"/>
            <w:vAlign w:val="center"/>
          </w:tcPr>
          <w:p w14:paraId="10607C1B">
            <w:pPr>
              <w:spacing w:line="240" w:lineRule="atLeast"/>
              <w:jc w:val="center"/>
              <w:textAlignment w:val="bottom"/>
              <w:rPr>
                <w:color w:val="000000"/>
                <w:kern w:val="0"/>
                <w:sz w:val="21"/>
              </w:rPr>
            </w:pPr>
            <w:r>
              <w:rPr>
                <w:color w:val="000000"/>
                <w:kern w:val="0"/>
                <w:sz w:val="21"/>
              </w:rPr>
              <w:t>—</w:t>
            </w:r>
          </w:p>
        </w:tc>
        <w:tc>
          <w:tcPr>
            <w:tcW w:w="1417" w:type="dxa"/>
            <w:vAlign w:val="center"/>
          </w:tcPr>
          <w:p w14:paraId="14E229EE">
            <w:pPr>
              <w:spacing w:line="240" w:lineRule="atLeast"/>
              <w:jc w:val="center"/>
              <w:textAlignment w:val="bottom"/>
              <w:rPr>
                <w:color w:val="000000"/>
                <w:kern w:val="0"/>
                <w:sz w:val="21"/>
              </w:rPr>
            </w:pPr>
            <w:r>
              <w:rPr>
                <w:color w:val="000000"/>
                <w:kern w:val="0"/>
                <w:sz w:val="21"/>
              </w:rPr>
              <w:t>—</w:t>
            </w:r>
          </w:p>
        </w:tc>
        <w:tc>
          <w:tcPr>
            <w:tcW w:w="1560" w:type="dxa"/>
            <w:vAlign w:val="center"/>
          </w:tcPr>
          <w:p w14:paraId="71A4E296">
            <w:pPr>
              <w:spacing w:line="240" w:lineRule="atLeast"/>
              <w:jc w:val="center"/>
              <w:textAlignment w:val="bottom"/>
              <w:rPr>
                <w:color w:val="000000"/>
                <w:kern w:val="0"/>
                <w:sz w:val="21"/>
              </w:rPr>
            </w:pPr>
            <w:r>
              <w:rPr>
                <w:color w:val="000000"/>
                <w:kern w:val="0"/>
                <w:sz w:val="21"/>
              </w:rPr>
              <w:t>—</w:t>
            </w:r>
          </w:p>
        </w:tc>
        <w:tc>
          <w:tcPr>
            <w:tcW w:w="928" w:type="dxa"/>
            <w:vAlign w:val="center"/>
          </w:tcPr>
          <w:p w14:paraId="2367A3FF">
            <w:pPr>
              <w:spacing w:line="240" w:lineRule="atLeast"/>
              <w:jc w:val="center"/>
              <w:textAlignment w:val="bottom"/>
              <w:rPr>
                <w:color w:val="000000"/>
                <w:kern w:val="0"/>
                <w:sz w:val="21"/>
              </w:rPr>
            </w:pPr>
            <w:r>
              <w:rPr>
                <w:color w:val="000000"/>
                <w:kern w:val="0"/>
                <w:sz w:val="21"/>
              </w:rPr>
              <w:t>—</w:t>
            </w:r>
          </w:p>
        </w:tc>
      </w:tr>
    </w:tbl>
    <w:p w14:paraId="1D903719">
      <w:pPr>
        <w:spacing w:line="240" w:lineRule="atLeast"/>
        <w:textAlignment w:val="bottom"/>
        <w:rPr>
          <w:color w:val="000000"/>
          <w:spacing w:val="10"/>
          <w:kern w:val="0"/>
          <w:sz w:val="21"/>
        </w:rPr>
      </w:pPr>
      <w:r>
        <w:rPr>
          <w:color w:val="000000"/>
          <w:kern w:val="0"/>
          <w:sz w:val="21"/>
        </w:rPr>
        <w:t>说明：“—”表示不涉及此类设施或无防火间距要求，括号外为实际距离，括号内为规范要求距离。</w:t>
      </w:r>
    </w:p>
    <w:p w14:paraId="31C45B0A">
      <w:pPr>
        <w:jc w:val="both"/>
        <w:rPr>
          <w:color w:val="000000"/>
          <w:spacing w:val="10"/>
          <w:kern w:val="0"/>
          <w:sz w:val="21"/>
        </w:rPr>
      </w:pPr>
    </w:p>
    <w:p w14:paraId="18FD047A">
      <w:pPr>
        <w:jc w:val="center"/>
        <w:rPr>
          <w:color w:val="000000"/>
          <w:spacing w:val="10"/>
          <w:kern w:val="0"/>
          <w:sz w:val="21"/>
        </w:rPr>
      </w:pPr>
      <w:r>
        <w:rPr>
          <w:color w:val="000000"/>
          <w:spacing w:val="10"/>
          <w:kern w:val="0"/>
          <w:sz w:val="21"/>
        </w:rPr>
        <w:t>表3.1.9-2 建、构筑物间的防火间距一览表</w:t>
      </w:r>
    </w:p>
    <w:tbl>
      <w:tblPr>
        <w:tblStyle w:val="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694"/>
        <w:gridCol w:w="2187"/>
        <w:gridCol w:w="1099"/>
        <w:gridCol w:w="1107"/>
        <w:gridCol w:w="830"/>
        <w:gridCol w:w="1931"/>
      </w:tblGrid>
      <w:tr w14:paraId="488F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1242" w:type="dxa"/>
            <w:vMerge w:val="restart"/>
            <w:vAlign w:val="center"/>
          </w:tcPr>
          <w:p w14:paraId="13210569">
            <w:pPr>
              <w:spacing w:line="240" w:lineRule="atLeast"/>
              <w:jc w:val="center"/>
              <w:textAlignment w:val="bottom"/>
              <w:rPr>
                <w:color w:val="000000"/>
                <w:kern w:val="0"/>
                <w:sz w:val="21"/>
              </w:rPr>
            </w:pPr>
            <w:r>
              <w:rPr>
                <w:color w:val="000000"/>
                <w:kern w:val="0"/>
                <w:sz w:val="21"/>
              </w:rPr>
              <w:t>建、构筑物名称</w:t>
            </w:r>
          </w:p>
        </w:tc>
        <w:tc>
          <w:tcPr>
            <w:tcW w:w="709" w:type="dxa"/>
            <w:vMerge w:val="restart"/>
            <w:vAlign w:val="center"/>
          </w:tcPr>
          <w:p w14:paraId="3955CD65">
            <w:pPr>
              <w:spacing w:line="240" w:lineRule="atLeast"/>
              <w:jc w:val="center"/>
              <w:textAlignment w:val="bottom"/>
              <w:rPr>
                <w:color w:val="000000"/>
                <w:kern w:val="0"/>
                <w:sz w:val="21"/>
              </w:rPr>
            </w:pPr>
            <w:r>
              <w:rPr>
                <w:color w:val="000000"/>
                <w:kern w:val="0"/>
                <w:sz w:val="21"/>
              </w:rPr>
              <w:t>方位</w:t>
            </w:r>
          </w:p>
        </w:tc>
        <w:tc>
          <w:tcPr>
            <w:tcW w:w="2268" w:type="dxa"/>
            <w:vMerge w:val="restart"/>
            <w:vAlign w:val="center"/>
          </w:tcPr>
          <w:p w14:paraId="0C80D2B6">
            <w:pPr>
              <w:spacing w:line="240" w:lineRule="atLeast"/>
              <w:jc w:val="center"/>
              <w:textAlignment w:val="bottom"/>
              <w:rPr>
                <w:color w:val="000000"/>
                <w:kern w:val="0"/>
                <w:sz w:val="21"/>
              </w:rPr>
            </w:pPr>
            <w:r>
              <w:rPr>
                <w:color w:val="000000"/>
                <w:kern w:val="0"/>
                <w:sz w:val="21"/>
              </w:rPr>
              <w:t>周边建构筑物</w:t>
            </w:r>
          </w:p>
          <w:p w14:paraId="3F096D93">
            <w:pPr>
              <w:spacing w:line="240" w:lineRule="atLeast"/>
              <w:jc w:val="center"/>
              <w:textAlignment w:val="bottom"/>
              <w:rPr>
                <w:color w:val="000000"/>
                <w:kern w:val="0"/>
                <w:sz w:val="21"/>
              </w:rPr>
            </w:pPr>
            <w:r>
              <w:rPr>
                <w:color w:val="000000"/>
                <w:kern w:val="0"/>
                <w:sz w:val="21"/>
              </w:rPr>
              <w:t>名称及类别</w:t>
            </w:r>
          </w:p>
        </w:tc>
        <w:tc>
          <w:tcPr>
            <w:tcW w:w="2268" w:type="dxa"/>
            <w:gridSpan w:val="2"/>
            <w:vAlign w:val="center"/>
          </w:tcPr>
          <w:p w14:paraId="377ABD07">
            <w:pPr>
              <w:spacing w:line="240" w:lineRule="atLeast"/>
              <w:jc w:val="center"/>
              <w:textAlignment w:val="bottom"/>
              <w:rPr>
                <w:color w:val="000000"/>
                <w:kern w:val="0"/>
                <w:sz w:val="21"/>
              </w:rPr>
            </w:pPr>
            <w:r>
              <w:rPr>
                <w:color w:val="000000"/>
                <w:kern w:val="0"/>
                <w:sz w:val="21"/>
              </w:rPr>
              <w:t>防火间距（m）</w:t>
            </w:r>
          </w:p>
        </w:tc>
        <w:tc>
          <w:tcPr>
            <w:tcW w:w="851" w:type="dxa"/>
            <w:vMerge w:val="restart"/>
            <w:vAlign w:val="center"/>
          </w:tcPr>
          <w:p w14:paraId="4F9C2631">
            <w:pPr>
              <w:spacing w:line="240" w:lineRule="atLeast"/>
              <w:jc w:val="center"/>
              <w:textAlignment w:val="bottom"/>
              <w:rPr>
                <w:color w:val="000000"/>
                <w:kern w:val="0"/>
                <w:sz w:val="21"/>
              </w:rPr>
            </w:pPr>
            <w:r>
              <w:rPr>
                <w:color w:val="000000"/>
                <w:kern w:val="0"/>
                <w:sz w:val="21"/>
              </w:rPr>
              <w:t>判断结果</w:t>
            </w:r>
          </w:p>
        </w:tc>
        <w:tc>
          <w:tcPr>
            <w:tcW w:w="1949" w:type="dxa"/>
            <w:vMerge w:val="restart"/>
            <w:vAlign w:val="center"/>
          </w:tcPr>
          <w:p w14:paraId="0B1D6C1A">
            <w:pPr>
              <w:spacing w:line="240" w:lineRule="atLeast"/>
              <w:jc w:val="center"/>
              <w:textAlignment w:val="bottom"/>
              <w:rPr>
                <w:color w:val="000000"/>
                <w:kern w:val="0"/>
                <w:sz w:val="21"/>
              </w:rPr>
            </w:pPr>
            <w:r>
              <w:rPr>
                <w:color w:val="000000"/>
                <w:kern w:val="0"/>
                <w:sz w:val="21"/>
              </w:rPr>
              <w:t>依据</w:t>
            </w:r>
          </w:p>
        </w:tc>
      </w:tr>
      <w:tr w14:paraId="79A1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242" w:type="dxa"/>
            <w:vMerge w:val="continue"/>
            <w:vAlign w:val="center"/>
          </w:tcPr>
          <w:p w14:paraId="384C6CC8">
            <w:pPr>
              <w:spacing w:line="240" w:lineRule="atLeast"/>
              <w:jc w:val="center"/>
              <w:textAlignment w:val="bottom"/>
              <w:rPr>
                <w:color w:val="000000"/>
                <w:kern w:val="0"/>
                <w:sz w:val="21"/>
              </w:rPr>
            </w:pPr>
          </w:p>
        </w:tc>
        <w:tc>
          <w:tcPr>
            <w:tcW w:w="709" w:type="dxa"/>
            <w:vMerge w:val="continue"/>
            <w:vAlign w:val="center"/>
          </w:tcPr>
          <w:p w14:paraId="2AD4C618">
            <w:pPr>
              <w:spacing w:line="240" w:lineRule="atLeast"/>
              <w:jc w:val="center"/>
              <w:textAlignment w:val="bottom"/>
              <w:rPr>
                <w:color w:val="000000"/>
                <w:kern w:val="0"/>
                <w:sz w:val="21"/>
              </w:rPr>
            </w:pPr>
          </w:p>
        </w:tc>
        <w:tc>
          <w:tcPr>
            <w:tcW w:w="2268" w:type="dxa"/>
            <w:vMerge w:val="continue"/>
            <w:vAlign w:val="center"/>
          </w:tcPr>
          <w:p w14:paraId="2A1BDF21">
            <w:pPr>
              <w:spacing w:line="240" w:lineRule="atLeast"/>
              <w:jc w:val="center"/>
              <w:textAlignment w:val="bottom"/>
              <w:rPr>
                <w:color w:val="000000"/>
                <w:kern w:val="0"/>
                <w:sz w:val="21"/>
              </w:rPr>
            </w:pPr>
          </w:p>
        </w:tc>
        <w:tc>
          <w:tcPr>
            <w:tcW w:w="1134" w:type="dxa"/>
            <w:vAlign w:val="center"/>
          </w:tcPr>
          <w:p w14:paraId="0B7D8685">
            <w:pPr>
              <w:spacing w:line="240" w:lineRule="atLeast"/>
              <w:jc w:val="center"/>
              <w:textAlignment w:val="bottom"/>
              <w:rPr>
                <w:color w:val="000000"/>
                <w:kern w:val="0"/>
                <w:sz w:val="21"/>
              </w:rPr>
            </w:pPr>
            <w:r>
              <w:rPr>
                <w:color w:val="000000"/>
                <w:kern w:val="0"/>
                <w:sz w:val="21"/>
              </w:rPr>
              <w:t>总图值</w:t>
            </w:r>
          </w:p>
        </w:tc>
        <w:tc>
          <w:tcPr>
            <w:tcW w:w="1134" w:type="dxa"/>
            <w:vAlign w:val="center"/>
          </w:tcPr>
          <w:p w14:paraId="5B96445A">
            <w:pPr>
              <w:spacing w:line="240" w:lineRule="atLeast"/>
              <w:jc w:val="center"/>
              <w:textAlignment w:val="bottom"/>
              <w:rPr>
                <w:color w:val="000000"/>
                <w:kern w:val="0"/>
                <w:sz w:val="21"/>
              </w:rPr>
            </w:pPr>
            <w:r>
              <w:rPr>
                <w:color w:val="000000"/>
                <w:kern w:val="0"/>
                <w:sz w:val="21"/>
              </w:rPr>
              <w:t>规定值</w:t>
            </w:r>
          </w:p>
        </w:tc>
        <w:tc>
          <w:tcPr>
            <w:tcW w:w="851" w:type="dxa"/>
            <w:vMerge w:val="continue"/>
            <w:vAlign w:val="center"/>
          </w:tcPr>
          <w:p w14:paraId="65045738">
            <w:pPr>
              <w:spacing w:line="240" w:lineRule="atLeast"/>
              <w:jc w:val="center"/>
              <w:textAlignment w:val="bottom"/>
              <w:rPr>
                <w:color w:val="000000"/>
                <w:kern w:val="0"/>
                <w:sz w:val="21"/>
              </w:rPr>
            </w:pPr>
          </w:p>
        </w:tc>
        <w:tc>
          <w:tcPr>
            <w:tcW w:w="1949" w:type="dxa"/>
            <w:vMerge w:val="continue"/>
            <w:vAlign w:val="center"/>
          </w:tcPr>
          <w:p w14:paraId="73323BC6">
            <w:pPr>
              <w:spacing w:line="240" w:lineRule="atLeast"/>
              <w:jc w:val="center"/>
              <w:textAlignment w:val="bottom"/>
              <w:rPr>
                <w:color w:val="000000"/>
                <w:kern w:val="0"/>
                <w:sz w:val="21"/>
              </w:rPr>
            </w:pPr>
          </w:p>
        </w:tc>
      </w:tr>
      <w:tr w14:paraId="531C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03EE22E9">
            <w:pPr>
              <w:spacing w:line="240" w:lineRule="atLeast"/>
              <w:jc w:val="center"/>
              <w:textAlignment w:val="bottom"/>
              <w:rPr>
                <w:color w:val="000000"/>
                <w:kern w:val="0"/>
                <w:sz w:val="21"/>
              </w:rPr>
            </w:pPr>
            <w:r>
              <w:rPr>
                <w:color w:val="000000"/>
                <w:kern w:val="0"/>
                <w:sz w:val="21"/>
              </w:rPr>
              <w:t>提氦装置区（甲类）</w:t>
            </w:r>
          </w:p>
        </w:tc>
        <w:tc>
          <w:tcPr>
            <w:tcW w:w="709" w:type="dxa"/>
            <w:vAlign w:val="center"/>
          </w:tcPr>
          <w:p w14:paraId="593E496D">
            <w:pPr>
              <w:spacing w:line="240" w:lineRule="atLeast"/>
              <w:jc w:val="center"/>
              <w:textAlignment w:val="bottom"/>
              <w:rPr>
                <w:color w:val="000000"/>
                <w:kern w:val="0"/>
                <w:sz w:val="21"/>
              </w:rPr>
            </w:pPr>
            <w:r>
              <w:rPr>
                <w:color w:val="000000"/>
                <w:kern w:val="0"/>
                <w:sz w:val="21"/>
              </w:rPr>
              <w:t>东</w:t>
            </w:r>
          </w:p>
        </w:tc>
        <w:tc>
          <w:tcPr>
            <w:tcW w:w="2268" w:type="dxa"/>
            <w:vAlign w:val="center"/>
          </w:tcPr>
          <w:p w14:paraId="368B942C">
            <w:pPr>
              <w:spacing w:line="240" w:lineRule="atLeast"/>
              <w:jc w:val="center"/>
              <w:textAlignment w:val="bottom"/>
              <w:rPr>
                <w:color w:val="000000"/>
                <w:kern w:val="0"/>
                <w:sz w:val="21"/>
              </w:rPr>
            </w:pPr>
            <w:r>
              <w:rPr>
                <w:color w:val="000000"/>
                <w:kern w:val="0"/>
                <w:sz w:val="21"/>
              </w:rPr>
              <w:t>厂区道路</w:t>
            </w:r>
          </w:p>
        </w:tc>
        <w:tc>
          <w:tcPr>
            <w:tcW w:w="1134" w:type="dxa"/>
            <w:vAlign w:val="center"/>
          </w:tcPr>
          <w:p w14:paraId="37D1F128">
            <w:pPr>
              <w:spacing w:line="240" w:lineRule="atLeast"/>
              <w:jc w:val="center"/>
              <w:textAlignment w:val="bottom"/>
              <w:rPr>
                <w:color w:val="000000"/>
                <w:kern w:val="0"/>
                <w:sz w:val="21"/>
              </w:rPr>
            </w:pPr>
            <w:r>
              <w:rPr>
                <w:color w:val="000000"/>
                <w:kern w:val="0"/>
                <w:sz w:val="21"/>
              </w:rPr>
              <w:t>6</w:t>
            </w:r>
          </w:p>
        </w:tc>
        <w:tc>
          <w:tcPr>
            <w:tcW w:w="1134" w:type="dxa"/>
            <w:vAlign w:val="center"/>
          </w:tcPr>
          <w:p w14:paraId="26F1DB34">
            <w:pPr>
              <w:spacing w:line="240" w:lineRule="atLeast"/>
              <w:jc w:val="center"/>
              <w:textAlignment w:val="bottom"/>
              <w:rPr>
                <w:color w:val="000000"/>
                <w:kern w:val="0"/>
                <w:sz w:val="21"/>
              </w:rPr>
            </w:pPr>
            <w:r>
              <w:rPr>
                <w:color w:val="000000"/>
                <w:kern w:val="0"/>
                <w:sz w:val="21"/>
              </w:rPr>
              <w:t>5</w:t>
            </w:r>
          </w:p>
        </w:tc>
        <w:tc>
          <w:tcPr>
            <w:tcW w:w="851" w:type="dxa"/>
            <w:vAlign w:val="center"/>
          </w:tcPr>
          <w:p w14:paraId="6D401D09">
            <w:pPr>
              <w:spacing w:line="240" w:lineRule="atLeast"/>
              <w:jc w:val="center"/>
              <w:textAlignment w:val="bottom"/>
              <w:rPr>
                <w:color w:val="000000"/>
                <w:kern w:val="0"/>
                <w:sz w:val="21"/>
              </w:rPr>
            </w:pPr>
            <w:r>
              <w:rPr>
                <w:color w:val="000000"/>
                <w:kern w:val="0"/>
                <w:sz w:val="21"/>
              </w:rPr>
              <w:t>符合</w:t>
            </w:r>
          </w:p>
        </w:tc>
        <w:tc>
          <w:tcPr>
            <w:tcW w:w="1949" w:type="dxa"/>
            <w:vAlign w:val="center"/>
          </w:tcPr>
          <w:p w14:paraId="0EFE895A">
            <w:pPr>
              <w:spacing w:line="240" w:lineRule="atLeast"/>
              <w:jc w:val="center"/>
              <w:textAlignment w:val="bottom"/>
              <w:rPr>
                <w:color w:val="000000"/>
                <w:kern w:val="0"/>
                <w:sz w:val="21"/>
              </w:rPr>
            </w:pPr>
            <w:r>
              <w:rPr>
                <w:color w:val="000000"/>
                <w:kern w:val="0"/>
                <w:sz w:val="21"/>
              </w:rPr>
              <w:t>GB51261-2019</w:t>
            </w:r>
          </w:p>
          <w:p w14:paraId="7F7A47A8">
            <w:pPr>
              <w:spacing w:line="240" w:lineRule="atLeast"/>
              <w:jc w:val="center"/>
              <w:textAlignment w:val="bottom"/>
              <w:rPr>
                <w:color w:val="000000"/>
                <w:kern w:val="0"/>
                <w:sz w:val="21"/>
              </w:rPr>
            </w:pPr>
            <w:r>
              <w:rPr>
                <w:color w:val="000000"/>
                <w:kern w:val="0"/>
                <w:sz w:val="21"/>
              </w:rPr>
              <w:t>5.3.4</w:t>
            </w:r>
          </w:p>
        </w:tc>
      </w:tr>
      <w:tr w14:paraId="002F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445C2FDC">
            <w:pPr>
              <w:spacing w:line="240" w:lineRule="atLeast"/>
              <w:jc w:val="center"/>
              <w:textAlignment w:val="bottom"/>
              <w:rPr>
                <w:color w:val="000000"/>
                <w:kern w:val="0"/>
                <w:sz w:val="21"/>
              </w:rPr>
            </w:pPr>
          </w:p>
        </w:tc>
        <w:tc>
          <w:tcPr>
            <w:tcW w:w="709" w:type="dxa"/>
            <w:vAlign w:val="center"/>
          </w:tcPr>
          <w:p w14:paraId="279351C3">
            <w:pPr>
              <w:spacing w:line="240" w:lineRule="atLeast"/>
              <w:jc w:val="center"/>
              <w:textAlignment w:val="bottom"/>
              <w:rPr>
                <w:color w:val="000000"/>
                <w:kern w:val="0"/>
                <w:sz w:val="21"/>
              </w:rPr>
            </w:pPr>
            <w:r>
              <w:rPr>
                <w:color w:val="000000"/>
                <w:kern w:val="0"/>
                <w:sz w:val="21"/>
              </w:rPr>
              <w:t>南</w:t>
            </w:r>
          </w:p>
        </w:tc>
        <w:tc>
          <w:tcPr>
            <w:tcW w:w="2268" w:type="dxa"/>
            <w:vAlign w:val="center"/>
          </w:tcPr>
          <w:p w14:paraId="0EDF5DDD">
            <w:pPr>
              <w:spacing w:line="240" w:lineRule="atLeast"/>
              <w:jc w:val="center"/>
              <w:textAlignment w:val="bottom"/>
              <w:rPr>
                <w:color w:val="000000"/>
                <w:kern w:val="0"/>
                <w:sz w:val="21"/>
              </w:rPr>
            </w:pPr>
            <w:r>
              <w:rPr>
                <w:color w:val="000000"/>
                <w:kern w:val="0"/>
                <w:sz w:val="21"/>
              </w:rPr>
              <w:t>冷剂储存区（甲类）</w:t>
            </w:r>
          </w:p>
        </w:tc>
        <w:tc>
          <w:tcPr>
            <w:tcW w:w="1134" w:type="dxa"/>
            <w:vAlign w:val="center"/>
          </w:tcPr>
          <w:p w14:paraId="6D9F3E44">
            <w:pPr>
              <w:spacing w:line="240" w:lineRule="atLeast"/>
              <w:jc w:val="center"/>
              <w:textAlignment w:val="bottom"/>
              <w:rPr>
                <w:color w:val="000000"/>
                <w:kern w:val="0"/>
                <w:sz w:val="21"/>
              </w:rPr>
            </w:pPr>
            <w:r>
              <w:rPr>
                <w:color w:val="000000"/>
                <w:kern w:val="0"/>
                <w:sz w:val="21"/>
              </w:rPr>
              <w:t>10</w:t>
            </w:r>
          </w:p>
        </w:tc>
        <w:tc>
          <w:tcPr>
            <w:tcW w:w="1134" w:type="dxa"/>
            <w:vAlign w:val="center"/>
          </w:tcPr>
          <w:p w14:paraId="3A7783CF">
            <w:pPr>
              <w:spacing w:line="240" w:lineRule="atLeast"/>
              <w:jc w:val="center"/>
              <w:textAlignment w:val="bottom"/>
              <w:rPr>
                <w:color w:val="000000"/>
                <w:kern w:val="0"/>
                <w:sz w:val="21"/>
              </w:rPr>
            </w:pPr>
            <w:r>
              <w:rPr>
                <w:color w:val="000000"/>
                <w:kern w:val="0"/>
                <w:sz w:val="21"/>
              </w:rPr>
              <w:t>—</w:t>
            </w:r>
          </w:p>
        </w:tc>
        <w:tc>
          <w:tcPr>
            <w:tcW w:w="851" w:type="dxa"/>
            <w:vAlign w:val="center"/>
          </w:tcPr>
          <w:p w14:paraId="7EF037D1">
            <w:pPr>
              <w:spacing w:line="240" w:lineRule="atLeast"/>
              <w:jc w:val="center"/>
              <w:textAlignment w:val="bottom"/>
              <w:rPr>
                <w:color w:val="000000"/>
                <w:kern w:val="0"/>
                <w:sz w:val="21"/>
              </w:rPr>
            </w:pPr>
            <w:r>
              <w:rPr>
                <w:color w:val="000000"/>
                <w:kern w:val="0"/>
                <w:sz w:val="21"/>
              </w:rPr>
              <w:t>符合</w:t>
            </w:r>
          </w:p>
        </w:tc>
        <w:tc>
          <w:tcPr>
            <w:tcW w:w="1949" w:type="dxa"/>
            <w:vAlign w:val="center"/>
          </w:tcPr>
          <w:p w14:paraId="1031F49E">
            <w:pPr>
              <w:spacing w:line="240" w:lineRule="atLeast"/>
              <w:jc w:val="center"/>
              <w:textAlignment w:val="bottom"/>
              <w:rPr>
                <w:color w:val="000000"/>
                <w:kern w:val="0"/>
                <w:sz w:val="21"/>
              </w:rPr>
            </w:pPr>
            <w:r>
              <w:rPr>
                <w:color w:val="000000"/>
                <w:kern w:val="0"/>
                <w:sz w:val="21"/>
              </w:rPr>
              <w:t>GB51261-2019</w:t>
            </w:r>
          </w:p>
          <w:p w14:paraId="2A4C431C">
            <w:pPr>
              <w:spacing w:line="240" w:lineRule="atLeast"/>
              <w:jc w:val="center"/>
              <w:textAlignment w:val="bottom"/>
              <w:rPr>
                <w:color w:val="000000"/>
                <w:kern w:val="0"/>
                <w:sz w:val="21"/>
              </w:rPr>
            </w:pPr>
            <w:r>
              <w:rPr>
                <w:color w:val="000000"/>
                <w:kern w:val="0"/>
                <w:sz w:val="21"/>
              </w:rPr>
              <w:t>6.3.1</w:t>
            </w:r>
          </w:p>
        </w:tc>
      </w:tr>
      <w:tr w14:paraId="4331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242" w:type="dxa"/>
            <w:vMerge w:val="continue"/>
            <w:vAlign w:val="center"/>
          </w:tcPr>
          <w:p w14:paraId="6C444371">
            <w:pPr>
              <w:spacing w:line="240" w:lineRule="atLeast"/>
              <w:jc w:val="center"/>
              <w:textAlignment w:val="bottom"/>
              <w:rPr>
                <w:color w:val="000000"/>
                <w:kern w:val="0"/>
                <w:sz w:val="21"/>
              </w:rPr>
            </w:pPr>
          </w:p>
        </w:tc>
        <w:tc>
          <w:tcPr>
            <w:tcW w:w="709" w:type="dxa"/>
            <w:vAlign w:val="center"/>
          </w:tcPr>
          <w:p w14:paraId="7E838260">
            <w:pPr>
              <w:spacing w:line="240" w:lineRule="atLeast"/>
              <w:jc w:val="center"/>
              <w:textAlignment w:val="bottom"/>
              <w:rPr>
                <w:color w:val="000000"/>
                <w:kern w:val="0"/>
                <w:sz w:val="21"/>
              </w:rPr>
            </w:pPr>
            <w:r>
              <w:rPr>
                <w:color w:val="000000"/>
                <w:kern w:val="0"/>
                <w:sz w:val="21"/>
              </w:rPr>
              <w:t>西</w:t>
            </w:r>
          </w:p>
        </w:tc>
        <w:tc>
          <w:tcPr>
            <w:tcW w:w="2268" w:type="dxa"/>
            <w:vAlign w:val="center"/>
          </w:tcPr>
          <w:p w14:paraId="5B33DB4B">
            <w:pPr>
              <w:spacing w:line="240" w:lineRule="atLeast"/>
              <w:jc w:val="center"/>
              <w:textAlignment w:val="bottom"/>
              <w:rPr>
                <w:color w:val="000000"/>
                <w:kern w:val="0"/>
                <w:sz w:val="21"/>
              </w:rPr>
            </w:pPr>
            <w:r>
              <w:rPr>
                <w:color w:val="000000"/>
                <w:kern w:val="0"/>
                <w:sz w:val="21"/>
              </w:rPr>
              <w:t>装置区（甲类）</w:t>
            </w:r>
          </w:p>
        </w:tc>
        <w:tc>
          <w:tcPr>
            <w:tcW w:w="1134" w:type="dxa"/>
            <w:vAlign w:val="center"/>
          </w:tcPr>
          <w:p w14:paraId="2F607F2F">
            <w:pPr>
              <w:spacing w:line="240" w:lineRule="atLeast"/>
              <w:jc w:val="center"/>
              <w:textAlignment w:val="bottom"/>
              <w:rPr>
                <w:color w:val="000000"/>
                <w:kern w:val="0"/>
                <w:sz w:val="21"/>
              </w:rPr>
            </w:pPr>
            <w:r>
              <w:rPr>
                <w:color w:val="000000"/>
                <w:kern w:val="0"/>
                <w:sz w:val="21"/>
              </w:rPr>
              <w:t>10</w:t>
            </w:r>
          </w:p>
        </w:tc>
        <w:tc>
          <w:tcPr>
            <w:tcW w:w="1134" w:type="dxa"/>
            <w:vAlign w:val="center"/>
          </w:tcPr>
          <w:p w14:paraId="610E234D">
            <w:pPr>
              <w:spacing w:line="240" w:lineRule="atLeast"/>
              <w:jc w:val="center"/>
              <w:textAlignment w:val="bottom"/>
              <w:rPr>
                <w:color w:val="000000"/>
                <w:kern w:val="0"/>
                <w:sz w:val="21"/>
              </w:rPr>
            </w:pPr>
            <w:r>
              <w:rPr>
                <w:color w:val="000000"/>
                <w:kern w:val="0"/>
                <w:sz w:val="21"/>
              </w:rPr>
              <w:t>—</w:t>
            </w:r>
          </w:p>
        </w:tc>
        <w:tc>
          <w:tcPr>
            <w:tcW w:w="851" w:type="dxa"/>
            <w:vAlign w:val="center"/>
          </w:tcPr>
          <w:p w14:paraId="5DE44DBB">
            <w:pPr>
              <w:spacing w:line="240" w:lineRule="atLeast"/>
              <w:jc w:val="center"/>
              <w:textAlignment w:val="bottom"/>
              <w:rPr>
                <w:color w:val="000000"/>
                <w:kern w:val="0"/>
                <w:sz w:val="21"/>
              </w:rPr>
            </w:pPr>
            <w:r>
              <w:rPr>
                <w:color w:val="000000"/>
                <w:kern w:val="0"/>
                <w:sz w:val="21"/>
              </w:rPr>
              <w:t>符合</w:t>
            </w:r>
          </w:p>
        </w:tc>
        <w:tc>
          <w:tcPr>
            <w:tcW w:w="1949" w:type="dxa"/>
            <w:vAlign w:val="center"/>
          </w:tcPr>
          <w:p w14:paraId="13CF9B29">
            <w:pPr>
              <w:spacing w:line="240" w:lineRule="atLeast"/>
              <w:jc w:val="center"/>
              <w:textAlignment w:val="bottom"/>
              <w:rPr>
                <w:color w:val="000000"/>
                <w:kern w:val="0"/>
                <w:sz w:val="21"/>
              </w:rPr>
            </w:pPr>
            <w:r>
              <w:rPr>
                <w:color w:val="000000"/>
                <w:kern w:val="0"/>
                <w:sz w:val="21"/>
              </w:rPr>
              <w:t>GB51261-2019</w:t>
            </w:r>
          </w:p>
          <w:p w14:paraId="0535669D">
            <w:pPr>
              <w:spacing w:line="240" w:lineRule="atLeast"/>
              <w:jc w:val="center"/>
              <w:textAlignment w:val="bottom"/>
              <w:rPr>
                <w:color w:val="000000"/>
                <w:kern w:val="0"/>
                <w:sz w:val="21"/>
              </w:rPr>
            </w:pPr>
            <w:r>
              <w:rPr>
                <w:color w:val="000000"/>
                <w:kern w:val="0"/>
                <w:sz w:val="21"/>
              </w:rPr>
              <w:t>6.3.1</w:t>
            </w:r>
          </w:p>
        </w:tc>
      </w:tr>
      <w:tr w14:paraId="0904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242" w:type="dxa"/>
            <w:vMerge w:val="continue"/>
            <w:vAlign w:val="center"/>
          </w:tcPr>
          <w:p w14:paraId="720141F6">
            <w:pPr>
              <w:spacing w:line="240" w:lineRule="atLeast"/>
              <w:jc w:val="center"/>
              <w:textAlignment w:val="bottom"/>
              <w:rPr>
                <w:color w:val="000000"/>
                <w:kern w:val="0"/>
                <w:sz w:val="21"/>
              </w:rPr>
            </w:pPr>
          </w:p>
        </w:tc>
        <w:tc>
          <w:tcPr>
            <w:tcW w:w="709" w:type="dxa"/>
            <w:vAlign w:val="center"/>
          </w:tcPr>
          <w:p w14:paraId="61BECD31">
            <w:pPr>
              <w:spacing w:line="240" w:lineRule="atLeast"/>
              <w:jc w:val="center"/>
              <w:textAlignment w:val="bottom"/>
              <w:rPr>
                <w:color w:val="000000"/>
                <w:kern w:val="0"/>
                <w:sz w:val="21"/>
              </w:rPr>
            </w:pPr>
            <w:r>
              <w:rPr>
                <w:color w:val="000000"/>
                <w:kern w:val="0"/>
                <w:sz w:val="21"/>
              </w:rPr>
              <w:t>北</w:t>
            </w:r>
          </w:p>
        </w:tc>
        <w:tc>
          <w:tcPr>
            <w:tcW w:w="2268" w:type="dxa"/>
            <w:vAlign w:val="center"/>
          </w:tcPr>
          <w:p w14:paraId="7350A673">
            <w:pPr>
              <w:spacing w:line="240" w:lineRule="atLeast"/>
              <w:jc w:val="center"/>
              <w:textAlignment w:val="bottom"/>
              <w:rPr>
                <w:color w:val="000000"/>
                <w:kern w:val="0"/>
                <w:sz w:val="21"/>
              </w:rPr>
            </w:pPr>
            <w:r>
              <w:rPr>
                <w:color w:val="000000"/>
                <w:kern w:val="0"/>
                <w:sz w:val="21"/>
              </w:rPr>
              <w:t>导热油炉区</w:t>
            </w:r>
          </w:p>
          <w:p w14:paraId="06148CBA">
            <w:pPr>
              <w:spacing w:line="240" w:lineRule="atLeast"/>
              <w:jc w:val="center"/>
              <w:textAlignment w:val="bottom"/>
              <w:rPr>
                <w:color w:val="000000"/>
                <w:kern w:val="0"/>
                <w:sz w:val="21"/>
              </w:rPr>
            </w:pPr>
            <w:r>
              <w:rPr>
                <w:color w:val="000000"/>
                <w:kern w:val="0"/>
                <w:sz w:val="21"/>
              </w:rPr>
              <w:t>（明火加热炉）</w:t>
            </w:r>
          </w:p>
        </w:tc>
        <w:tc>
          <w:tcPr>
            <w:tcW w:w="1134" w:type="dxa"/>
            <w:vAlign w:val="center"/>
          </w:tcPr>
          <w:p w14:paraId="4FD868FE">
            <w:pPr>
              <w:spacing w:line="240" w:lineRule="atLeast"/>
              <w:jc w:val="center"/>
              <w:textAlignment w:val="bottom"/>
              <w:rPr>
                <w:color w:val="000000"/>
                <w:kern w:val="0"/>
                <w:sz w:val="21"/>
              </w:rPr>
            </w:pPr>
            <w:r>
              <w:rPr>
                <w:color w:val="000000"/>
                <w:kern w:val="0"/>
                <w:sz w:val="21"/>
              </w:rPr>
              <w:t>23</w:t>
            </w:r>
          </w:p>
        </w:tc>
        <w:tc>
          <w:tcPr>
            <w:tcW w:w="1134" w:type="dxa"/>
            <w:vAlign w:val="center"/>
          </w:tcPr>
          <w:p w14:paraId="3E16B860">
            <w:pPr>
              <w:spacing w:line="240" w:lineRule="atLeast"/>
              <w:jc w:val="center"/>
              <w:textAlignment w:val="bottom"/>
              <w:rPr>
                <w:color w:val="000000"/>
                <w:kern w:val="0"/>
                <w:sz w:val="21"/>
              </w:rPr>
            </w:pPr>
            <w:r>
              <w:rPr>
                <w:color w:val="000000"/>
                <w:kern w:val="0"/>
                <w:sz w:val="21"/>
              </w:rPr>
              <w:t>22.5</w:t>
            </w:r>
          </w:p>
        </w:tc>
        <w:tc>
          <w:tcPr>
            <w:tcW w:w="851" w:type="dxa"/>
            <w:vAlign w:val="center"/>
          </w:tcPr>
          <w:p w14:paraId="5AE4646A">
            <w:pPr>
              <w:spacing w:line="240" w:lineRule="atLeast"/>
              <w:jc w:val="center"/>
              <w:textAlignment w:val="bottom"/>
              <w:rPr>
                <w:color w:val="000000"/>
                <w:kern w:val="0"/>
                <w:sz w:val="21"/>
              </w:rPr>
            </w:pPr>
            <w:r>
              <w:rPr>
                <w:color w:val="000000"/>
                <w:kern w:val="0"/>
                <w:sz w:val="21"/>
              </w:rPr>
              <w:t>符合</w:t>
            </w:r>
          </w:p>
        </w:tc>
        <w:tc>
          <w:tcPr>
            <w:tcW w:w="1949" w:type="dxa"/>
            <w:vAlign w:val="center"/>
          </w:tcPr>
          <w:p w14:paraId="4B16643E">
            <w:pPr>
              <w:spacing w:line="240" w:lineRule="atLeast"/>
              <w:jc w:val="center"/>
              <w:textAlignment w:val="bottom"/>
              <w:rPr>
                <w:color w:val="000000"/>
                <w:kern w:val="0"/>
                <w:sz w:val="21"/>
              </w:rPr>
            </w:pPr>
            <w:r>
              <w:rPr>
                <w:color w:val="000000"/>
                <w:kern w:val="0"/>
                <w:sz w:val="21"/>
              </w:rPr>
              <w:t>GB51261-2019</w:t>
            </w:r>
          </w:p>
          <w:p w14:paraId="2161DE51">
            <w:pPr>
              <w:spacing w:line="240" w:lineRule="atLeast"/>
              <w:jc w:val="center"/>
              <w:textAlignment w:val="bottom"/>
              <w:rPr>
                <w:color w:val="000000"/>
                <w:kern w:val="0"/>
                <w:sz w:val="21"/>
              </w:rPr>
            </w:pPr>
            <w:r>
              <w:rPr>
                <w:color w:val="000000"/>
                <w:kern w:val="0"/>
                <w:sz w:val="21"/>
              </w:rPr>
              <w:t>6.3.0</w:t>
            </w:r>
          </w:p>
          <w:p w14:paraId="2645C7E7">
            <w:pPr>
              <w:spacing w:line="240" w:lineRule="atLeast"/>
              <w:jc w:val="center"/>
              <w:textAlignment w:val="bottom"/>
              <w:rPr>
                <w:color w:val="000000"/>
                <w:kern w:val="0"/>
                <w:sz w:val="21"/>
              </w:rPr>
            </w:pPr>
            <w:r>
              <w:rPr>
                <w:color w:val="000000"/>
                <w:kern w:val="0"/>
                <w:sz w:val="21"/>
              </w:rPr>
              <w:t>SH/T3011-2011</w:t>
            </w:r>
          </w:p>
          <w:p w14:paraId="5507C9D7">
            <w:pPr>
              <w:spacing w:line="240" w:lineRule="atLeast"/>
              <w:jc w:val="center"/>
              <w:textAlignment w:val="bottom"/>
              <w:rPr>
                <w:color w:val="000000"/>
                <w:kern w:val="0"/>
                <w:sz w:val="21"/>
              </w:rPr>
            </w:pPr>
            <w:r>
              <w:rPr>
                <w:color w:val="000000"/>
                <w:kern w:val="0"/>
                <w:sz w:val="21"/>
              </w:rPr>
              <w:t>5.6.9</w:t>
            </w:r>
          </w:p>
        </w:tc>
      </w:tr>
      <w:tr w14:paraId="0D06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242" w:type="dxa"/>
            <w:vMerge w:val="restart"/>
            <w:vAlign w:val="center"/>
          </w:tcPr>
          <w:p w14:paraId="74ABB2E9">
            <w:pPr>
              <w:spacing w:line="240" w:lineRule="atLeast"/>
              <w:jc w:val="center"/>
              <w:textAlignment w:val="bottom"/>
              <w:rPr>
                <w:color w:val="000000"/>
                <w:kern w:val="0"/>
                <w:sz w:val="21"/>
              </w:rPr>
            </w:pPr>
            <w:r>
              <w:rPr>
                <w:color w:val="000000"/>
                <w:kern w:val="0"/>
                <w:sz w:val="21"/>
              </w:rPr>
              <w:t>氦气储存充装区（戊类）</w:t>
            </w:r>
          </w:p>
        </w:tc>
        <w:tc>
          <w:tcPr>
            <w:tcW w:w="709" w:type="dxa"/>
            <w:vAlign w:val="center"/>
          </w:tcPr>
          <w:p w14:paraId="25F7D71E">
            <w:pPr>
              <w:spacing w:line="240" w:lineRule="atLeast"/>
              <w:jc w:val="center"/>
              <w:textAlignment w:val="bottom"/>
              <w:rPr>
                <w:color w:val="000000"/>
                <w:kern w:val="0"/>
                <w:sz w:val="21"/>
              </w:rPr>
            </w:pPr>
            <w:r>
              <w:rPr>
                <w:color w:val="000000"/>
                <w:kern w:val="0"/>
                <w:sz w:val="21"/>
              </w:rPr>
              <w:t>东</w:t>
            </w:r>
          </w:p>
        </w:tc>
        <w:tc>
          <w:tcPr>
            <w:tcW w:w="2268" w:type="dxa"/>
            <w:vAlign w:val="center"/>
          </w:tcPr>
          <w:p w14:paraId="245C0C85">
            <w:pPr>
              <w:spacing w:line="240" w:lineRule="atLeast"/>
              <w:jc w:val="center"/>
              <w:textAlignment w:val="bottom"/>
              <w:rPr>
                <w:color w:val="000000"/>
                <w:kern w:val="0"/>
                <w:sz w:val="21"/>
              </w:rPr>
            </w:pPr>
            <w:r>
              <w:rPr>
                <w:color w:val="000000"/>
                <w:kern w:val="0"/>
                <w:sz w:val="21"/>
              </w:rPr>
              <w:t>二期预留空地</w:t>
            </w:r>
          </w:p>
        </w:tc>
        <w:tc>
          <w:tcPr>
            <w:tcW w:w="1134" w:type="dxa"/>
            <w:vAlign w:val="center"/>
          </w:tcPr>
          <w:p w14:paraId="7D86DE51">
            <w:pPr>
              <w:spacing w:line="240" w:lineRule="atLeast"/>
              <w:jc w:val="center"/>
              <w:textAlignment w:val="bottom"/>
              <w:rPr>
                <w:color w:val="000000"/>
                <w:kern w:val="0"/>
                <w:sz w:val="21"/>
              </w:rPr>
            </w:pPr>
            <w:r>
              <w:rPr>
                <w:color w:val="000000"/>
                <w:kern w:val="0"/>
                <w:sz w:val="21"/>
              </w:rPr>
              <w:t>—</w:t>
            </w:r>
          </w:p>
        </w:tc>
        <w:tc>
          <w:tcPr>
            <w:tcW w:w="1134" w:type="dxa"/>
          </w:tcPr>
          <w:p w14:paraId="5F40D70B">
            <w:pPr>
              <w:spacing w:line="240" w:lineRule="atLeast"/>
              <w:jc w:val="center"/>
              <w:textAlignment w:val="bottom"/>
              <w:rPr>
                <w:color w:val="000000"/>
                <w:kern w:val="0"/>
                <w:sz w:val="21"/>
              </w:rPr>
            </w:pPr>
            <w:r>
              <w:rPr>
                <w:color w:val="000000"/>
                <w:kern w:val="0"/>
                <w:sz w:val="21"/>
              </w:rPr>
              <w:t>—</w:t>
            </w:r>
          </w:p>
        </w:tc>
        <w:tc>
          <w:tcPr>
            <w:tcW w:w="851" w:type="dxa"/>
            <w:vAlign w:val="center"/>
          </w:tcPr>
          <w:p w14:paraId="254AF5D8">
            <w:pPr>
              <w:spacing w:line="240" w:lineRule="atLeast"/>
              <w:jc w:val="center"/>
              <w:textAlignment w:val="bottom"/>
              <w:rPr>
                <w:color w:val="000000"/>
                <w:kern w:val="0"/>
                <w:sz w:val="21"/>
              </w:rPr>
            </w:pPr>
            <w:r>
              <w:rPr>
                <w:color w:val="000000"/>
                <w:kern w:val="0"/>
                <w:sz w:val="21"/>
              </w:rPr>
              <w:t>符合</w:t>
            </w:r>
          </w:p>
        </w:tc>
        <w:tc>
          <w:tcPr>
            <w:tcW w:w="1949" w:type="dxa"/>
            <w:vAlign w:val="center"/>
          </w:tcPr>
          <w:p w14:paraId="62C2F7F1">
            <w:pPr>
              <w:spacing w:line="240" w:lineRule="atLeast"/>
              <w:jc w:val="center"/>
              <w:textAlignment w:val="bottom"/>
              <w:rPr>
                <w:color w:val="000000"/>
                <w:kern w:val="0"/>
                <w:sz w:val="21"/>
              </w:rPr>
            </w:pPr>
          </w:p>
        </w:tc>
      </w:tr>
      <w:tr w14:paraId="122F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242" w:type="dxa"/>
            <w:vMerge w:val="continue"/>
            <w:vAlign w:val="center"/>
          </w:tcPr>
          <w:p w14:paraId="3A975C5F">
            <w:pPr>
              <w:spacing w:line="240" w:lineRule="atLeast"/>
              <w:jc w:val="center"/>
              <w:textAlignment w:val="bottom"/>
              <w:rPr>
                <w:color w:val="000000"/>
                <w:kern w:val="0"/>
                <w:sz w:val="21"/>
              </w:rPr>
            </w:pPr>
          </w:p>
        </w:tc>
        <w:tc>
          <w:tcPr>
            <w:tcW w:w="709" w:type="dxa"/>
            <w:vAlign w:val="center"/>
          </w:tcPr>
          <w:p w14:paraId="6F038EF6">
            <w:pPr>
              <w:spacing w:line="240" w:lineRule="atLeast"/>
              <w:jc w:val="center"/>
              <w:textAlignment w:val="bottom"/>
              <w:rPr>
                <w:color w:val="000000"/>
                <w:kern w:val="0"/>
                <w:sz w:val="21"/>
              </w:rPr>
            </w:pPr>
            <w:r>
              <w:rPr>
                <w:color w:val="000000"/>
                <w:kern w:val="0"/>
                <w:sz w:val="21"/>
              </w:rPr>
              <w:t>南</w:t>
            </w:r>
          </w:p>
        </w:tc>
        <w:tc>
          <w:tcPr>
            <w:tcW w:w="2268" w:type="dxa"/>
            <w:vAlign w:val="center"/>
          </w:tcPr>
          <w:p w14:paraId="2F9DA3FF">
            <w:pPr>
              <w:spacing w:line="240" w:lineRule="atLeast"/>
              <w:jc w:val="center"/>
              <w:textAlignment w:val="bottom"/>
              <w:rPr>
                <w:color w:val="000000"/>
                <w:kern w:val="0"/>
                <w:sz w:val="21"/>
              </w:rPr>
            </w:pPr>
            <w:r>
              <w:rPr>
                <w:color w:val="000000"/>
                <w:kern w:val="0"/>
                <w:sz w:val="21"/>
              </w:rPr>
              <w:t>二期预留空地</w:t>
            </w:r>
          </w:p>
        </w:tc>
        <w:tc>
          <w:tcPr>
            <w:tcW w:w="1134" w:type="dxa"/>
            <w:vAlign w:val="center"/>
          </w:tcPr>
          <w:p w14:paraId="5E525D03">
            <w:pPr>
              <w:spacing w:line="240" w:lineRule="atLeast"/>
              <w:jc w:val="center"/>
              <w:textAlignment w:val="bottom"/>
              <w:rPr>
                <w:color w:val="000000"/>
                <w:kern w:val="0"/>
                <w:sz w:val="21"/>
              </w:rPr>
            </w:pPr>
            <w:r>
              <w:rPr>
                <w:color w:val="000000"/>
                <w:kern w:val="0"/>
                <w:sz w:val="21"/>
              </w:rPr>
              <w:t>—</w:t>
            </w:r>
          </w:p>
        </w:tc>
        <w:tc>
          <w:tcPr>
            <w:tcW w:w="1134" w:type="dxa"/>
          </w:tcPr>
          <w:p w14:paraId="0EBF1B7C">
            <w:pPr>
              <w:spacing w:line="240" w:lineRule="atLeast"/>
              <w:jc w:val="center"/>
              <w:textAlignment w:val="bottom"/>
              <w:rPr>
                <w:color w:val="000000"/>
                <w:kern w:val="0"/>
                <w:sz w:val="21"/>
              </w:rPr>
            </w:pPr>
            <w:r>
              <w:rPr>
                <w:color w:val="000000"/>
                <w:kern w:val="0"/>
                <w:sz w:val="21"/>
              </w:rPr>
              <w:t>—</w:t>
            </w:r>
          </w:p>
        </w:tc>
        <w:tc>
          <w:tcPr>
            <w:tcW w:w="851" w:type="dxa"/>
            <w:vAlign w:val="center"/>
          </w:tcPr>
          <w:p w14:paraId="1D1BE66F">
            <w:pPr>
              <w:spacing w:line="240" w:lineRule="atLeast"/>
              <w:jc w:val="center"/>
              <w:textAlignment w:val="bottom"/>
              <w:rPr>
                <w:color w:val="000000"/>
                <w:kern w:val="0"/>
                <w:sz w:val="21"/>
              </w:rPr>
            </w:pPr>
            <w:r>
              <w:rPr>
                <w:color w:val="000000"/>
                <w:kern w:val="0"/>
                <w:sz w:val="21"/>
              </w:rPr>
              <w:t>符合</w:t>
            </w:r>
          </w:p>
        </w:tc>
        <w:tc>
          <w:tcPr>
            <w:tcW w:w="1949" w:type="dxa"/>
            <w:vAlign w:val="center"/>
          </w:tcPr>
          <w:p w14:paraId="29E723D6">
            <w:pPr>
              <w:spacing w:line="240" w:lineRule="atLeast"/>
              <w:jc w:val="center"/>
              <w:textAlignment w:val="bottom"/>
              <w:rPr>
                <w:color w:val="000000"/>
                <w:kern w:val="0"/>
                <w:sz w:val="21"/>
              </w:rPr>
            </w:pPr>
          </w:p>
        </w:tc>
      </w:tr>
      <w:tr w14:paraId="1B0C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242" w:type="dxa"/>
            <w:vMerge w:val="continue"/>
            <w:vAlign w:val="center"/>
          </w:tcPr>
          <w:p w14:paraId="2D6FBBC6">
            <w:pPr>
              <w:spacing w:line="240" w:lineRule="atLeast"/>
              <w:jc w:val="center"/>
              <w:textAlignment w:val="bottom"/>
              <w:rPr>
                <w:color w:val="000000"/>
                <w:kern w:val="0"/>
                <w:sz w:val="21"/>
              </w:rPr>
            </w:pPr>
          </w:p>
        </w:tc>
        <w:tc>
          <w:tcPr>
            <w:tcW w:w="709" w:type="dxa"/>
            <w:vAlign w:val="center"/>
          </w:tcPr>
          <w:p w14:paraId="0F5D6EE1">
            <w:pPr>
              <w:spacing w:line="240" w:lineRule="atLeast"/>
              <w:jc w:val="center"/>
              <w:textAlignment w:val="bottom"/>
              <w:rPr>
                <w:color w:val="000000"/>
                <w:kern w:val="0"/>
                <w:sz w:val="21"/>
              </w:rPr>
            </w:pPr>
            <w:r>
              <w:rPr>
                <w:color w:val="000000"/>
                <w:kern w:val="0"/>
                <w:sz w:val="21"/>
              </w:rPr>
              <w:t>西</w:t>
            </w:r>
          </w:p>
        </w:tc>
        <w:tc>
          <w:tcPr>
            <w:tcW w:w="2268" w:type="dxa"/>
            <w:vAlign w:val="center"/>
          </w:tcPr>
          <w:p w14:paraId="69F09453">
            <w:pPr>
              <w:spacing w:line="240" w:lineRule="atLeast"/>
              <w:jc w:val="center"/>
              <w:textAlignment w:val="bottom"/>
              <w:rPr>
                <w:color w:val="000000"/>
                <w:kern w:val="0"/>
                <w:sz w:val="21"/>
              </w:rPr>
            </w:pPr>
            <w:r>
              <w:rPr>
                <w:color w:val="000000"/>
                <w:kern w:val="0"/>
                <w:sz w:val="21"/>
              </w:rPr>
              <w:t>导热油炉区（丙类）</w:t>
            </w:r>
          </w:p>
        </w:tc>
        <w:tc>
          <w:tcPr>
            <w:tcW w:w="1134" w:type="dxa"/>
            <w:vAlign w:val="center"/>
          </w:tcPr>
          <w:p w14:paraId="57472152">
            <w:pPr>
              <w:spacing w:line="240" w:lineRule="atLeast"/>
              <w:jc w:val="center"/>
              <w:textAlignment w:val="bottom"/>
              <w:rPr>
                <w:color w:val="000000"/>
                <w:kern w:val="0"/>
                <w:sz w:val="21"/>
              </w:rPr>
            </w:pPr>
            <w:r>
              <w:rPr>
                <w:color w:val="000000"/>
                <w:kern w:val="0"/>
                <w:sz w:val="21"/>
              </w:rPr>
              <w:t>—</w:t>
            </w:r>
          </w:p>
        </w:tc>
        <w:tc>
          <w:tcPr>
            <w:tcW w:w="1134" w:type="dxa"/>
          </w:tcPr>
          <w:p w14:paraId="68B901E7">
            <w:pPr>
              <w:spacing w:line="240" w:lineRule="atLeast"/>
              <w:jc w:val="center"/>
              <w:textAlignment w:val="bottom"/>
              <w:rPr>
                <w:color w:val="000000"/>
                <w:kern w:val="0"/>
                <w:sz w:val="21"/>
              </w:rPr>
            </w:pPr>
            <w:r>
              <w:rPr>
                <w:color w:val="000000"/>
                <w:kern w:val="0"/>
                <w:sz w:val="21"/>
              </w:rPr>
              <w:t>—</w:t>
            </w:r>
          </w:p>
        </w:tc>
        <w:tc>
          <w:tcPr>
            <w:tcW w:w="851" w:type="dxa"/>
            <w:vAlign w:val="center"/>
          </w:tcPr>
          <w:p w14:paraId="451F563B">
            <w:pPr>
              <w:spacing w:line="240" w:lineRule="atLeast"/>
              <w:jc w:val="center"/>
              <w:textAlignment w:val="bottom"/>
              <w:rPr>
                <w:color w:val="000000"/>
                <w:kern w:val="0"/>
                <w:sz w:val="21"/>
              </w:rPr>
            </w:pPr>
            <w:r>
              <w:rPr>
                <w:color w:val="000000"/>
                <w:kern w:val="0"/>
                <w:sz w:val="21"/>
              </w:rPr>
              <w:t>符合</w:t>
            </w:r>
          </w:p>
        </w:tc>
        <w:tc>
          <w:tcPr>
            <w:tcW w:w="1949" w:type="dxa"/>
            <w:vAlign w:val="center"/>
          </w:tcPr>
          <w:p w14:paraId="73227533">
            <w:pPr>
              <w:spacing w:line="240" w:lineRule="atLeast"/>
              <w:jc w:val="center"/>
              <w:textAlignment w:val="bottom"/>
              <w:rPr>
                <w:color w:val="000000"/>
                <w:kern w:val="0"/>
                <w:sz w:val="21"/>
              </w:rPr>
            </w:pPr>
            <w:r>
              <w:rPr>
                <w:color w:val="000000"/>
                <w:kern w:val="0"/>
                <w:sz w:val="21"/>
              </w:rPr>
              <w:t>GB51261-2019</w:t>
            </w:r>
          </w:p>
          <w:p w14:paraId="1715704D">
            <w:pPr>
              <w:spacing w:line="240" w:lineRule="atLeast"/>
              <w:jc w:val="center"/>
              <w:textAlignment w:val="bottom"/>
              <w:rPr>
                <w:color w:val="000000"/>
                <w:kern w:val="0"/>
                <w:sz w:val="21"/>
              </w:rPr>
            </w:pPr>
            <w:r>
              <w:rPr>
                <w:color w:val="000000"/>
                <w:kern w:val="0"/>
                <w:sz w:val="21"/>
              </w:rPr>
              <w:t>6.3.1</w:t>
            </w:r>
          </w:p>
        </w:tc>
      </w:tr>
      <w:tr w14:paraId="7C9E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242" w:type="dxa"/>
            <w:vMerge w:val="continue"/>
            <w:vAlign w:val="center"/>
          </w:tcPr>
          <w:p w14:paraId="11844BF9">
            <w:pPr>
              <w:spacing w:line="240" w:lineRule="atLeast"/>
              <w:jc w:val="center"/>
              <w:textAlignment w:val="bottom"/>
              <w:rPr>
                <w:color w:val="000000"/>
                <w:kern w:val="0"/>
                <w:sz w:val="21"/>
              </w:rPr>
            </w:pPr>
          </w:p>
        </w:tc>
        <w:tc>
          <w:tcPr>
            <w:tcW w:w="709" w:type="dxa"/>
            <w:vAlign w:val="center"/>
          </w:tcPr>
          <w:p w14:paraId="50C627E6">
            <w:pPr>
              <w:spacing w:line="240" w:lineRule="atLeast"/>
              <w:jc w:val="center"/>
              <w:textAlignment w:val="bottom"/>
              <w:rPr>
                <w:color w:val="000000"/>
                <w:kern w:val="0"/>
                <w:sz w:val="21"/>
              </w:rPr>
            </w:pPr>
            <w:r>
              <w:rPr>
                <w:color w:val="000000"/>
                <w:kern w:val="0"/>
                <w:sz w:val="21"/>
              </w:rPr>
              <w:t>北</w:t>
            </w:r>
          </w:p>
        </w:tc>
        <w:tc>
          <w:tcPr>
            <w:tcW w:w="2268" w:type="dxa"/>
            <w:vAlign w:val="center"/>
          </w:tcPr>
          <w:p w14:paraId="2125DD85">
            <w:pPr>
              <w:spacing w:line="240" w:lineRule="atLeast"/>
              <w:jc w:val="center"/>
              <w:textAlignment w:val="bottom"/>
              <w:rPr>
                <w:color w:val="000000"/>
                <w:kern w:val="0"/>
                <w:sz w:val="21"/>
              </w:rPr>
            </w:pPr>
            <w:r>
              <w:rPr>
                <w:color w:val="000000"/>
                <w:kern w:val="0"/>
                <w:sz w:val="21"/>
              </w:rPr>
              <w:t>围墙</w:t>
            </w:r>
          </w:p>
        </w:tc>
        <w:tc>
          <w:tcPr>
            <w:tcW w:w="1134" w:type="dxa"/>
            <w:vAlign w:val="center"/>
          </w:tcPr>
          <w:p w14:paraId="025B3CBD">
            <w:pPr>
              <w:spacing w:line="240" w:lineRule="atLeast"/>
              <w:jc w:val="center"/>
              <w:textAlignment w:val="bottom"/>
              <w:rPr>
                <w:color w:val="000000"/>
                <w:kern w:val="0"/>
                <w:sz w:val="21"/>
              </w:rPr>
            </w:pPr>
          </w:p>
        </w:tc>
        <w:tc>
          <w:tcPr>
            <w:tcW w:w="1134" w:type="dxa"/>
            <w:vAlign w:val="center"/>
          </w:tcPr>
          <w:p w14:paraId="7AB7243B">
            <w:pPr>
              <w:spacing w:line="240" w:lineRule="atLeast"/>
              <w:jc w:val="center"/>
              <w:textAlignment w:val="bottom"/>
              <w:rPr>
                <w:color w:val="000000"/>
                <w:kern w:val="0"/>
                <w:sz w:val="21"/>
              </w:rPr>
            </w:pPr>
          </w:p>
        </w:tc>
        <w:tc>
          <w:tcPr>
            <w:tcW w:w="851" w:type="dxa"/>
            <w:vAlign w:val="center"/>
          </w:tcPr>
          <w:p w14:paraId="78DAB00B">
            <w:pPr>
              <w:spacing w:line="240" w:lineRule="atLeast"/>
              <w:jc w:val="center"/>
              <w:textAlignment w:val="bottom"/>
              <w:rPr>
                <w:color w:val="000000"/>
                <w:kern w:val="0"/>
                <w:sz w:val="21"/>
              </w:rPr>
            </w:pPr>
            <w:r>
              <w:rPr>
                <w:color w:val="000000"/>
                <w:kern w:val="0"/>
                <w:sz w:val="21"/>
              </w:rPr>
              <w:t>符合</w:t>
            </w:r>
          </w:p>
        </w:tc>
        <w:tc>
          <w:tcPr>
            <w:tcW w:w="1949" w:type="dxa"/>
            <w:vAlign w:val="center"/>
          </w:tcPr>
          <w:p w14:paraId="648C6A5C">
            <w:pPr>
              <w:spacing w:line="240" w:lineRule="atLeast"/>
              <w:jc w:val="center"/>
              <w:textAlignment w:val="bottom"/>
              <w:rPr>
                <w:color w:val="000000"/>
                <w:kern w:val="0"/>
                <w:sz w:val="21"/>
              </w:rPr>
            </w:pPr>
          </w:p>
        </w:tc>
      </w:tr>
    </w:tbl>
    <w:p w14:paraId="0474BAA1">
      <w:pPr>
        <w:spacing w:line="240" w:lineRule="atLeast"/>
        <w:textAlignment w:val="bottom"/>
        <w:rPr>
          <w:color w:val="000000"/>
          <w:kern w:val="0"/>
          <w:sz w:val="21"/>
        </w:rPr>
      </w:pPr>
      <w:r>
        <w:rPr>
          <w:color w:val="000000"/>
          <w:kern w:val="0"/>
          <w:sz w:val="21"/>
        </w:rPr>
        <w:t>说明：（1）氦气提纯工艺区装置因涉及氢气催化燃烧，所以火灾危险性类别定为甲类；（2）表中“—”表示无防火间距要求。</w:t>
      </w:r>
    </w:p>
    <w:p w14:paraId="63BE2272">
      <w:pPr>
        <w:ind w:firstLine="480"/>
        <w:rPr>
          <w:color w:val="000000"/>
        </w:rPr>
        <w:sectPr>
          <w:footerReference r:id="rId12" w:type="default"/>
          <w:pgSz w:w="11905" w:h="16838"/>
          <w:pgMar w:top="1440" w:right="1531" w:bottom="1440" w:left="1531" w:header="850" w:footer="907" w:gutter="0"/>
          <w:cols w:space="720" w:num="1"/>
          <w:docGrid w:type="lines" w:linePitch="332" w:charSpace="0"/>
        </w:sectPr>
      </w:pPr>
    </w:p>
    <w:p w14:paraId="4FEFCA19">
      <w:pPr>
        <w:pStyle w:val="770"/>
        <w:rPr>
          <w:bCs w:val="0"/>
          <w:color w:val="000000"/>
        </w:rPr>
      </w:pPr>
      <w:bookmarkStart w:id="218" w:name="_Toc32592"/>
      <w:r>
        <w:rPr>
          <w:bCs w:val="0"/>
          <w:color w:val="000000"/>
        </w:rPr>
        <w:t>3.2工程分析</w:t>
      </w:r>
      <w:bookmarkEnd w:id="218"/>
    </w:p>
    <w:p w14:paraId="7C34331A">
      <w:pPr>
        <w:pStyle w:val="771"/>
        <w:rPr>
          <w:color w:val="000000"/>
        </w:rPr>
      </w:pPr>
      <w:r>
        <w:rPr>
          <w:color w:val="000000"/>
        </w:rPr>
        <w:t>3.2.1工艺比选</w:t>
      </w:r>
    </w:p>
    <w:p w14:paraId="3D4B1FEF">
      <w:pPr>
        <w:ind w:firstLine="480" w:firstLineChars="200"/>
        <w:rPr>
          <w:color w:val="000000"/>
        </w:rPr>
      </w:pPr>
      <w:r>
        <w:rPr>
          <w:color w:val="000000"/>
        </w:rPr>
        <w:t>BOG尾气提氦装置工艺路线为BOG尾气→催化燃烧脱氢→压缩脱碳干燥→深冷分离→膜分离→低温精制→装瓶（99.999%（摩尔比）氦气产品）。拟扩建项目为保证产品质量，在膜分离后增加了吸附脱氢和脱碳干燥脱水单元。</w:t>
      </w:r>
    </w:p>
    <w:p w14:paraId="3AFA3DAE">
      <w:pPr>
        <w:pStyle w:val="771"/>
        <w:rPr>
          <w:color w:val="000000"/>
        </w:rPr>
      </w:pPr>
      <w:r>
        <w:rPr>
          <w:color w:val="000000"/>
        </w:rPr>
        <w:t>3.2.2生产工艺</w:t>
      </w:r>
    </w:p>
    <w:p w14:paraId="67692AB2">
      <w:pPr>
        <w:ind w:firstLine="480" w:firstLineChars="200"/>
        <w:rPr>
          <w:color w:val="000000"/>
        </w:rPr>
      </w:pPr>
      <w:r>
        <w:rPr>
          <w:color w:val="000000"/>
        </w:rPr>
        <w:t>来自现有LNG工厂的BOG尾气，经催化燃烧脱氢后，送入压缩脱碳干燥单元脱水，然后进入深冷分离单元、膜分离单元进一步脱除氮和甲烷，再通过吸附脱氢和脱碳干燥脱水保证产品质量，最后进入低温吸附单元实现微量杂质的高精度分离，将氦气提纯至99.999%（摩尔比）后装瓶。</w:t>
      </w:r>
    </w:p>
    <w:p w14:paraId="6E4B83A1">
      <w:pPr>
        <w:ind w:firstLine="480" w:firstLineChars="200"/>
        <w:rPr>
          <w:color w:val="000000"/>
        </w:rPr>
        <w:sectPr>
          <w:pgSz w:w="11905" w:h="16838"/>
          <w:pgMar w:top="1440" w:right="1531" w:bottom="1440" w:left="1531" w:header="850" w:footer="907" w:gutter="0"/>
          <w:cols w:space="720" w:num="1"/>
          <w:docGrid w:type="lines" w:linePitch="332" w:charSpace="0"/>
        </w:sectPr>
      </w:pPr>
      <w:r>
        <w:rPr>
          <w:color w:val="000000"/>
        </w:rPr>
        <w:pict>
          <v:shape id="Object 612" o:spid="_x0000_s1032" o:spt="75" type="#_x0000_t75" style="position:absolute;left:0pt;margin-left:0.65pt;margin-top:3.1pt;height:384.9pt;width:442.05pt;mso-wrap-distance-bottom:0pt;mso-wrap-distance-top:0pt;z-index:251662336;mso-width-relative:page;mso-height-relative:page;" o:ole="t" filled="f" o:preferrelative="t" stroked="f" coordsize="21600,21600">
            <v:path/>
            <v:fill on="f" focussize="0,0"/>
            <v:stroke on="f" joinstyle="miter"/>
            <v:imagedata r:id="rId25" o:title=""/>
            <o:lock v:ext="edit" aspectratio="t"/>
            <w10:wrap type="topAndBottom"/>
          </v:shape>
          <o:OLEObject Type="Embed" ProgID="Visio.Drawing.11" ShapeID="Object 612" DrawAspect="Content" ObjectID="_1468075725" r:id="rId24">
            <o:LockedField>false</o:LockedField>
          </o:OLEObject>
        </w:pict>
      </w:r>
      <w:r>
        <w:rPr>
          <w:rFonts w:hint="eastAsia"/>
          <w:color w:val="000000"/>
        </w:rPr>
        <w:t>主要</w:t>
      </w:r>
      <w:r>
        <w:rPr>
          <w:color w:val="000000"/>
        </w:rPr>
        <w:t>生产工艺流程说明</w:t>
      </w:r>
      <w:r>
        <w:rPr>
          <w:rFonts w:hint="eastAsia"/>
          <w:color w:val="000000"/>
        </w:rPr>
        <w:t>略。</w:t>
      </w:r>
    </w:p>
    <w:bookmarkEnd w:id="0"/>
    <w:p w14:paraId="78BA18ED">
      <w:pPr>
        <w:pStyle w:val="771"/>
        <w:rPr>
          <w:b/>
          <w:bCs w:val="0"/>
          <w:color w:val="000000"/>
        </w:rPr>
      </w:pPr>
      <w:r>
        <w:rPr>
          <w:b/>
          <w:bCs w:val="0"/>
          <w:color w:val="000000"/>
        </w:rPr>
        <w:t>3.2.4污染源源强核算</w:t>
      </w:r>
    </w:p>
    <w:p w14:paraId="3BD69C6D">
      <w:pPr>
        <w:pStyle w:val="785"/>
        <w:rPr>
          <w:color w:val="000000"/>
          <w:szCs w:val="24"/>
          <w:lang w:val="en-US"/>
        </w:rPr>
      </w:pPr>
      <w:r>
        <w:rPr>
          <w:color w:val="000000"/>
          <w:szCs w:val="24"/>
          <w:lang w:val="en-US"/>
        </w:rPr>
        <w:t>3.2.4.1废气</w:t>
      </w:r>
    </w:p>
    <w:p w14:paraId="6401675D">
      <w:pPr>
        <w:pStyle w:val="31"/>
        <w:spacing w:after="0"/>
        <w:ind w:firstLine="480" w:firstLineChars="200"/>
        <w:rPr>
          <w:color w:val="000000"/>
          <w:szCs w:val="24"/>
        </w:rPr>
      </w:pPr>
      <w:r>
        <w:rPr>
          <w:color w:val="000000"/>
          <w:szCs w:val="24"/>
        </w:rPr>
        <w:t>本项目废气主要包括压缩脱碳干燥再生尾气G1、深冷分离尾气G2、吸附脱氢再生尾气G3、脱碳干燥再生尾气G4。</w:t>
      </w:r>
    </w:p>
    <w:p w14:paraId="4D997779">
      <w:pPr>
        <w:pStyle w:val="2"/>
        <w:spacing w:after="0" w:line="360" w:lineRule="auto"/>
        <w:ind w:left="0" w:leftChars="0" w:firstLine="480"/>
        <w:rPr>
          <w:rFonts w:ascii="Times New Roman" w:hAnsi="Times New Roman" w:cs="Times New Roman"/>
          <w:color w:val="000000"/>
          <w:sz w:val="24"/>
        </w:rPr>
      </w:pPr>
      <w:r>
        <w:rPr>
          <w:rFonts w:ascii="Times New Roman" w:hAnsi="Times New Roman" w:cs="Times New Roman"/>
          <w:color w:val="000000"/>
          <w:sz w:val="24"/>
        </w:rPr>
        <w:t>根据物料平衡计算，吸附脱氢再生尾气G3，主要成分为氮气及少量氧气，约32.24吨/年，直接放空；脱碳干燥尾气G4，主要成分为氮气及少量吹脱的水、二氧化碳，约66.64吨/年，直接放空。</w:t>
      </w:r>
    </w:p>
    <w:p w14:paraId="410CDBFE">
      <w:pPr>
        <w:ind w:firstLine="480"/>
        <w:rPr>
          <w:color w:val="000000"/>
          <w:szCs w:val="24"/>
        </w:rPr>
      </w:pPr>
      <w:r>
        <w:rPr>
          <w:color w:val="000000"/>
          <w:szCs w:val="24"/>
        </w:rPr>
        <w:t>压缩脱碳干燥再生尾气G1，主要成分为氮气、甲烷，及少量吹脱的水、二氧化碳约927.10吨/年（其中氮气853.91t/a、 甲烷73.10t/a）；深冷分离尾气G2，主要成分为甲烷、氮气，部分用作压缩脱碳再生气，另外部分约192.02吨/年（其中氮气160.66t/a、甲烷31.33t/a）；G1、G2尾气均依托现有火炬燃烧后排放。</w:t>
      </w:r>
    </w:p>
    <w:p w14:paraId="777D8904">
      <w:pPr>
        <w:ind w:firstLine="480"/>
        <w:rPr>
          <w:color w:val="000000"/>
          <w:szCs w:val="24"/>
        </w:rPr>
      </w:pPr>
      <w:r>
        <w:rPr>
          <w:color w:val="000000"/>
          <w:szCs w:val="24"/>
        </w:rPr>
        <w:t>本项目废气源强核算详见表3.2.4.1-1。</w:t>
      </w:r>
    </w:p>
    <w:p w14:paraId="2280C41C">
      <w:pPr>
        <w:pStyle w:val="31"/>
        <w:spacing w:after="0"/>
        <w:ind w:firstLine="480" w:firstLineChars="200"/>
        <w:rPr>
          <w:color w:val="000000"/>
          <w:szCs w:val="24"/>
        </w:rPr>
      </w:pPr>
    </w:p>
    <w:p w14:paraId="547ADBCB">
      <w:pPr>
        <w:pStyle w:val="2"/>
        <w:ind w:left="0" w:leftChars="0" w:firstLine="0" w:firstLineChars="0"/>
        <w:rPr>
          <w:rFonts w:ascii="Times New Roman" w:hAnsi="Times New Roman" w:cs="Times New Roman"/>
          <w:color w:val="000000"/>
          <w:szCs w:val="21"/>
        </w:rPr>
        <w:sectPr>
          <w:headerReference r:id="rId13" w:type="default"/>
          <w:footerReference r:id="rId14" w:type="default"/>
          <w:pgSz w:w="11905" w:h="16838"/>
          <w:pgMar w:top="1440" w:right="1531" w:bottom="1440" w:left="1531" w:header="850" w:footer="907" w:gutter="0"/>
          <w:cols w:space="720" w:num="1"/>
          <w:docGrid w:type="lines" w:linePitch="332" w:charSpace="0"/>
        </w:sectPr>
      </w:pPr>
    </w:p>
    <w:p w14:paraId="0522DC1C">
      <w:pPr>
        <w:pStyle w:val="133"/>
        <w:outlineLvl w:val="9"/>
        <w:rPr>
          <w:rFonts w:ascii="Times New Roman" w:hAnsi="Times New Roman"/>
          <w:color w:val="000000"/>
          <w:lang w:val="en-US"/>
        </w:rPr>
      </w:pPr>
      <w:bookmarkStart w:id="219" w:name="_Hlk61365897"/>
      <w:r>
        <w:rPr>
          <w:rFonts w:ascii="Times New Roman" w:hAnsi="Times New Roman"/>
          <w:color w:val="000000"/>
          <w:lang w:val="en-US"/>
        </w:rPr>
        <w:t>表3.2.4.1-1  本项目废气源强核算情况表</w:t>
      </w:r>
    </w:p>
    <w:tbl>
      <w:tblPr>
        <w:tblStyle w:val="73"/>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2"/>
        <w:gridCol w:w="1007"/>
        <w:gridCol w:w="1460"/>
        <w:gridCol w:w="1505"/>
        <w:gridCol w:w="1597"/>
        <w:gridCol w:w="2032"/>
        <w:gridCol w:w="2728"/>
        <w:gridCol w:w="1098"/>
        <w:gridCol w:w="939"/>
        <w:gridCol w:w="1057"/>
      </w:tblGrid>
      <w:tr w14:paraId="36A2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97" w:type="pct"/>
            <w:vMerge w:val="restart"/>
            <w:vAlign w:val="center"/>
          </w:tcPr>
          <w:p w14:paraId="102ADD0D">
            <w:pPr>
              <w:pStyle w:val="12"/>
              <w:spacing w:line="240" w:lineRule="auto"/>
              <w:rPr>
                <w:color w:val="000000"/>
                <w:sz w:val="21"/>
                <w:szCs w:val="21"/>
              </w:rPr>
            </w:pPr>
            <w:r>
              <w:rPr>
                <w:color w:val="000000"/>
                <w:sz w:val="21"/>
                <w:szCs w:val="21"/>
              </w:rPr>
              <w:t>序号</w:t>
            </w:r>
          </w:p>
        </w:tc>
        <w:tc>
          <w:tcPr>
            <w:tcW w:w="360" w:type="pct"/>
            <w:vMerge w:val="restart"/>
            <w:vAlign w:val="center"/>
          </w:tcPr>
          <w:p w14:paraId="435374E5">
            <w:pPr>
              <w:pStyle w:val="12"/>
              <w:spacing w:line="240" w:lineRule="auto"/>
              <w:rPr>
                <w:color w:val="000000"/>
                <w:sz w:val="21"/>
                <w:szCs w:val="21"/>
              </w:rPr>
            </w:pPr>
            <w:r>
              <w:rPr>
                <w:color w:val="000000"/>
                <w:sz w:val="21"/>
                <w:szCs w:val="21"/>
              </w:rPr>
              <w:t>污染源</w:t>
            </w:r>
          </w:p>
        </w:tc>
        <w:tc>
          <w:tcPr>
            <w:tcW w:w="522" w:type="pct"/>
            <w:vMerge w:val="restart"/>
            <w:vAlign w:val="center"/>
          </w:tcPr>
          <w:p w14:paraId="55E00FB1">
            <w:pPr>
              <w:pStyle w:val="12"/>
              <w:spacing w:line="240" w:lineRule="auto"/>
              <w:rPr>
                <w:color w:val="000000"/>
                <w:sz w:val="21"/>
                <w:szCs w:val="21"/>
              </w:rPr>
            </w:pPr>
            <w:r>
              <w:rPr>
                <w:color w:val="000000"/>
                <w:sz w:val="21"/>
                <w:szCs w:val="21"/>
              </w:rPr>
              <w:t>污染物</w:t>
            </w:r>
          </w:p>
        </w:tc>
        <w:tc>
          <w:tcPr>
            <w:tcW w:w="538" w:type="pct"/>
            <w:vMerge w:val="restart"/>
            <w:vAlign w:val="center"/>
          </w:tcPr>
          <w:p w14:paraId="237A5F6E">
            <w:pPr>
              <w:pStyle w:val="12"/>
              <w:spacing w:line="240" w:lineRule="auto"/>
              <w:rPr>
                <w:color w:val="000000"/>
                <w:sz w:val="21"/>
                <w:szCs w:val="21"/>
              </w:rPr>
            </w:pPr>
            <w:r>
              <w:rPr>
                <w:color w:val="000000"/>
                <w:sz w:val="21"/>
                <w:szCs w:val="21"/>
              </w:rPr>
              <w:t>核算方法</w:t>
            </w:r>
          </w:p>
        </w:tc>
        <w:tc>
          <w:tcPr>
            <w:tcW w:w="1297" w:type="pct"/>
            <w:gridSpan w:val="2"/>
            <w:vAlign w:val="center"/>
          </w:tcPr>
          <w:p w14:paraId="3CBD3931">
            <w:pPr>
              <w:pStyle w:val="12"/>
              <w:spacing w:line="240" w:lineRule="auto"/>
              <w:rPr>
                <w:color w:val="000000"/>
                <w:sz w:val="21"/>
                <w:szCs w:val="21"/>
              </w:rPr>
            </w:pPr>
            <w:r>
              <w:rPr>
                <w:color w:val="000000"/>
                <w:sz w:val="21"/>
                <w:szCs w:val="21"/>
              </w:rPr>
              <w:t>产生量</w:t>
            </w:r>
          </w:p>
        </w:tc>
        <w:tc>
          <w:tcPr>
            <w:tcW w:w="975" w:type="pct"/>
            <w:vMerge w:val="restart"/>
            <w:vAlign w:val="center"/>
          </w:tcPr>
          <w:p w14:paraId="36B4F4EC">
            <w:pPr>
              <w:pStyle w:val="12"/>
              <w:spacing w:line="240" w:lineRule="auto"/>
              <w:rPr>
                <w:color w:val="000000"/>
                <w:sz w:val="21"/>
                <w:szCs w:val="21"/>
              </w:rPr>
            </w:pPr>
            <w:r>
              <w:rPr>
                <w:color w:val="000000"/>
                <w:sz w:val="21"/>
                <w:szCs w:val="21"/>
              </w:rPr>
              <w:t>治理措施</w:t>
            </w:r>
          </w:p>
        </w:tc>
        <w:tc>
          <w:tcPr>
            <w:tcW w:w="729" w:type="pct"/>
            <w:gridSpan w:val="2"/>
            <w:vAlign w:val="center"/>
          </w:tcPr>
          <w:p w14:paraId="1254AAAA">
            <w:pPr>
              <w:pStyle w:val="12"/>
              <w:spacing w:line="240" w:lineRule="auto"/>
              <w:rPr>
                <w:color w:val="000000"/>
                <w:sz w:val="21"/>
                <w:szCs w:val="21"/>
              </w:rPr>
            </w:pPr>
            <w:r>
              <w:rPr>
                <w:color w:val="000000"/>
                <w:sz w:val="21"/>
                <w:szCs w:val="21"/>
              </w:rPr>
              <w:t>排放量</w:t>
            </w:r>
          </w:p>
        </w:tc>
        <w:tc>
          <w:tcPr>
            <w:tcW w:w="378" w:type="pct"/>
            <w:vMerge w:val="restart"/>
            <w:vAlign w:val="center"/>
          </w:tcPr>
          <w:p w14:paraId="24C46D9A">
            <w:pPr>
              <w:pStyle w:val="12"/>
              <w:spacing w:line="240" w:lineRule="auto"/>
              <w:rPr>
                <w:color w:val="000000"/>
                <w:sz w:val="21"/>
                <w:szCs w:val="21"/>
              </w:rPr>
            </w:pPr>
            <w:r>
              <w:rPr>
                <w:color w:val="000000"/>
                <w:sz w:val="21"/>
                <w:szCs w:val="21"/>
              </w:rPr>
              <w:t>年排放时间h/a</w:t>
            </w:r>
          </w:p>
        </w:tc>
      </w:tr>
      <w:tr w14:paraId="358B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2" w:hRule="atLeast"/>
          <w:jc w:val="center"/>
        </w:trPr>
        <w:tc>
          <w:tcPr>
            <w:tcW w:w="197" w:type="pct"/>
            <w:vMerge w:val="continue"/>
            <w:vAlign w:val="center"/>
          </w:tcPr>
          <w:p w14:paraId="5605CF4D">
            <w:pPr>
              <w:pStyle w:val="12"/>
              <w:spacing w:line="240" w:lineRule="auto"/>
              <w:rPr>
                <w:color w:val="000000"/>
                <w:sz w:val="21"/>
                <w:szCs w:val="21"/>
              </w:rPr>
            </w:pPr>
          </w:p>
        </w:tc>
        <w:tc>
          <w:tcPr>
            <w:tcW w:w="360" w:type="pct"/>
            <w:vMerge w:val="continue"/>
            <w:vAlign w:val="center"/>
          </w:tcPr>
          <w:p w14:paraId="61AC36B0">
            <w:pPr>
              <w:pStyle w:val="12"/>
              <w:spacing w:line="240" w:lineRule="auto"/>
              <w:rPr>
                <w:color w:val="000000"/>
                <w:sz w:val="21"/>
                <w:szCs w:val="21"/>
              </w:rPr>
            </w:pPr>
          </w:p>
        </w:tc>
        <w:tc>
          <w:tcPr>
            <w:tcW w:w="522" w:type="pct"/>
            <w:vMerge w:val="continue"/>
            <w:vAlign w:val="center"/>
          </w:tcPr>
          <w:p w14:paraId="4570614D">
            <w:pPr>
              <w:pStyle w:val="12"/>
              <w:spacing w:line="240" w:lineRule="auto"/>
              <w:rPr>
                <w:color w:val="000000"/>
                <w:sz w:val="21"/>
                <w:szCs w:val="21"/>
              </w:rPr>
            </w:pPr>
          </w:p>
        </w:tc>
        <w:tc>
          <w:tcPr>
            <w:tcW w:w="538" w:type="pct"/>
            <w:vMerge w:val="continue"/>
            <w:vAlign w:val="center"/>
          </w:tcPr>
          <w:p w14:paraId="4B32F4A0">
            <w:pPr>
              <w:pStyle w:val="12"/>
              <w:spacing w:line="240" w:lineRule="auto"/>
              <w:rPr>
                <w:color w:val="000000"/>
                <w:sz w:val="21"/>
                <w:szCs w:val="21"/>
              </w:rPr>
            </w:pPr>
          </w:p>
        </w:tc>
        <w:tc>
          <w:tcPr>
            <w:tcW w:w="571" w:type="pct"/>
            <w:vAlign w:val="center"/>
          </w:tcPr>
          <w:p w14:paraId="349C25C4">
            <w:pPr>
              <w:pStyle w:val="12"/>
              <w:spacing w:line="240" w:lineRule="auto"/>
              <w:rPr>
                <w:color w:val="000000"/>
                <w:sz w:val="21"/>
                <w:szCs w:val="21"/>
              </w:rPr>
            </w:pPr>
            <w:r>
              <w:rPr>
                <w:color w:val="000000"/>
                <w:sz w:val="21"/>
                <w:szCs w:val="21"/>
              </w:rPr>
              <w:t>kg/h</w:t>
            </w:r>
          </w:p>
        </w:tc>
        <w:tc>
          <w:tcPr>
            <w:tcW w:w="726" w:type="pct"/>
            <w:vAlign w:val="center"/>
          </w:tcPr>
          <w:p w14:paraId="01C328B2">
            <w:pPr>
              <w:pStyle w:val="12"/>
              <w:spacing w:line="240" w:lineRule="auto"/>
              <w:rPr>
                <w:color w:val="000000"/>
                <w:sz w:val="21"/>
                <w:szCs w:val="21"/>
              </w:rPr>
            </w:pPr>
            <w:r>
              <w:rPr>
                <w:color w:val="000000"/>
                <w:sz w:val="21"/>
                <w:szCs w:val="21"/>
              </w:rPr>
              <w:t>t/a</w:t>
            </w:r>
          </w:p>
        </w:tc>
        <w:tc>
          <w:tcPr>
            <w:tcW w:w="975" w:type="pct"/>
            <w:vMerge w:val="continue"/>
            <w:vAlign w:val="center"/>
          </w:tcPr>
          <w:p w14:paraId="2745968A">
            <w:pPr>
              <w:pStyle w:val="12"/>
              <w:spacing w:line="240" w:lineRule="auto"/>
              <w:rPr>
                <w:color w:val="000000"/>
                <w:sz w:val="21"/>
                <w:szCs w:val="21"/>
              </w:rPr>
            </w:pPr>
          </w:p>
        </w:tc>
        <w:tc>
          <w:tcPr>
            <w:tcW w:w="393" w:type="pct"/>
            <w:vAlign w:val="center"/>
          </w:tcPr>
          <w:p w14:paraId="03E7DC81">
            <w:pPr>
              <w:pStyle w:val="12"/>
              <w:spacing w:line="240" w:lineRule="auto"/>
              <w:rPr>
                <w:color w:val="000000"/>
                <w:sz w:val="21"/>
                <w:szCs w:val="21"/>
              </w:rPr>
            </w:pPr>
            <w:r>
              <w:rPr>
                <w:color w:val="000000"/>
                <w:sz w:val="21"/>
                <w:szCs w:val="21"/>
              </w:rPr>
              <w:t>kg/h</w:t>
            </w:r>
          </w:p>
        </w:tc>
        <w:tc>
          <w:tcPr>
            <w:tcW w:w="336" w:type="pct"/>
            <w:vAlign w:val="center"/>
          </w:tcPr>
          <w:p w14:paraId="03538CDE">
            <w:pPr>
              <w:pStyle w:val="12"/>
              <w:spacing w:line="240" w:lineRule="auto"/>
              <w:rPr>
                <w:color w:val="000000"/>
                <w:sz w:val="21"/>
                <w:szCs w:val="21"/>
              </w:rPr>
            </w:pPr>
            <w:r>
              <w:rPr>
                <w:color w:val="000000"/>
                <w:sz w:val="21"/>
                <w:szCs w:val="21"/>
              </w:rPr>
              <w:t>t/a</w:t>
            </w:r>
          </w:p>
        </w:tc>
        <w:tc>
          <w:tcPr>
            <w:tcW w:w="378" w:type="pct"/>
            <w:vMerge w:val="continue"/>
            <w:vAlign w:val="center"/>
          </w:tcPr>
          <w:p w14:paraId="4E6B497C">
            <w:pPr>
              <w:pStyle w:val="12"/>
              <w:spacing w:line="240" w:lineRule="auto"/>
              <w:rPr>
                <w:color w:val="000000"/>
                <w:sz w:val="21"/>
                <w:szCs w:val="21"/>
              </w:rPr>
            </w:pPr>
          </w:p>
        </w:tc>
      </w:tr>
      <w:tr w14:paraId="5CBF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0" w:hRule="atLeast"/>
          <w:jc w:val="center"/>
        </w:trPr>
        <w:tc>
          <w:tcPr>
            <w:tcW w:w="197" w:type="pct"/>
            <w:vMerge w:val="restart"/>
            <w:vAlign w:val="center"/>
          </w:tcPr>
          <w:p w14:paraId="4CF35B11">
            <w:pPr>
              <w:pStyle w:val="12"/>
              <w:spacing w:line="240" w:lineRule="auto"/>
              <w:rPr>
                <w:color w:val="000000"/>
                <w:sz w:val="21"/>
                <w:szCs w:val="21"/>
              </w:rPr>
            </w:pPr>
            <w:r>
              <w:rPr>
                <w:color w:val="000000"/>
                <w:sz w:val="21"/>
                <w:szCs w:val="21"/>
              </w:rPr>
              <w:t>1</w:t>
            </w:r>
          </w:p>
        </w:tc>
        <w:tc>
          <w:tcPr>
            <w:tcW w:w="360" w:type="pct"/>
            <w:vMerge w:val="restart"/>
            <w:vAlign w:val="center"/>
          </w:tcPr>
          <w:p w14:paraId="7C74C40A">
            <w:pPr>
              <w:pStyle w:val="12"/>
              <w:spacing w:line="240" w:lineRule="auto"/>
              <w:rPr>
                <w:color w:val="000000"/>
                <w:sz w:val="21"/>
                <w:szCs w:val="21"/>
              </w:rPr>
            </w:pPr>
            <w:r>
              <w:rPr>
                <w:color w:val="000000"/>
                <w:sz w:val="21"/>
                <w:szCs w:val="21"/>
              </w:rPr>
              <w:t>压缩脱碳干燥再生尾气G1</w:t>
            </w:r>
          </w:p>
        </w:tc>
        <w:tc>
          <w:tcPr>
            <w:tcW w:w="522" w:type="pct"/>
            <w:vAlign w:val="center"/>
          </w:tcPr>
          <w:p w14:paraId="2600201D">
            <w:pPr>
              <w:pStyle w:val="12"/>
              <w:spacing w:line="240" w:lineRule="auto"/>
              <w:rPr>
                <w:color w:val="000000"/>
                <w:sz w:val="21"/>
                <w:szCs w:val="21"/>
              </w:rPr>
            </w:pPr>
            <w:r>
              <w:rPr>
                <w:color w:val="000000"/>
                <w:sz w:val="21"/>
                <w:szCs w:val="21"/>
              </w:rPr>
              <w:t>甲烷</w:t>
            </w:r>
          </w:p>
        </w:tc>
        <w:tc>
          <w:tcPr>
            <w:tcW w:w="538" w:type="pct"/>
            <w:vMerge w:val="restart"/>
            <w:vAlign w:val="center"/>
          </w:tcPr>
          <w:p w14:paraId="68FE53A2">
            <w:pPr>
              <w:pStyle w:val="12"/>
              <w:spacing w:line="240" w:lineRule="auto"/>
              <w:rPr>
                <w:color w:val="000000"/>
                <w:sz w:val="21"/>
                <w:szCs w:val="21"/>
              </w:rPr>
            </w:pPr>
            <w:r>
              <w:rPr>
                <w:color w:val="000000"/>
                <w:sz w:val="21"/>
                <w:szCs w:val="21"/>
              </w:rPr>
              <w:t>物料平衡法</w:t>
            </w:r>
          </w:p>
        </w:tc>
        <w:tc>
          <w:tcPr>
            <w:tcW w:w="571" w:type="pct"/>
            <w:vAlign w:val="center"/>
          </w:tcPr>
          <w:p w14:paraId="5EA5C7D1">
            <w:pPr>
              <w:pStyle w:val="12"/>
              <w:spacing w:line="240" w:lineRule="auto"/>
              <w:rPr>
                <w:color w:val="000000"/>
                <w:sz w:val="21"/>
                <w:szCs w:val="21"/>
              </w:rPr>
            </w:pPr>
            <w:r>
              <w:rPr>
                <w:color w:val="000000"/>
                <w:sz w:val="21"/>
                <w:szCs w:val="21"/>
              </w:rPr>
              <w:t>9.1376338</w:t>
            </w:r>
          </w:p>
        </w:tc>
        <w:tc>
          <w:tcPr>
            <w:tcW w:w="2030" w:type="dxa"/>
            <w:vAlign w:val="center"/>
          </w:tcPr>
          <w:p w14:paraId="5CCE651B">
            <w:pPr>
              <w:pStyle w:val="12"/>
              <w:spacing w:line="240" w:lineRule="auto"/>
              <w:rPr>
                <w:color w:val="000000"/>
                <w:sz w:val="21"/>
                <w:szCs w:val="21"/>
              </w:rPr>
            </w:pPr>
            <w:r>
              <w:rPr>
                <w:color w:val="000000"/>
                <w:sz w:val="21"/>
                <w:szCs w:val="21"/>
              </w:rPr>
              <w:t>73.10</w:t>
            </w:r>
          </w:p>
        </w:tc>
        <w:tc>
          <w:tcPr>
            <w:tcW w:w="975" w:type="pct"/>
            <w:vMerge w:val="restart"/>
            <w:vAlign w:val="center"/>
          </w:tcPr>
          <w:p w14:paraId="4A1D4577">
            <w:pPr>
              <w:pStyle w:val="12"/>
              <w:spacing w:line="240" w:lineRule="auto"/>
              <w:rPr>
                <w:color w:val="000000"/>
                <w:sz w:val="21"/>
                <w:szCs w:val="21"/>
              </w:rPr>
            </w:pPr>
            <w:r>
              <w:rPr>
                <w:color w:val="000000"/>
              </w:rPr>
              <w:t>去火炬燃烧，计入火炬燃烧排放量</w:t>
            </w:r>
          </w:p>
        </w:tc>
        <w:tc>
          <w:tcPr>
            <w:tcW w:w="393" w:type="pct"/>
            <w:vAlign w:val="center"/>
          </w:tcPr>
          <w:p w14:paraId="24841092">
            <w:pPr>
              <w:spacing w:line="240" w:lineRule="auto"/>
              <w:jc w:val="center"/>
              <w:rPr>
                <w:color w:val="000000"/>
                <w:sz w:val="21"/>
              </w:rPr>
            </w:pPr>
            <w:r>
              <w:rPr>
                <w:color w:val="000000"/>
                <w:sz w:val="21"/>
              </w:rPr>
              <w:t>/</w:t>
            </w:r>
          </w:p>
        </w:tc>
        <w:tc>
          <w:tcPr>
            <w:tcW w:w="336" w:type="pct"/>
            <w:vAlign w:val="center"/>
          </w:tcPr>
          <w:p w14:paraId="643FC992">
            <w:pPr>
              <w:spacing w:line="240" w:lineRule="auto"/>
              <w:jc w:val="center"/>
              <w:rPr>
                <w:color w:val="000000"/>
                <w:sz w:val="21"/>
              </w:rPr>
            </w:pPr>
            <w:r>
              <w:rPr>
                <w:color w:val="000000"/>
                <w:sz w:val="21"/>
              </w:rPr>
              <w:t>/</w:t>
            </w:r>
          </w:p>
        </w:tc>
        <w:tc>
          <w:tcPr>
            <w:tcW w:w="1057" w:type="dxa"/>
            <w:vAlign w:val="center"/>
          </w:tcPr>
          <w:p w14:paraId="49137250">
            <w:pPr>
              <w:spacing w:line="240" w:lineRule="auto"/>
              <w:jc w:val="center"/>
              <w:rPr>
                <w:color w:val="000000"/>
                <w:sz w:val="21"/>
              </w:rPr>
            </w:pPr>
            <w:r>
              <w:rPr>
                <w:color w:val="000000"/>
                <w:sz w:val="21"/>
              </w:rPr>
              <w:t>/</w:t>
            </w:r>
          </w:p>
        </w:tc>
      </w:tr>
      <w:tr w14:paraId="3EFD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2" w:hRule="atLeast"/>
          <w:jc w:val="center"/>
        </w:trPr>
        <w:tc>
          <w:tcPr>
            <w:tcW w:w="197" w:type="pct"/>
            <w:vMerge w:val="continue"/>
            <w:vAlign w:val="center"/>
          </w:tcPr>
          <w:p w14:paraId="64A706BF">
            <w:pPr>
              <w:pStyle w:val="12"/>
              <w:spacing w:line="240" w:lineRule="auto"/>
              <w:rPr>
                <w:color w:val="000000"/>
                <w:sz w:val="21"/>
                <w:szCs w:val="21"/>
              </w:rPr>
            </w:pPr>
          </w:p>
        </w:tc>
        <w:tc>
          <w:tcPr>
            <w:tcW w:w="360" w:type="pct"/>
            <w:vMerge w:val="continue"/>
            <w:vAlign w:val="center"/>
          </w:tcPr>
          <w:p w14:paraId="3CD8C855">
            <w:pPr>
              <w:pStyle w:val="12"/>
              <w:spacing w:line="240" w:lineRule="auto"/>
              <w:rPr>
                <w:color w:val="000000"/>
                <w:sz w:val="21"/>
                <w:szCs w:val="21"/>
              </w:rPr>
            </w:pPr>
          </w:p>
        </w:tc>
        <w:tc>
          <w:tcPr>
            <w:tcW w:w="522" w:type="pct"/>
            <w:vAlign w:val="center"/>
          </w:tcPr>
          <w:p w14:paraId="7B81791A">
            <w:pPr>
              <w:pStyle w:val="12"/>
              <w:spacing w:line="240" w:lineRule="auto"/>
              <w:rPr>
                <w:color w:val="000000"/>
                <w:sz w:val="21"/>
                <w:szCs w:val="21"/>
              </w:rPr>
            </w:pPr>
            <w:r>
              <w:rPr>
                <w:color w:val="000000"/>
                <w:sz w:val="21"/>
                <w:szCs w:val="21"/>
              </w:rPr>
              <w:t>氮气</w:t>
            </w:r>
          </w:p>
        </w:tc>
        <w:tc>
          <w:tcPr>
            <w:tcW w:w="538" w:type="pct"/>
            <w:vMerge w:val="continue"/>
            <w:vAlign w:val="center"/>
          </w:tcPr>
          <w:p w14:paraId="0970802E">
            <w:pPr>
              <w:pStyle w:val="12"/>
              <w:spacing w:line="240" w:lineRule="auto"/>
              <w:rPr>
                <w:color w:val="000000"/>
                <w:sz w:val="21"/>
                <w:szCs w:val="21"/>
              </w:rPr>
            </w:pPr>
          </w:p>
        </w:tc>
        <w:tc>
          <w:tcPr>
            <w:tcW w:w="571" w:type="pct"/>
            <w:vAlign w:val="center"/>
          </w:tcPr>
          <w:p w14:paraId="2B5E4C1B">
            <w:pPr>
              <w:pStyle w:val="12"/>
              <w:spacing w:line="240" w:lineRule="auto"/>
              <w:rPr>
                <w:color w:val="000000"/>
                <w:sz w:val="21"/>
                <w:szCs w:val="21"/>
              </w:rPr>
            </w:pPr>
            <w:r>
              <w:rPr>
                <w:color w:val="000000"/>
                <w:sz w:val="21"/>
                <w:szCs w:val="21"/>
              </w:rPr>
              <w:t>106.7381926</w:t>
            </w:r>
          </w:p>
        </w:tc>
        <w:tc>
          <w:tcPr>
            <w:tcW w:w="2030" w:type="dxa"/>
            <w:vAlign w:val="center"/>
          </w:tcPr>
          <w:p w14:paraId="7E251CB5">
            <w:pPr>
              <w:pStyle w:val="12"/>
              <w:spacing w:line="240" w:lineRule="auto"/>
              <w:rPr>
                <w:color w:val="000000"/>
                <w:sz w:val="21"/>
                <w:szCs w:val="21"/>
              </w:rPr>
            </w:pPr>
            <w:r>
              <w:rPr>
                <w:color w:val="000000"/>
                <w:sz w:val="21"/>
                <w:szCs w:val="21"/>
              </w:rPr>
              <w:t>853.91</w:t>
            </w:r>
          </w:p>
        </w:tc>
        <w:tc>
          <w:tcPr>
            <w:tcW w:w="975" w:type="pct"/>
            <w:vMerge w:val="continue"/>
            <w:vAlign w:val="center"/>
          </w:tcPr>
          <w:p w14:paraId="253DB0BE">
            <w:pPr>
              <w:pStyle w:val="12"/>
              <w:spacing w:line="240" w:lineRule="auto"/>
              <w:rPr>
                <w:color w:val="000000"/>
                <w:sz w:val="21"/>
                <w:szCs w:val="21"/>
              </w:rPr>
            </w:pPr>
          </w:p>
        </w:tc>
        <w:tc>
          <w:tcPr>
            <w:tcW w:w="393" w:type="pct"/>
            <w:vAlign w:val="center"/>
          </w:tcPr>
          <w:p w14:paraId="22E31ED3">
            <w:pPr>
              <w:spacing w:line="240" w:lineRule="auto"/>
              <w:jc w:val="center"/>
              <w:rPr>
                <w:color w:val="000000"/>
                <w:sz w:val="21"/>
              </w:rPr>
            </w:pPr>
            <w:r>
              <w:rPr>
                <w:color w:val="000000"/>
                <w:sz w:val="21"/>
              </w:rPr>
              <w:t>/</w:t>
            </w:r>
          </w:p>
        </w:tc>
        <w:tc>
          <w:tcPr>
            <w:tcW w:w="336" w:type="pct"/>
            <w:vAlign w:val="center"/>
          </w:tcPr>
          <w:p w14:paraId="18356782">
            <w:pPr>
              <w:spacing w:line="240" w:lineRule="auto"/>
              <w:jc w:val="center"/>
              <w:rPr>
                <w:color w:val="000000"/>
                <w:sz w:val="21"/>
              </w:rPr>
            </w:pPr>
            <w:r>
              <w:rPr>
                <w:color w:val="000000"/>
                <w:sz w:val="21"/>
              </w:rPr>
              <w:t>/</w:t>
            </w:r>
          </w:p>
        </w:tc>
        <w:tc>
          <w:tcPr>
            <w:tcW w:w="1057" w:type="dxa"/>
            <w:vAlign w:val="center"/>
          </w:tcPr>
          <w:p w14:paraId="2165B790">
            <w:pPr>
              <w:spacing w:line="240" w:lineRule="auto"/>
              <w:jc w:val="center"/>
              <w:rPr>
                <w:color w:val="000000"/>
                <w:sz w:val="21"/>
              </w:rPr>
            </w:pPr>
            <w:r>
              <w:rPr>
                <w:color w:val="000000"/>
                <w:sz w:val="21"/>
              </w:rPr>
              <w:t>/</w:t>
            </w:r>
          </w:p>
        </w:tc>
      </w:tr>
      <w:tr w14:paraId="2B7E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2" w:hRule="atLeast"/>
          <w:jc w:val="center"/>
        </w:trPr>
        <w:tc>
          <w:tcPr>
            <w:tcW w:w="197" w:type="pct"/>
            <w:vMerge w:val="continue"/>
            <w:vAlign w:val="center"/>
          </w:tcPr>
          <w:p w14:paraId="4EA16B1A">
            <w:pPr>
              <w:pStyle w:val="12"/>
              <w:spacing w:line="240" w:lineRule="auto"/>
              <w:rPr>
                <w:color w:val="000000"/>
                <w:sz w:val="21"/>
                <w:szCs w:val="21"/>
              </w:rPr>
            </w:pPr>
          </w:p>
        </w:tc>
        <w:tc>
          <w:tcPr>
            <w:tcW w:w="360" w:type="pct"/>
            <w:vMerge w:val="continue"/>
            <w:vAlign w:val="center"/>
          </w:tcPr>
          <w:p w14:paraId="3EB8D65D">
            <w:pPr>
              <w:pStyle w:val="12"/>
              <w:spacing w:line="240" w:lineRule="auto"/>
              <w:rPr>
                <w:color w:val="000000"/>
                <w:sz w:val="21"/>
                <w:szCs w:val="21"/>
              </w:rPr>
            </w:pPr>
          </w:p>
        </w:tc>
        <w:tc>
          <w:tcPr>
            <w:tcW w:w="522" w:type="pct"/>
            <w:vAlign w:val="center"/>
          </w:tcPr>
          <w:p w14:paraId="509F8D2C">
            <w:pPr>
              <w:pStyle w:val="12"/>
              <w:spacing w:line="240" w:lineRule="auto"/>
              <w:rPr>
                <w:color w:val="000000"/>
                <w:sz w:val="21"/>
                <w:szCs w:val="21"/>
              </w:rPr>
            </w:pPr>
            <w:r>
              <w:rPr>
                <w:color w:val="000000"/>
                <w:sz w:val="21"/>
                <w:szCs w:val="21"/>
              </w:rPr>
              <w:t>少量吹脱的水</w:t>
            </w:r>
          </w:p>
        </w:tc>
        <w:tc>
          <w:tcPr>
            <w:tcW w:w="538" w:type="pct"/>
            <w:vMerge w:val="continue"/>
            <w:vAlign w:val="center"/>
          </w:tcPr>
          <w:p w14:paraId="2DE922B7">
            <w:pPr>
              <w:pStyle w:val="12"/>
              <w:spacing w:line="240" w:lineRule="auto"/>
              <w:rPr>
                <w:color w:val="000000"/>
                <w:sz w:val="21"/>
                <w:szCs w:val="21"/>
              </w:rPr>
            </w:pPr>
          </w:p>
        </w:tc>
        <w:tc>
          <w:tcPr>
            <w:tcW w:w="571" w:type="pct"/>
            <w:vAlign w:val="center"/>
          </w:tcPr>
          <w:p w14:paraId="3D588114">
            <w:pPr>
              <w:pStyle w:val="12"/>
              <w:spacing w:line="240" w:lineRule="auto"/>
              <w:rPr>
                <w:color w:val="000000"/>
                <w:sz w:val="21"/>
                <w:szCs w:val="21"/>
              </w:rPr>
            </w:pPr>
            <w:r>
              <w:rPr>
                <w:color w:val="000000"/>
                <w:sz w:val="21"/>
                <w:szCs w:val="21"/>
              </w:rPr>
              <w:t>0.0000559</w:t>
            </w:r>
          </w:p>
        </w:tc>
        <w:tc>
          <w:tcPr>
            <w:tcW w:w="2030" w:type="dxa"/>
            <w:vAlign w:val="center"/>
          </w:tcPr>
          <w:p w14:paraId="64D65915">
            <w:pPr>
              <w:pStyle w:val="12"/>
              <w:spacing w:line="240" w:lineRule="auto"/>
              <w:rPr>
                <w:color w:val="000000"/>
                <w:sz w:val="21"/>
                <w:szCs w:val="21"/>
              </w:rPr>
            </w:pPr>
            <w:r>
              <w:rPr>
                <w:color w:val="000000"/>
                <w:sz w:val="21"/>
                <w:szCs w:val="21"/>
              </w:rPr>
              <w:t>0.0004</w:t>
            </w:r>
          </w:p>
        </w:tc>
        <w:tc>
          <w:tcPr>
            <w:tcW w:w="975" w:type="pct"/>
            <w:vMerge w:val="continue"/>
            <w:vAlign w:val="center"/>
          </w:tcPr>
          <w:p w14:paraId="55B0A4E6">
            <w:pPr>
              <w:pStyle w:val="12"/>
              <w:spacing w:line="240" w:lineRule="auto"/>
              <w:rPr>
                <w:color w:val="000000"/>
                <w:sz w:val="21"/>
                <w:szCs w:val="21"/>
              </w:rPr>
            </w:pPr>
          </w:p>
        </w:tc>
        <w:tc>
          <w:tcPr>
            <w:tcW w:w="393" w:type="pct"/>
            <w:vAlign w:val="center"/>
          </w:tcPr>
          <w:p w14:paraId="27E0CA3F">
            <w:pPr>
              <w:spacing w:line="240" w:lineRule="auto"/>
              <w:jc w:val="center"/>
              <w:rPr>
                <w:color w:val="000000"/>
                <w:sz w:val="21"/>
              </w:rPr>
            </w:pPr>
            <w:r>
              <w:rPr>
                <w:color w:val="000000"/>
                <w:sz w:val="21"/>
              </w:rPr>
              <w:t>/</w:t>
            </w:r>
          </w:p>
        </w:tc>
        <w:tc>
          <w:tcPr>
            <w:tcW w:w="336" w:type="pct"/>
            <w:vAlign w:val="center"/>
          </w:tcPr>
          <w:p w14:paraId="24801560">
            <w:pPr>
              <w:spacing w:line="240" w:lineRule="auto"/>
              <w:jc w:val="center"/>
              <w:rPr>
                <w:color w:val="000000"/>
                <w:sz w:val="21"/>
              </w:rPr>
            </w:pPr>
            <w:r>
              <w:rPr>
                <w:color w:val="000000"/>
                <w:sz w:val="21"/>
              </w:rPr>
              <w:t>/</w:t>
            </w:r>
          </w:p>
        </w:tc>
        <w:tc>
          <w:tcPr>
            <w:tcW w:w="1057" w:type="dxa"/>
            <w:vAlign w:val="center"/>
          </w:tcPr>
          <w:p w14:paraId="26C7E61F">
            <w:pPr>
              <w:spacing w:line="240" w:lineRule="auto"/>
              <w:jc w:val="center"/>
              <w:rPr>
                <w:color w:val="000000"/>
                <w:sz w:val="21"/>
              </w:rPr>
            </w:pPr>
            <w:r>
              <w:rPr>
                <w:color w:val="000000"/>
                <w:sz w:val="21"/>
              </w:rPr>
              <w:t>/</w:t>
            </w:r>
          </w:p>
        </w:tc>
      </w:tr>
      <w:tr w14:paraId="0CB1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 w:hRule="atLeast"/>
          <w:jc w:val="center"/>
        </w:trPr>
        <w:tc>
          <w:tcPr>
            <w:tcW w:w="197" w:type="pct"/>
            <w:vMerge w:val="continue"/>
            <w:vAlign w:val="center"/>
          </w:tcPr>
          <w:p w14:paraId="5A71D55C">
            <w:pPr>
              <w:pStyle w:val="12"/>
              <w:spacing w:line="240" w:lineRule="auto"/>
              <w:rPr>
                <w:color w:val="000000"/>
                <w:sz w:val="21"/>
                <w:szCs w:val="21"/>
              </w:rPr>
            </w:pPr>
          </w:p>
        </w:tc>
        <w:tc>
          <w:tcPr>
            <w:tcW w:w="360" w:type="pct"/>
            <w:vMerge w:val="continue"/>
            <w:vAlign w:val="center"/>
          </w:tcPr>
          <w:p w14:paraId="14C9EFF6">
            <w:pPr>
              <w:pStyle w:val="12"/>
              <w:spacing w:line="240" w:lineRule="auto"/>
              <w:rPr>
                <w:color w:val="000000"/>
                <w:sz w:val="21"/>
                <w:szCs w:val="21"/>
              </w:rPr>
            </w:pPr>
          </w:p>
        </w:tc>
        <w:tc>
          <w:tcPr>
            <w:tcW w:w="522" w:type="pct"/>
            <w:vAlign w:val="center"/>
          </w:tcPr>
          <w:p w14:paraId="76AFC901">
            <w:pPr>
              <w:pStyle w:val="12"/>
              <w:spacing w:line="240" w:lineRule="auto"/>
              <w:rPr>
                <w:color w:val="000000"/>
                <w:sz w:val="21"/>
                <w:szCs w:val="21"/>
              </w:rPr>
            </w:pPr>
            <w:r>
              <w:rPr>
                <w:color w:val="000000"/>
                <w:sz w:val="21"/>
                <w:szCs w:val="21"/>
              </w:rPr>
              <w:t>二氧化碳</w:t>
            </w:r>
          </w:p>
        </w:tc>
        <w:tc>
          <w:tcPr>
            <w:tcW w:w="538" w:type="pct"/>
            <w:vMerge w:val="continue"/>
            <w:vAlign w:val="center"/>
          </w:tcPr>
          <w:p w14:paraId="5550D446">
            <w:pPr>
              <w:pStyle w:val="12"/>
              <w:spacing w:line="240" w:lineRule="auto"/>
              <w:rPr>
                <w:color w:val="000000"/>
                <w:sz w:val="21"/>
                <w:szCs w:val="21"/>
              </w:rPr>
            </w:pPr>
          </w:p>
        </w:tc>
        <w:tc>
          <w:tcPr>
            <w:tcW w:w="571" w:type="pct"/>
            <w:vAlign w:val="center"/>
          </w:tcPr>
          <w:p w14:paraId="078B591F">
            <w:pPr>
              <w:pStyle w:val="12"/>
              <w:spacing w:line="240" w:lineRule="auto"/>
              <w:rPr>
                <w:color w:val="000000"/>
                <w:sz w:val="21"/>
                <w:szCs w:val="21"/>
              </w:rPr>
            </w:pPr>
            <w:r>
              <w:rPr>
                <w:color w:val="000000"/>
                <w:sz w:val="21"/>
                <w:szCs w:val="21"/>
              </w:rPr>
              <w:t>0.3807758</w:t>
            </w:r>
          </w:p>
        </w:tc>
        <w:tc>
          <w:tcPr>
            <w:tcW w:w="2030" w:type="dxa"/>
            <w:vAlign w:val="center"/>
          </w:tcPr>
          <w:p w14:paraId="39259779">
            <w:pPr>
              <w:pStyle w:val="12"/>
              <w:spacing w:line="240" w:lineRule="auto"/>
              <w:rPr>
                <w:color w:val="000000"/>
                <w:sz w:val="21"/>
                <w:szCs w:val="21"/>
              </w:rPr>
            </w:pPr>
            <w:r>
              <w:rPr>
                <w:color w:val="000000"/>
                <w:sz w:val="21"/>
                <w:szCs w:val="21"/>
              </w:rPr>
              <w:t>3.05</w:t>
            </w:r>
          </w:p>
        </w:tc>
        <w:tc>
          <w:tcPr>
            <w:tcW w:w="975" w:type="pct"/>
            <w:vMerge w:val="continue"/>
            <w:vAlign w:val="center"/>
          </w:tcPr>
          <w:p w14:paraId="10AE9CDD">
            <w:pPr>
              <w:pStyle w:val="12"/>
              <w:spacing w:line="240" w:lineRule="auto"/>
              <w:rPr>
                <w:color w:val="000000"/>
                <w:sz w:val="21"/>
                <w:szCs w:val="21"/>
              </w:rPr>
            </w:pPr>
          </w:p>
        </w:tc>
        <w:tc>
          <w:tcPr>
            <w:tcW w:w="393" w:type="pct"/>
            <w:vAlign w:val="center"/>
          </w:tcPr>
          <w:p w14:paraId="2CD17715">
            <w:pPr>
              <w:spacing w:line="240" w:lineRule="auto"/>
              <w:jc w:val="center"/>
              <w:rPr>
                <w:color w:val="000000"/>
                <w:sz w:val="21"/>
              </w:rPr>
            </w:pPr>
            <w:r>
              <w:rPr>
                <w:color w:val="000000"/>
                <w:sz w:val="21"/>
              </w:rPr>
              <w:t>/</w:t>
            </w:r>
          </w:p>
        </w:tc>
        <w:tc>
          <w:tcPr>
            <w:tcW w:w="336" w:type="pct"/>
            <w:vAlign w:val="center"/>
          </w:tcPr>
          <w:p w14:paraId="44E704F5">
            <w:pPr>
              <w:spacing w:line="240" w:lineRule="auto"/>
              <w:jc w:val="center"/>
              <w:rPr>
                <w:color w:val="000000"/>
                <w:sz w:val="21"/>
              </w:rPr>
            </w:pPr>
            <w:r>
              <w:rPr>
                <w:color w:val="000000"/>
                <w:sz w:val="21"/>
              </w:rPr>
              <w:t>/</w:t>
            </w:r>
          </w:p>
        </w:tc>
        <w:tc>
          <w:tcPr>
            <w:tcW w:w="1057" w:type="dxa"/>
            <w:vAlign w:val="center"/>
          </w:tcPr>
          <w:p w14:paraId="262AE182">
            <w:pPr>
              <w:spacing w:line="240" w:lineRule="auto"/>
              <w:jc w:val="center"/>
              <w:rPr>
                <w:color w:val="000000"/>
                <w:sz w:val="21"/>
              </w:rPr>
            </w:pPr>
            <w:r>
              <w:rPr>
                <w:color w:val="000000"/>
                <w:sz w:val="21"/>
              </w:rPr>
              <w:t>/</w:t>
            </w:r>
          </w:p>
        </w:tc>
      </w:tr>
      <w:tr w14:paraId="1441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97" w:type="pct"/>
            <w:vMerge w:val="restart"/>
            <w:vAlign w:val="center"/>
          </w:tcPr>
          <w:p w14:paraId="789A5397">
            <w:pPr>
              <w:pStyle w:val="12"/>
              <w:spacing w:line="240" w:lineRule="auto"/>
              <w:rPr>
                <w:color w:val="000000"/>
                <w:sz w:val="21"/>
                <w:szCs w:val="21"/>
              </w:rPr>
            </w:pPr>
            <w:r>
              <w:rPr>
                <w:color w:val="000000"/>
                <w:sz w:val="21"/>
                <w:szCs w:val="21"/>
              </w:rPr>
              <w:t>2</w:t>
            </w:r>
          </w:p>
        </w:tc>
        <w:tc>
          <w:tcPr>
            <w:tcW w:w="360" w:type="pct"/>
            <w:vMerge w:val="restart"/>
            <w:vAlign w:val="center"/>
          </w:tcPr>
          <w:p w14:paraId="789EBAE4">
            <w:pPr>
              <w:pStyle w:val="12"/>
              <w:spacing w:line="240" w:lineRule="auto"/>
              <w:rPr>
                <w:color w:val="000000"/>
                <w:sz w:val="21"/>
                <w:szCs w:val="21"/>
              </w:rPr>
            </w:pPr>
            <w:r>
              <w:rPr>
                <w:color w:val="000000"/>
                <w:sz w:val="21"/>
                <w:szCs w:val="21"/>
              </w:rPr>
              <w:t>部分深冷分离尾气G2</w:t>
            </w:r>
          </w:p>
        </w:tc>
        <w:tc>
          <w:tcPr>
            <w:tcW w:w="522" w:type="pct"/>
            <w:vAlign w:val="center"/>
          </w:tcPr>
          <w:p w14:paraId="47571963">
            <w:pPr>
              <w:pStyle w:val="12"/>
              <w:spacing w:line="240" w:lineRule="auto"/>
              <w:rPr>
                <w:color w:val="000000"/>
                <w:sz w:val="21"/>
                <w:szCs w:val="21"/>
              </w:rPr>
            </w:pPr>
            <w:r>
              <w:rPr>
                <w:color w:val="000000"/>
                <w:sz w:val="21"/>
                <w:szCs w:val="21"/>
              </w:rPr>
              <w:t>甲烷</w:t>
            </w:r>
          </w:p>
        </w:tc>
        <w:tc>
          <w:tcPr>
            <w:tcW w:w="538" w:type="pct"/>
            <w:vMerge w:val="restart"/>
            <w:vAlign w:val="center"/>
          </w:tcPr>
          <w:p w14:paraId="1FD32C80">
            <w:pPr>
              <w:spacing w:line="240" w:lineRule="auto"/>
              <w:jc w:val="center"/>
              <w:rPr>
                <w:color w:val="000000"/>
                <w:sz w:val="21"/>
              </w:rPr>
            </w:pPr>
            <w:r>
              <w:rPr>
                <w:color w:val="000000"/>
                <w:sz w:val="21"/>
              </w:rPr>
              <w:t>物料平衡法</w:t>
            </w:r>
          </w:p>
          <w:p w14:paraId="0244AF58">
            <w:pPr>
              <w:jc w:val="center"/>
              <w:rPr>
                <w:color w:val="000000"/>
              </w:rPr>
            </w:pPr>
          </w:p>
        </w:tc>
        <w:tc>
          <w:tcPr>
            <w:tcW w:w="1598" w:type="dxa"/>
            <w:vAlign w:val="center"/>
          </w:tcPr>
          <w:p w14:paraId="7E10A351">
            <w:pPr>
              <w:pStyle w:val="12"/>
              <w:spacing w:line="240" w:lineRule="auto"/>
              <w:rPr>
                <w:color w:val="000000"/>
                <w:sz w:val="21"/>
                <w:szCs w:val="21"/>
              </w:rPr>
            </w:pPr>
            <w:r>
              <w:rPr>
                <w:color w:val="000000"/>
                <w:sz w:val="21"/>
                <w:szCs w:val="21"/>
              </w:rPr>
              <w:t>3.9161288</w:t>
            </w:r>
          </w:p>
        </w:tc>
        <w:tc>
          <w:tcPr>
            <w:tcW w:w="2030" w:type="dxa"/>
            <w:vAlign w:val="center"/>
          </w:tcPr>
          <w:p w14:paraId="7247E050">
            <w:pPr>
              <w:pStyle w:val="12"/>
              <w:spacing w:line="240" w:lineRule="auto"/>
              <w:rPr>
                <w:color w:val="000000"/>
                <w:sz w:val="21"/>
                <w:szCs w:val="21"/>
              </w:rPr>
            </w:pPr>
            <w:r>
              <w:rPr>
                <w:color w:val="000000"/>
                <w:sz w:val="21"/>
                <w:szCs w:val="21"/>
              </w:rPr>
              <w:t>31.33</w:t>
            </w:r>
          </w:p>
        </w:tc>
        <w:tc>
          <w:tcPr>
            <w:tcW w:w="975" w:type="pct"/>
            <w:vMerge w:val="continue"/>
            <w:vAlign w:val="center"/>
          </w:tcPr>
          <w:p w14:paraId="3C9B192E">
            <w:pPr>
              <w:pStyle w:val="12"/>
              <w:spacing w:line="240" w:lineRule="auto"/>
              <w:rPr>
                <w:color w:val="000000"/>
                <w:sz w:val="21"/>
                <w:szCs w:val="21"/>
              </w:rPr>
            </w:pPr>
          </w:p>
        </w:tc>
        <w:tc>
          <w:tcPr>
            <w:tcW w:w="393" w:type="pct"/>
            <w:vAlign w:val="center"/>
          </w:tcPr>
          <w:p w14:paraId="4F02144E">
            <w:pPr>
              <w:spacing w:line="240" w:lineRule="auto"/>
              <w:jc w:val="center"/>
              <w:rPr>
                <w:color w:val="000000"/>
                <w:sz w:val="21"/>
              </w:rPr>
            </w:pPr>
            <w:r>
              <w:rPr>
                <w:color w:val="000000"/>
                <w:sz w:val="21"/>
              </w:rPr>
              <w:t>/</w:t>
            </w:r>
          </w:p>
        </w:tc>
        <w:tc>
          <w:tcPr>
            <w:tcW w:w="336" w:type="pct"/>
            <w:vAlign w:val="center"/>
          </w:tcPr>
          <w:p w14:paraId="0E4BA69A">
            <w:pPr>
              <w:spacing w:line="240" w:lineRule="auto"/>
              <w:jc w:val="center"/>
              <w:rPr>
                <w:color w:val="000000"/>
                <w:sz w:val="21"/>
              </w:rPr>
            </w:pPr>
            <w:r>
              <w:rPr>
                <w:color w:val="000000"/>
                <w:sz w:val="21"/>
              </w:rPr>
              <w:t>/</w:t>
            </w:r>
          </w:p>
        </w:tc>
        <w:tc>
          <w:tcPr>
            <w:tcW w:w="1057" w:type="dxa"/>
            <w:vAlign w:val="center"/>
          </w:tcPr>
          <w:p w14:paraId="6531821F">
            <w:pPr>
              <w:spacing w:line="240" w:lineRule="auto"/>
              <w:jc w:val="center"/>
              <w:rPr>
                <w:color w:val="000000"/>
                <w:sz w:val="21"/>
              </w:rPr>
            </w:pPr>
            <w:r>
              <w:rPr>
                <w:color w:val="000000"/>
                <w:sz w:val="21"/>
              </w:rPr>
              <w:t>/</w:t>
            </w:r>
          </w:p>
        </w:tc>
      </w:tr>
      <w:tr w14:paraId="5B5B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2" w:hRule="atLeast"/>
          <w:jc w:val="center"/>
        </w:trPr>
        <w:tc>
          <w:tcPr>
            <w:tcW w:w="197" w:type="pct"/>
            <w:vMerge w:val="continue"/>
            <w:vAlign w:val="center"/>
          </w:tcPr>
          <w:p w14:paraId="212EB4D5">
            <w:pPr>
              <w:pStyle w:val="12"/>
              <w:spacing w:line="240" w:lineRule="auto"/>
              <w:rPr>
                <w:color w:val="000000"/>
                <w:sz w:val="21"/>
                <w:szCs w:val="21"/>
              </w:rPr>
            </w:pPr>
          </w:p>
        </w:tc>
        <w:tc>
          <w:tcPr>
            <w:tcW w:w="360" w:type="pct"/>
            <w:vMerge w:val="continue"/>
            <w:vAlign w:val="center"/>
          </w:tcPr>
          <w:p w14:paraId="79E81B70">
            <w:pPr>
              <w:pStyle w:val="12"/>
              <w:spacing w:line="240" w:lineRule="auto"/>
              <w:rPr>
                <w:color w:val="000000"/>
                <w:sz w:val="21"/>
                <w:szCs w:val="21"/>
              </w:rPr>
            </w:pPr>
          </w:p>
        </w:tc>
        <w:tc>
          <w:tcPr>
            <w:tcW w:w="522" w:type="pct"/>
            <w:vAlign w:val="center"/>
          </w:tcPr>
          <w:p w14:paraId="4E772B95">
            <w:pPr>
              <w:pStyle w:val="12"/>
              <w:spacing w:line="240" w:lineRule="auto"/>
              <w:rPr>
                <w:color w:val="000000"/>
                <w:sz w:val="21"/>
                <w:szCs w:val="21"/>
              </w:rPr>
            </w:pPr>
            <w:r>
              <w:rPr>
                <w:color w:val="000000"/>
                <w:sz w:val="21"/>
                <w:szCs w:val="21"/>
              </w:rPr>
              <w:t>氮气</w:t>
            </w:r>
          </w:p>
        </w:tc>
        <w:tc>
          <w:tcPr>
            <w:tcW w:w="538" w:type="pct"/>
            <w:vMerge w:val="continue"/>
            <w:vAlign w:val="center"/>
          </w:tcPr>
          <w:p w14:paraId="2C5FE515">
            <w:pPr>
              <w:pStyle w:val="12"/>
              <w:spacing w:line="240" w:lineRule="auto"/>
              <w:rPr>
                <w:color w:val="000000"/>
                <w:sz w:val="21"/>
                <w:szCs w:val="21"/>
              </w:rPr>
            </w:pPr>
          </w:p>
        </w:tc>
        <w:tc>
          <w:tcPr>
            <w:tcW w:w="1598" w:type="dxa"/>
            <w:vAlign w:val="center"/>
          </w:tcPr>
          <w:p w14:paraId="3FC72614">
            <w:pPr>
              <w:pStyle w:val="12"/>
              <w:spacing w:line="240" w:lineRule="auto"/>
              <w:rPr>
                <w:color w:val="000000"/>
                <w:sz w:val="21"/>
                <w:szCs w:val="21"/>
              </w:rPr>
            </w:pPr>
            <w:r>
              <w:rPr>
                <w:color w:val="000000"/>
                <w:sz w:val="21"/>
                <w:szCs w:val="21"/>
              </w:rPr>
              <w:t>20.0820826</w:t>
            </w:r>
          </w:p>
        </w:tc>
        <w:tc>
          <w:tcPr>
            <w:tcW w:w="2030" w:type="dxa"/>
            <w:vAlign w:val="center"/>
          </w:tcPr>
          <w:p w14:paraId="47336433">
            <w:pPr>
              <w:pStyle w:val="12"/>
              <w:spacing w:line="240" w:lineRule="auto"/>
              <w:rPr>
                <w:color w:val="000000"/>
                <w:sz w:val="21"/>
                <w:szCs w:val="21"/>
              </w:rPr>
            </w:pPr>
            <w:r>
              <w:rPr>
                <w:color w:val="000000"/>
                <w:sz w:val="21"/>
                <w:szCs w:val="21"/>
              </w:rPr>
              <w:t>160.66</w:t>
            </w:r>
          </w:p>
        </w:tc>
        <w:tc>
          <w:tcPr>
            <w:tcW w:w="975" w:type="pct"/>
            <w:vMerge w:val="continue"/>
            <w:vAlign w:val="center"/>
          </w:tcPr>
          <w:p w14:paraId="3E24154C">
            <w:pPr>
              <w:pStyle w:val="12"/>
              <w:spacing w:line="240" w:lineRule="auto"/>
              <w:rPr>
                <w:color w:val="000000"/>
                <w:sz w:val="21"/>
                <w:szCs w:val="21"/>
              </w:rPr>
            </w:pPr>
          </w:p>
        </w:tc>
        <w:tc>
          <w:tcPr>
            <w:tcW w:w="393" w:type="pct"/>
            <w:vAlign w:val="center"/>
          </w:tcPr>
          <w:p w14:paraId="2E73D471">
            <w:pPr>
              <w:spacing w:line="240" w:lineRule="auto"/>
              <w:jc w:val="center"/>
              <w:rPr>
                <w:color w:val="000000"/>
                <w:sz w:val="21"/>
              </w:rPr>
            </w:pPr>
            <w:r>
              <w:rPr>
                <w:color w:val="000000"/>
                <w:sz w:val="21"/>
              </w:rPr>
              <w:t>/</w:t>
            </w:r>
          </w:p>
        </w:tc>
        <w:tc>
          <w:tcPr>
            <w:tcW w:w="336" w:type="pct"/>
            <w:vAlign w:val="center"/>
          </w:tcPr>
          <w:p w14:paraId="393DA989">
            <w:pPr>
              <w:spacing w:line="240" w:lineRule="auto"/>
              <w:jc w:val="center"/>
              <w:rPr>
                <w:color w:val="000000"/>
                <w:sz w:val="21"/>
              </w:rPr>
            </w:pPr>
            <w:r>
              <w:rPr>
                <w:color w:val="000000"/>
                <w:sz w:val="21"/>
              </w:rPr>
              <w:t>/</w:t>
            </w:r>
          </w:p>
        </w:tc>
        <w:tc>
          <w:tcPr>
            <w:tcW w:w="1057" w:type="dxa"/>
            <w:vAlign w:val="center"/>
          </w:tcPr>
          <w:p w14:paraId="00D7EC5D">
            <w:pPr>
              <w:spacing w:line="240" w:lineRule="auto"/>
              <w:jc w:val="center"/>
              <w:rPr>
                <w:color w:val="000000"/>
                <w:sz w:val="21"/>
              </w:rPr>
            </w:pPr>
            <w:r>
              <w:rPr>
                <w:color w:val="000000"/>
                <w:sz w:val="21"/>
              </w:rPr>
              <w:t>/</w:t>
            </w:r>
          </w:p>
        </w:tc>
      </w:tr>
      <w:tr w14:paraId="59B6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2" w:hRule="atLeast"/>
          <w:jc w:val="center"/>
        </w:trPr>
        <w:tc>
          <w:tcPr>
            <w:tcW w:w="197" w:type="pct"/>
            <w:vMerge w:val="restart"/>
            <w:vAlign w:val="center"/>
          </w:tcPr>
          <w:p w14:paraId="6B10E44E">
            <w:pPr>
              <w:pStyle w:val="12"/>
              <w:spacing w:line="240" w:lineRule="auto"/>
              <w:rPr>
                <w:color w:val="000000"/>
                <w:sz w:val="21"/>
                <w:szCs w:val="21"/>
              </w:rPr>
            </w:pPr>
            <w:r>
              <w:rPr>
                <w:color w:val="000000"/>
                <w:sz w:val="21"/>
                <w:szCs w:val="21"/>
              </w:rPr>
              <w:t>3</w:t>
            </w:r>
          </w:p>
        </w:tc>
        <w:tc>
          <w:tcPr>
            <w:tcW w:w="360" w:type="pct"/>
            <w:vMerge w:val="restart"/>
            <w:vAlign w:val="center"/>
          </w:tcPr>
          <w:p w14:paraId="0653A0AD">
            <w:pPr>
              <w:pStyle w:val="12"/>
              <w:spacing w:line="240" w:lineRule="auto"/>
              <w:rPr>
                <w:color w:val="000000"/>
                <w:sz w:val="21"/>
                <w:szCs w:val="21"/>
              </w:rPr>
            </w:pPr>
            <w:r>
              <w:rPr>
                <w:color w:val="000000"/>
                <w:sz w:val="21"/>
                <w:szCs w:val="21"/>
              </w:rPr>
              <w:t>吸附脱氢再生尾气G3</w:t>
            </w:r>
          </w:p>
        </w:tc>
        <w:tc>
          <w:tcPr>
            <w:tcW w:w="522" w:type="pct"/>
            <w:vAlign w:val="center"/>
          </w:tcPr>
          <w:p w14:paraId="5A77DD94">
            <w:pPr>
              <w:pStyle w:val="12"/>
              <w:spacing w:line="240" w:lineRule="auto"/>
              <w:rPr>
                <w:color w:val="000000"/>
                <w:sz w:val="21"/>
                <w:szCs w:val="21"/>
              </w:rPr>
            </w:pPr>
            <w:r>
              <w:rPr>
                <w:color w:val="000000"/>
                <w:sz w:val="21"/>
                <w:szCs w:val="21"/>
              </w:rPr>
              <w:t>氮气</w:t>
            </w:r>
          </w:p>
        </w:tc>
        <w:tc>
          <w:tcPr>
            <w:tcW w:w="538" w:type="pct"/>
            <w:vMerge w:val="restart"/>
            <w:vAlign w:val="center"/>
          </w:tcPr>
          <w:p w14:paraId="61294597">
            <w:pPr>
              <w:spacing w:line="240" w:lineRule="auto"/>
              <w:jc w:val="center"/>
              <w:rPr>
                <w:color w:val="000000"/>
                <w:sz w:val="21"/>
              </w:rPr>
            </w:pPr>
            <w:r>
              <w:rPr>
                <w:color w:val="000000"/>
                <w:sz w:val="21"/>
              </w:rPr>
              <w:t>物料平衡法</w:t>
            </w:r>
          </w:p>
          <w:p w14:paraId="2146AEA0">
            <w:pPr>
              <w:jc w:val="center"/>
              <w:rPr>
                <w:color w:val="000000"/>
              </w:rPr>
            </w:pPr>
          </w:p>
        </w:tc>
        <w:tc>
          <w:tcPr>
            <w:tcW w:w="571" w:type="pct"/>
            <w:vAlign w:val="center"/>
          </w:tcPr>
          <w:p w14:paraId="34D135EA">
            <w:pPr>
              <w:pStyle w:val="12"/>
              <w:spacing w:line="240" w:lineRule="auto"/>
              <w:rPr>
                <w:color w:val="000000"/>
                <w:sz w:val="21"/>
                <w:szCs w:val="21"/>
              </w:rPr>
            </w:pPr>
            <w:r>
              <w:rPr>
                <w:color w:val="000000"/>
                <w:sz w:val="21"/>
                <w:szCs w:val="21"/>
              </w:rPr>
              <w:t>4</w:t>
            </w:r>
          </w:p>
        </w:tc>
        <w:tc>
          <w:tcPr>
            <w:tcW w:w="726" w:type="pct"/>
            <w:vAlign w:val="center"/>
          </w:tcPr>
          <w:p w14:paraId="408468D4">
            <w:pPr>
              <w:pStyle w:val="12"/>
              <w:spacing w:line="240" w:lineRule="auto"/>
              <w:rPr>
                <w:color w:val="000000"/>
                <w:sz w:val="21"/>
                <w:szCs w:val="21"/>
              </w:rPr>
            </w:pPr>
            <w:r>
              <w:rPr>
                <w:color w:val="000000"/>
                <w:sz w:val="21"/>
                <w:szCs w:val="21"/>
              </w:rPr>
              <w:t>32.00</w:t>
            </w:r>
          </w:p>
        </w:tc>
        <w:tc>
          <w:tcPr>
            <w:tcW w:w="975" w:type="pct"/>
            <w:vMerge w:val="restart"/>
            <w:vAlign w:val="center"/>
          </w:tcPr>
          <w:p w14:paraId="041B6321">
            <w:pPr>
              <w:pStyle w:val="12"/>
              <w:spacing w:line="240" w:lineRule="auto"/>
              <w:rPr>
                <w:color w:val="000000"/>
                <w:sz w:val="21"/>
                <w:szCs w:val="21"/>
              </w:rPr>
            </w:pPr>
            <w:r>
              <w:rPr>
                <w:color w:val="000000"/>
                <w:sz w:val="21"/>
                <w:szCs w:val="21"/>
              </w:rPr>
              <w:t>直接放空</w:t>
            </w:r>
          </w:p>
        </w:tc>
        <w:tc>
          <w:tcPr>
            <w:tcW w:w="1099" w:type="dxa"/>
            <w:vAlign w:val="center"/>
          </w:tcPr>
          <w:p w14:paraId="1D398AB3">
            <w:pPr>
              <w:pStyle w:val="12"/>
              <w:spacing w:line="240" w:lineRule="auto"/>
              <w:rPr>
                <w:color w:val="000000"/>
                <w:sz w:val="21"/>
                <w:szCs w:val="21"/>
              </w:rPr>
            </w:pPr>
            <w:r>
              <w:rPr>
                <w:color w:val="000000"/>
                <w:sz w:val="21"/>
                <w:szCs w:val="21"/>
              </w:rPr>
              <w:t>4</w:t>
            </w:r>
          </w:p>
        </w:tc>
        <w:tc>
          <w:tcPr>
            <w:tcW w:w="941" w:type="dxa"/>
            <w:vAlign w:val="center"/>
          </w:tcPr>
          <w:p w14:paraId="15BB067D">
            <w:pPr>
              <w:pStyle w:val="12"/>
              <w:spacing w:line="240" w:lineRule="auto"/>
              <w:rPr>
                <w:color w:val="000000"/>
                <w:sz w:val="21"/>
                <w:szCs w:val="21"/>
              </w:rPr>
            </w:pPr>
            <w:r>
              <w:rPr>
                <w:color w:val="000000"/>
                <w:sz w:val="21"/>
                <w:szCs w:val="21"/>
              </w:rPr>
              <w:t>32.00</w:t>
            </w:r>
          </w:p>
        </w:tc>
        <w:tc>
          <w:tcPr>
            <w:tcW w:w="1057" w:type="dxa"/>
            <w:vAlign w:val="center"/>
          </w:tcPr>
          <w:p w14:paraId="4C9F5706">
            <w:pPr>
              <w:pStyle w:val="12"/>
              <w:spacing w:line="240" w:lineRule="auto"/>
              <w:rPr>
                <w:color w:val="000000"/>
                <w:sz w:val="21"/>
                <w:szCs w:val="21"/>
              </w:rPr>
            </w:pPr>
            <w:r>
              <w:rPr>
                <w:color w:val="000000"/>
                <w:sz w:val="21"/>
                <w:szCs w:val="21"/>
              </w:rPr>
              <w:t>8000</w:t>
            </w:r>
          </w:p>
        </w:tc>
      </w:tr>
      <w:tr w14:paraId="76F3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97" w:type="pct"/>
            <w:vMerge w:val="continue"/>
            <w:vAlign w:val="center"/>
          </w:tcPr>
          <w:p w14:paraId="5FE90226">
            <w:pPr>
              <w:pStyle w:val="12"/>
              <w:spacing w:line="240" w:lineRule="auto"/>
              <w:rPr>
                <w:color w:val="000000"/>
                <w:sz w:val="21"/>
                <w:szCs w:val="21"/>
              </w:rPr>
            </w:pPr>
          </w:p>
        </w:tc>
        <w:tc>
          <w:tcPr>
            <w:tcW w:w="360" w:type="pct"/>
            <w:vMerge w:val="continue"/>
            <w:vAlign w:val="center"/>
          </w:tcPr>
          <w:p w14:paraId="156B19D3">
            <w:pPr>
              <w:pStyle w:val="12"/>
              <w:spacing w:line="240" w:lineRule="auto"/>
              <w:rPr>
                <w:color w:val="000000"/>
                <w:sz w:val="21"/>
                <w:szCs w:val="21"/>
              </w:rPr>
            </w:pPr>
          </w:p>
        </w:tc>
        <w:tc>
          <w:tcPr>
            <w:tcW w:w="522" w:type="pct"/>
            <w:vAlign w:val="center"/>
          </w:tcPr>
          <w:p w14:paraId="0EA16988">
            <w:pPr>
              <w:pStyle w:val="12"/>
              <w:spacing w:line="240" w:lineRule="auto"/>
              <w:rPr>
                <w:color w:val="000000"/>
                <w:sz w:val="21"/>
                <w:szCs w:val="21"/>
              </w:rPr>
            </w:pPr>
            <w:r>
              <w:rPr>
                <w:color w:val="000000"/>
                <w:sz w:val="21"/>
                <w:szCs w:val="21"/>
              </w:rPr>
              <w:t>少量氧气</w:t>
            </w:r>
          </w:p>
        </w:tc>
        <w:tc>
          <w:tcPr>
            <w:tcW w:w="538" w:type="pct"/>
            <w:vMerge w:val="continue"/>
            <w:vAlign w:val="center"/>
          </w:tcPr>
          <w:p w14:paraId="5FD7ABDA">
            <w:pPr>
              <w:pStyle w:val="12"/>
              <w:spacing w:line="240" w:lineRule="auto"/>
              <w:rPr>
                <w:color w:val="000000"/>
                <w:sz w:val="21"/>
                <w:szCs w:val="21"/>
              </w:rPr>
            </w:pPr>
          </w:p>
        </w:tc>
        <w:tc>
          <w:tcPr>
            <w:tcW w:w="571" w:type="pct"/>
            <w:vAlign w:val="center"/>
          </w:tcPr>
          <w:p w14:paraId="6BFD8DC8">
            <w:pPr>
              <w:pStyle w:val="12"/>
              <w:spacing w:line="240" w:lineRule="auto"/>
              <w:rPr>
                <w:color w:val="000000"/>
                <w:sz w:val="21"/>
                <w:szCs w:val="21"/>
              </w:rPr>
            </w:pPr>
            <w:r>
              <w:rPr>
                <w:color w:val="000000"/>
                <w:sz w:val="21"/>
                <w:szCs w:val="21"/>
              </w:rPr>
              <w:t>0.0299344</w:t>
            </w:r>
          </w:p>
        </w:tc>
        <w:tc>
          <w:tcPr>
            <w:tcW w:w="726" w:type="pct"/>
            <w:vAlign w:val="center"/>
          </w:tcPr>
          <w:p w14:paraId="199FD6BB">
            <w:pPr>
              <w:pStyle w:val="12"/>
              <w:spacing w:line="240" w:lineRule="auto"/>
              <w:rPr>
                <w:color w:val="000000"/>
                <w:sz w:val="21"/>
                <w:szCs w:val="21"/>
              </w:rPr>
            </w:pPr>
            <w:r>
              <w:rPr>
                <w:color w:val="000000"/>
                <w:sz w:val="21"/>
                <w:szCs w:val="21"/>
              </w:rPr>
              <w:t>0.24</w:t>
            </w:r>
          </w:p>
        </w:tc>
        <w:tc>
          <w:tcPr>
            <w:tcW w:w="975" w:type="pct"/>
            <w:vMerge w:val="continue"/>
            <w:vAlign w:val="center"/>
          </w:tcPr>
          <w:p w14:paraId="5CB1BEEE">
            <w:pPr>
              <w:pStyle w:val="12"/>
              <w:spacing w:line="240" w:lineRule="auto"/>
              <w:rPr>
                <w:color w:val="000000"/>
                <w:sz w:val="21"/>
                <w:szCs w:val="21"/>
              </w:rPr>
            </w:pPr>
          </w:p>
        </w:tc>
        <w:tc>
          <w:tcPr>
            <w:tcW w:w="1099" w:type="dxa"/>
            <w:vAlign w:val="center"/>
          </w:tcPr>
          <w:p w14:paraId="1E6A3118">
            <w:pPr>
              <w:pStyle w:val="12"/>
              <w:spacing w:line="240" w:lineRule="auto"/>
              <w:rPr>
                <w:color w:val="000000"/>
                <w:sz w:val="21"/>
                <w:szCs w:val="21"/>
              </w:rPr>
            </w:pPr>
            <w:r>
              <w:rPr>
                <w:color w:val="000000"/>
                <w:sz w:val="21"/>
                <w:szCs w:val="21"/>
              </w:rPr>
              <w:t>0.0299344</w:t>
            </w:r>
          </w:p>
        </w:tc>
        <w:tc>
          <w:tcPr>
            <w:tcW w:w="941" w:type="dxa"/>
            <w:vAlign w:val="center"/>
          </w:tcPr>
          <w:p w14:paraId="0CF3F19C">
            <w:pPr>
              <w:pStyle w:val="12"/>
              <w:spacing w:line="240" w:lineRule="auto"/>
              <w:rPr>
                <w:color w:val="000000"/>
                <w:sz w:val="21"/>
                <w:szCs w:val="21"/>
              </w:rPr>
            </w:pPr>
            <w:r>
              <w:rPr>
                <w:color w:val="000000"/>
                <w:sz w:val="21"/>
                <w:szCs w:val="21"/>
              </w:rPr>
              <w:t>0.24</w:t>
            </w:r>
          </w:p>
        </w:tc>
        <w:tc>
          <w:tcPr>
            <w:tcW w:w="1057" w:type="dxa"/>
            <w:vAlign w:val="center"/>
          </w:tcPr>
          <w:p w14:paraId="2455053D">
            <w:pPr>
              <w:spacing w:line="240" w:lineRule="auto"/>
              <w:jc w:val="center"/>
              <w:rPr>
                <w:color w:val="000000"/>
                <w:sz w:val="21"/>
              </w:rPr>
            </w:pPr>
            <w:r>
              <w:rPr>
                <w:color w:val="000000"/>
                <w:sz w:val="21"/>
              </w:rPr>
              <w:t>8000</w:t>
            </w:r>
          </w:p>
        </w:tc>
      </w:tr>
      <w:tr w14:paraId="137C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2" w:hRule="atLeast"/>
          <w:jc w:val="center"/>
        </w:trPr>
        <w:tc>
          <w:tcPr>
            <w:tcW w:w="197" w:type="pct"/>
            <w:vMerge w:val="restart"/>
            <w:vAlign w:val="center"/>
          </w:tcPr>
          <w:p w14:paraId="024BCBC0">
            <w:pPr>
              <w:pStyle w:val="12"/>
              <w:spacing w:line="240" w:lineRule="auto"/>
              <w:rPr>
                <w:color w:val="000000"/>
                <w:sz w:val="21"/>
                <w:szCs w:val="21"/>
              </w:rPr>
            </w:pPr>
            <w:r>
              <w:rPr>
                <w:color w:val="000000"/>
                <w:sz w:val="21"/>
                <w:szCs w:val="21"/>
              </w:rPr>
              <w:t>4</w:t>
            </w:r>
          </w:p>
        </w:tc>
        <w:tc>
          <w:tcPr>
            <w:tcW w:w="360" w:type="pct"/>
            <w:vMerge w:val="restart"/>
            <w:vAlign w:val="center"/>
          </w:tcPr>
          <w:p w14:paraId="6C07C85D">
            <w:pPr>
              <w:pStyle w:val="12"/>
              <w:spacing w:line="240" w:lineRule="auto"/>
              <w:rPr>
                <w:color w:val="000000"/>
                <w:sz w:val="21"/>
                <w:szCs w:val="21"/>
              </w:rPr>
            </w:pPr>
            <w:r>
              <w:rPr>
                <w:color w:val="000000"/>
                <w:sz w:val="21"/>
                <w:szCs w:val="21"/>
              </w:rPr>
              <w:t>脱碳干燥再生尾气G4</w:t>
            </w:r>
          </w:p>
        </w:tc>
        <w:tc>
          <w:tcPr>
            <w:tcW w:w="522" w:type="pct"/>
            <w:vAlign w:val="center"/>
          </w:tcPr>
          <w:p w14:paraId="1CFBE4E7">
            <w:pPr>
              <w:pStyle w:val="12"/>
              <w:spacing w:line="240" w:lineRule="auto"/>
              <w:rPr>
                <w:color w:val="000000"/>
                <w:sz w:val="21"/>
                <w:szCs w:val="21"/>
              </w:rPr>
            </w:pPr>
            <w:r>
              <w:rPr>
                <w:color w:val="000000"/>
                <w:sz w:val="21"/>
                <w:szCs w:val="21"/>
              </w:rPr>
              <w:t>氮气</w:t>
            </w:r>
          </w:p>
        </w:tc>
        <w:tc>
          <w:tcPr>
            <w:tcW w:w="538" w:type="pct"/>
            <w:vMerge w:val="restart"/>
            <w:vAlign w:val="center"/>
          </w:tcPr>
          <w:p w14:paraId="0FEC92B9">
            <w:pPr>
              <w:spacing w:line="240" w:lineRule="auto"/>
              <w:jc w:val="center"/>
              <w:rPr>
                <w:color w:val="000000"/>
                <w:sz w:val="21"/>
              </w:rPr>
            </w:pPr>
            <w:r>
              <w:rPr>
                <w:color w:val="000000"/>
                <w:sz w:val="21"/>
              </w:rPr>
              <w:t>物料平衡法</w:t>
            </w:r>
          </w:p>
        </w:tc>
        <w:tc>
          <w:tcPr>
            <w:tcW w:w="571" w:type="pct"/>
            <w:vAlign w:val="center"/>
          </w:tcPr>
          <w:p w14:paraId="1449D10E">
            <w:pPr>
              <w:pStyle w:val="12"/>
              <w:spacing w:line="240" w:lineRule="auto"/>
              <w:rPr>
                <w:color w:val="000000"/>
                <w:sz w:val="21"/>
                <w:szCs w:val="21"/>
              </w:rPr>
            </w:pPr>
            <w:r>
              <w:rPr>
                <w:color w:val="000000"/>
                <w:sz w:val="21"/>
                <w:szCs w:val="21"/>
              </w:rPr>
              <w:t>8.33</w:t>
            </w:r>
          </w:p>
        </w:tc>
        <w:tc>
          <w:tcPr>
            <w:tcW w:w="726" w:type="pct"/>
            <w:vAlign w:val="center"/>
          </w:tcPr>
          <w:p w14:paraId="73075F65">
            <w:pPr>
              <w:pStyle w:val="12"/>
              <w:spacing w:line="240" w:lineRule="auto"/>
              <w:rPr>
                <w:color w:val="000000"/>
                <w:sz w:val="21"/>
                <w:szCs w:val="21"/>
              </w:rPr>
            </w:pPr>
            <w:r>
              <w:rPr>
                <w:color w:val="000000"/>
                <w:sz w:val="21"/>
                <w:szCs w:val="21"/>
              </w:rPr>
              <w:t>66.64</w:t>
            </w:r>
          </w:p>
        </w:tc>
        <w:tc>
          <w:tcPr>
            <w:tcW w:w="975" w:type="pct"/>
            <w:vMerge w:val="restart"/>
            <w:vAlign w:val="center"/>
          </w:tcPr>
          <w:p w14:paraId="050FECD8">
            <w:pPr>
              <w:pStyle w:val="12"/>
              <w:spacing w:line="240" w:lineRule="auto"/>
              <w:rPr>
                <w:color w:val="000000"/>
                <w:sz w:val="21"/>
                <w:szCs w:val="21"/>
              </w:rPr>
            </w:pPr>
            <w:r>
              <w:rPr>
                <w:color w:val="000000"/>
                <w:sz w:val="21"/>
                <w:szCs w:val="21"/>
              </w:rPr>
              <w:t>直接放空</w:t>
            </w:r>
          </w:p>
        </w:tc>
        <w:tc>
          <w:tcPr>
            <w:tcW w:w="1099" w:type="dxa"/>
            <w:vAlign w:val="center"/>
          </w:tcPr>
          <w:p w14:paraId="66FDB0C0">
            <w:pPr>
              <w:pStyle w:val="12"/>
              <w:spacing w:line="240" w:lineRule="auto"/>
              <w:rPr>
                <w:color w:val="000000"/>
                <w:sz w:val="21"/>
                <w:szCs w:val="21"/>
              </w:rPr>
            </w:pPr>
            <w:r>
              <w:rPr>
                <w:color w:val="000000"/>
                <w:sz w:val="21"/>
                <w:szCs w:val="21"/>
              </w:rPr>
              <w:t>8.33</w:t>
            </w:r>
          </w:p>
        </w:tc>
        <w:tc>
          <w:tcPr>
            <w:tcW w:w="941" w:type="dxa"/>
            <w:vAlign w:val="center"/>
          </w:tcPr>
          <w:p w14:paraId="639556F1">
            <w:pPr>
              <w:pStyle w:val="12"/>
              <w:spacing w:line="240" w:lineRule="auto"/>
              <w:rPr>
                <w:color w:val="000000"/>
                <w:sz w:val="21"/>
                <w:szCs w:val="21"/>
              </w:rPr>
            </w:pPr>
            <w:r>
              <w:rPr>
                <w:color w:val="000000"/>
                <w:sz w:val="21"/>
                <w:szCs w:val="21"/>
              </w:rPr>
              <w:t>66.64</w:t>
            </w:r>
          </w:p>
        </w:tc>
        <w:tc>
          <w:tcPr>
            <w:tcW w:w="1057" w:type="dxa"/>
            <w:vAlign w:val="center"/>
          </w:tcPr>
          <w:p w14:paraId="2105D3DD">
            <w:pPr>
              <w:spacing w:line="240" w:lineRule="auto"/>
              <w:jc w:val="center"/>
              <w:rPr>
                <w:color w:val="000000"/>
                <w:sz w:val="21"/>
              </w:rPr>
            </w:pPr>
            <w:r>
              <w:rPr>
                <w:color w:val="000000"/>
                <w:sz w:val="21"/>
              </w:rPr>
              <w:t>8000</w:t>
            </w:r>
          </w:p>
        </w:tc>
      </w:tr>
      <w:tr w14:paraId="28E7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2" w:hRule="atLeast"/>
          <w:jc w:val="center"/>
        </w:trPr>
        <w:tc>
          <w:tcPr>
            <w:tcW w:w="197" w:type="pct"/>
            <w:vMerge w:val="continue"/>
            <w:vAlign w:val="center"/>
          </w:tcPr>
          <w:p w14:paraId="0EEEB995">
            <w:pPr>
              <w:pStyle w:val="12"/>
              <w:spacing w:line="240" w:lineRule="auto"/>
              <w:rPr>
                <w:color w:val="000000"/>
                <w:sz w:val="21"/>
                <w:szCs w:val="21"/>
              </w:rPr>
            </w:pPr>
          </w:p>
        </w:tc>
        <w:tc>
          <w:tcPr>
            <w:tcW w:w="360" w:type="pct"/>
            <w:vMerge w:val="continue"/>
            <w:vAlign w:val="center"/>
          </w:tcPr>
          <w:p w14:paraId="5C2A4A9C">
            <w:pPr>
              <w:pStyle w:val="12"/>
              <w:spacing w:line="240" w:lineRule="auto"/>
              <w:rPr>
                <w:color w:val="000000"/>
                <w:sz w:val="21"/>
                <w:szCs w:val="21"/>
              </w:rPr>
            </w:pPr>
          </w:p>
        </w:tc>
        <w:tc>
          <w:tcPr>
            <w:tcW w:w="522" w:type="pct"/>
            <w:vAlign w:val="center"/>
          </w:tcPr>
          <w:p w14:paraId="2ABCED5D">
            <w:pPr>
              <w:pStyle w:val="12"/>
              <w:spacing w:line="240" w:lineRule="auto"/>
              <w:rPr>
                <w:color w:val="000000"/>
                <w:sz w:val="21"/>
                <w:szCs w:val="21"/>
              </w:rPr>
            </w:pPr>
            <w:r>
              <w:rPr>
                <w:color w:val="000000"/>
                <w:sz w:val="21"/>
                <w:szCs w:val="21"/>
              </w:rPr>
              <w:t>少量吹脱的水</w:t>
            </w:r>
          </w:p>
        </w:tc>
        <w:tc>
          <w:tcPr>
            <w:tcW w:w="538" w:type="pct"/>
            <w:vMerge w:val="continue"/>
            <w:vAlign w:val="center"/>
          </w:tcPr>
          <w:p w14:paraId="69C54A05">
            <w:pPr>
              <w:pStyle w:val="12"/>
              <w:spacing w:line="240" w:lineRule="auto"/>
              <w:rPr>
                <w:color w:val="000000"/>
                <w:sz w:val="21"/>
                <w:szCs w:val="21"/>
              </w:rPr>
            </w:pPr>
          </w:p>
        </w:tc>
        <w:tc>
          <w:tcPr>
            <w:tcW w:w="571" w:type="pct"/>
            <w:vAlign w:val="center"/>
          </w:tcPr>
          <w:p w14:paraId="015E8033">
            <w:pPr>
              <w:pStyle w:val="12"/>
              <w:spacing w:line="240" w:lineRule="auto"/>
              <w:rPr>
                <w:color w:val="000000"/>
                <w:sz w:val="21"/>
                <w:szCs w:val="21"/>
              </w:rPr>
            </w:pPr>
            <w:r>
              <w:rPr>
                <w:color w:val="000000"/>
                <w:sz w:val="21"/>
                <w:szCs w:val="21"/>
              </w:rPr>
              <w:t>0.0000252</w:t>
            </w:r>
          </w:p>
        </w:tc>
        <w:tc>
          <w:tcPr>
            <w:tcW w:w="726" w:type="pct"/>
            <w:vAlign w:val="center"/>
          </w:tcPr>
          <w:p w14:paraId="05A6F1F6">
            <w:pPr>
              <w:pStyle w:val="12"/>
              <w:spacing w:line="240" w:lineRule="auto"/>
              <w:rPr>
                <w:color w:val="000000"/>
                <w:sz w:val="21"/>
                <w:szCs w:val="21"/>
              </w:rPr>
            </w:pPr>
            <w:r>
              <w:rPr>
                <w:color w:val="000000"/>
                <w:sz w:val="21"/>
                <w:szCs w:val="21"/>
              </w:rPr>
              <w:t>0.0002</w:t>
            </w:r>
          </w:p>
        </w:tc>
        <w:tc>
          <w:tcPr>
            <w:tcW w:w="975" w:type="pct"/>
            <w:vMerge w:val="continue"/>
            <w:vAlign w:val="center"/>
          </w:tcPr>
          <w:p w14:paraId="14CABEC9">
            <w:pPr>
              <w:pStyle w:val="12"/>
              <w:spacing w:line="240" w:lineRule="auto"/>
              <w:rPr>
                <w:color w:val="000000"/>
                <w:sz w:val="21"/>
                <w:szCs w:val="21"/>
              </w:rPr>
            </w:pPr>
          </w:p>
        </w:tc>
        <w:tc>
          <w:tcPr>
            <w:tcW w:w="1099" w:type="dxa"/>
            <w:vAlign w:val="center"/>
          </w:tcPr>
          <w:p w14:paraId="3B0692FC">
            <w:pPr>
              <w:pStyle w:val="12"/>
              <w:spacing w:line="240" w:lineRule="auto"/>
              <w:rPr>
                <w:color w:val="000000"/>
                <w:sz w:val="21"/>
                <w:szCs w:val="21"/>
              </w:rPr>
            </w:pPr>
            <w:r>
              <w:rPr>
                <w:color w:val="000000"/>
                <w:sz w:val="21"/>
                <w:szCs w:val="21"/>
              </w:rPr>
              <w:t>0.0000252</w:t>
            </w:r>
          </w:p>
        </w:tc>
        <w:tc>
          <w:tcPr>
            <w:tcW w:w="941" w:type="dxa"/>
            <w:vAlign w:val="center"/>
          </w:tcPr>
          <w:p w14:paraId="07C31F8B">
            <w:pPr>
              <w:pStyle w:val="12"/>
              <w:spacing w:line="240" w:lineRule="auto"/>
              <w:rPr>
                <w:color w:val="000000"/>
                <w:sz w:val="21"/>
                <w:szCs w:val="21"/>
              </w:rPr>
            </w:pPr>
            <w:r>
              <w:rPr>
                <w:color w:val="000000"/>
                <w:sz w:val="21"/>
                <w:szCs w:val="21"/>
              </w:rPr>
              <w:t>0.0002</w:t>
            </w:r>
          </w:p>
        </w:tc>
        <w:tc>
          <w:tcPr>
            <w:tcW w:w="1057" w:type="dxa"/>
            <w:vAlign w:val="center"/>
          </w:tcPr>
          <w:p w14:paraId="7877C323">
            <w:pPr>
              <w:spacing w:line="240" w:lineRule="auto"/>
              <w:jc w:val="center"/>
              <w:rPr>
                <w:color w:val="000000"/>
                <w:sz w:val="21"/>
              </w:rPr>
            </w:pPr>
            <w:r>
              <w:rPr>
                <w:color w:val="000000"/>
                <w:sz w:val="21"/>
              </w:rPr>
              <w:t>8000</w:t>
            </w:r>
          </w:p>
        </w:tc>
      </w:tr>
      <w:tr w14:paraId="79A8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2" w:hRule="atLeast"/>
          <w:jc w:val="center"/>
        </w:trPr>
        <w:tc>
          <w:tcPr>
            <w:tcW w:w="197" w:type="pct"/>
            <w:vMerge w:val="continue"/>
            <w:vAlign w:val="center"/>
          </w:tcPr>
          <w:p w14:paraId="11E8FDBA">
            <w:pPr>
              <w:pStyle w:val="12"/>
              <w:spacing w:line="240" w:lineRule="auto"/>
              <w:rPr>
                <w:color w:val="000000"/>
                <w:sz w:val="21"/>
                <w:szCs w:val="21"/>
              </w:rPr>
            </w:pPr>
          </w:p>
        </w:tc>
        <w:tc>
          <w:tcPr>
            <w:tcW w:w="360" w:type="pct"/>
            <w:vMerge w:val="continue"/>
            <w:vAlign w:val="center"/>
          </w:tcPr>
          <w:p w14:paraId="624E94B4">
            <w:pPr>
              <w:pStyle w:val="12"/>
              <w:spacing w:line="240" w:lineRule="auto"/>
              <w:rPr>
                <w:color w:val="000000"/>
                <w:sz w:val="21"/>
                <w:szCs w:val="21"/>
              </w:rPr>
            </w:pPr>
          </w:p>
        </w:tc>
        <w:tc>
          <w:tcPr>
            <w:tcW w:w="522" w:type="pct"/>
            <w:vAlign w:val="center"/>
          </w:tcPr>
          <w:p w14:paraId="651AA610">
            <w:pPr>
              <w:pStyle w:val="12"/>
              <w:spacing w:line="240" w:lineRule="auto"/>
              <w:rPr>
                <w:color w:val="000000"/>
                <w:sz w:val="21"/>
                <w:szCs w:val="21"/>
              </w:rPr>
            </w:pPr>
            <w:r>
              <w:rPr>
                <w:color w:val="000000"/>
                <w:sz w:val="21"/>
                <w:szCs w:val="21"/>
              </w:rPr>
              <w:t>二氧化碳</w:t>
            </w:r>
          </w:p>
        </w:tc>
        <w:tc>
          <w:tcPr>
            <w:tcW w:w="538" w:type="pct"/>
            <w:vMerge w:val="continue"/>
            <w:vAlign w:val="center"/>
          </w:tcPr>
          <w:p w14:paraId="6708CEF5">
            <w:pPr>
              <w:pStyle w:val="12"/>
              <w:spacing w:line="240" w:lineRule="auto"/>
              <w:rPr>
                <w:color w:val="000000"/>
                <w:sz w:val="21"/>
                <w:szCs w:val="21"/>
              </w:rPr>
            </w:pPr>
          </w:p>
        </w:tc>
        <w:tc>
          <w:tcPr>
            <w:tcW w:w="571" w:type="pct"/>
            <w:vAlign w:val="center"/>
          </w:tcPr>
          <w:p w14:paraId="15045650">
            <w:pPr>
              <w:pStyle w:val="12"/>
              <w:spacing w:line="240" w:lineRule="auto"/>
              <w:rPr>
                <w:color w:val="000000"/>
                <w:sz w:val="21"/>
                <w:szCs w:val="21"/>
              </w:rPr>
            </w:pPr>
            <w:r>
              <w:rPr>
                <w:color w:val="000000"/>
                <w:sz w:val="21"/>
                <w:szCs w:val="21"/>
              </w:rPr>
              <w:t>0.0000802</w:t>
            </w:r>
          </w:p>
        </w:tc>
        <w:tc>
          <w:tcPr>
            <w:tcW w:w="726" w:type="pct"/>
            <w:vAlign w:val="center"/>
          </w:tcPr>
          <w:p w14:paraId="008EF41A">
            <w:pPr>
              <w:pStyle w:val="12"/>
              <w:spacing w:line="240" w:lineRule="auto"/>
              <w:rPr>
                <w:color w:val="000000"/>
                <w:sz w:val="21"/>
                <w:szCs w:val="21"/>
              </w:rPr>
            </w:pPr>
            <w:r>
              <w:rPr>
                <w:color w:val="000000"/>
                <w:sz w:val="21"/>
                <w:szCs w:val="21"/>
              </w:rPr>
              <w:t>0.0006</w:t>
            </w:r>
          </w:p>
        </w:tc>
        <w:tc>
          <w:tcPr>
            <w:tcW w:w="975" w:type="pct"/>
            <w:vMerge w:val="continue"/>
            <w:vAlign w:val="center"/>
          </w:tcPr>
          <w:p w14:paraId="173E2298">
            <w:pPr>
              <w:pStyle w:val="12"/>
              <w:spacing w:line="240" w:lineRule="auto"/>
              <w:rPr>
                <w:color w:val="000000"/>
                <w:sz w:val="21"/>
                <w:szCs w:val="21"/>
              </w:rPr>
            </w:pPr>
          </w:p>
        </w:tc>
        <w:tc>
          <w:tcPr>
            <w:tcW w:w="1099" w:type="dxa"/>
            <w:vAlign w:val="center"/>
          </w:tcPr>
          <w:p w14:paraId="1A02315D">
            <w:pPr>
              <w:pStyle w:val="12"/>
              <w:spacing w:line="240" w:lineRule="auto"/>
              <w:rPr>
                <w:color w:val="000000"/>
                <w:sz w:val="21"/>
                <w:szCs w:val="21"/>
              </w:rPr>
            </w:pPr>
            <w:r>
              <w:rPr>
                <w:color w:val="000000"/>
                <w:sz w:val="21"/>
                <w:szCs w:val="21"/>
              </w:rPr>
              <w:t>0.0000802</w:t>
            </w:r>
          </w:p>
        </w:tc>
        <w:tc>
          <w:tcPr>
            <w:tcW w:w="941" w:type="dxa"/>
            <w:vAlign w:val="center"/>
          </w:tcPr>
          <w:p w14:paraId="4AF6194C">
            <w:pPr>
              <w:pStyle w:val="12"/>
              <w:spacing w:line="240" w:lineRule="auto"/>
              <w:rPr>
                <w:color w:val="000000"/>
                <w:sz w:val="21"/>
                <w:szCs w:val="21"/>
              </w:rPr>
            </w:pPr>
            <w:r>
              <w:rPr>
                <w:color w:val="000000"/>
                <w:sz w:val="21"/>
                <w:szCs w:val="21"/>
              </w:rPr>
              <w:t>0.0006</w:t>
            </w:r>
          </w:p>
        </w:tc>
        <w:tc>
          <w:tcPr>
            <w:tcW w:w="1057" w:type="dxa"/>
            <w:vAlign w:val="center"/>
          </w:tcPr>
          <w:p w14:paraId="013CF4E6">
            <w:pPr>
              <w:spacing w:line="240" w:lineRule="auto"/>
              <w:jc w:val="center"/>
              <w:rPr>
                <w:color w:val="000000"/>
                <w:sz w:val="21"/>
              </w:rPr>
            </w:pPr>
            <w:r>
              <w:rPr>
                <w:color w:val="000000"/>
                <w:sz w:val="21"/>
              </w:rPr>
              <w:t>8000</w:t>
            </w:r>
          </w:p>
        </w:tc>
      </w:tr>
    </w:tbl>
    <w:p w14:paraId="3A1A8B80">
      <w:pPr>
        <w:pStyle w:val="134"/>
        <w:rPr>
          <w:color w:val="000000"/>
        </w:rPr>
      </w:pPr>
    </w:p>
    <w:bookmarkEnd w:id="219"/>
    <w:p w14:paraId="7343F5CA">
      <w:pPr>
        <w:pStyle w:val="2"/>
        <w:ind w:left="0" w:leftChars="0" w:firstLine="0" w:firstLineChars="0"/>
        <w:rPr>
          <w:rFonts w:ascii="Times New Roman" w:hAnsi="Times New Roman" w:cs="Times New Roman"/>
          <w:color w:val="000000"/>
          <w:szCs w:val="21"/>
        </w:rPr>
      </w:pPr>
    </w:p>
    <w:p w14:paraId="7A8183B3">
      <w:pPr>
        <w:pStyle w:val="72"/>
        <w:ind w:firstLine="240"/>
        <w:rPr>
          <w:color w:val="000000"/>
          <w:szCs w:val="21"/>
        </w:rPr>
      </w:pPr>
    </w:p>
    <w:p w14:paraId="79620562">
      <w:pPr>
        <w:rPr>
          <w:color w:val="000000"/>
        </w:rPr>
      </w:pPr>
    </w:p>
    <w:p w14:paraId="19DA1B32">
      <w:pPr>
        <w:pStyle w:val="133"/>
        <w:ind w:firstLine="480" w:firstLineChars="200"/>
        <w:jc w:val="left"/>
        <w:outlineLvl w:val="9"/>
        <w:rPr>
          <w:rFonts w:ascii="Times New Roman" w:hAnsi="Times New Roman"/>
          <w:color w:val="000000"/>
          <w:sz w:val="24"/>
          <w:szCs w:val="24"/>
        </w:rPr>
      </w:pPr>
      <w:r>
        <w:rPr>
          <w:rFonts w:ascii="Times New Roman" w:hAnsi="Times New Roman"/>
          <w:color w:val="000000"/>
          <w:sz w:val="24"/>
          <w:szCs w:val="24"/>
          <w:lang w:val="en-US"/>
        </w:rPr>
        <w:t>由于G1、G2尾气为BOG尾气提氦后的剩余组分，去火炬燃烧的方式与现有工程BOG尾气</w:t>
      </w:r>
      <w:r>
        <w:rPr>
          <w:rFonts w:hint="eastAsia" w:ascii="Times New Roman" w:hAnsi="Times New Roman"/>
          <w:color w:val="000000"/>
          <w:sz w:val="24"/>
          <w:szCs w:val="24"/>
          <w:lang w:val="en-US"/>
        </w:rPr>
        <w:t>（</w:t>
      </w:r>
      <w:r>
        <w:rPr>
          <w:rFonts w:ascii="Times New Roman" w:hAnsi="Times New Roman"/>
          <w:color w:val="000000"/>
          <w:sz w:val="24"/>
          <w:szCs w:val="24"/>
        </w:rPr>
        <w:t>LNG储罐闪蒸汽G4</w:t>
      </w:r>
      <w:r>
        <w:rPr>
          <w:rFonts w:hint="eastAsia" w:ascii="Times New Roman" w:hAnsi="Times New Roman"/>
          <w:color w:val="000000"/>
          <w:sz w:val="24"/>
          <w:szCs w:val="24"/>
          <w:lang w:val="en-US"/>
        </w:rPr>
        <w:t>）</w:t>
      </w:r>
      <w:r>
        <w:rPr>
          <w:rFonts w:ascii="Times New Roman" w:hAnsi="Times New Roman"/>
          <w:color w:val="000000"/>
          <w:sz w:val="24"/>
          <w:szCs w:val="24"/>
          <w:lang w:val="en-US"/>
        </w:rPr>
        <w:t>处置方式一致，故火炬烟气的排放情况几乎不变</w:t>
      </w:r>
      <w:r>
        <w:rPr>
          <w:rFonts w:hint="eastAsia" w:ascii="Times New Roman" w:hAnsi="Times New Roman"/>
          <w:color w:val="000000"/>
          <w:sz w:val="24"/>
          <w:szCs w:val="24"/>
          <w:lang w:val="en-US"/>
        </w:rPr>
        <w:t>，因此</w:t>
      </w:r>
      <w:r>
        <w:rPr>
          <w:rFonts w:ascii="Times New Roman" w:hAnsi="Times New Roman"/>
          <w:color w:val="000000"/>
          <w:sz w:val="24"/>
          <w:szCs w:val="24"/>
          <w:lang w:val="en-US"/>
        </w:rPr>
        <w:t>LNG工厂火炬</w:t>
      </w:r>
      <w:r>
        <w:rPr>
          <w:rFonts w:ascii="Times New Roman" w:hAnsi="Times New Roman"/>
          <w:color w:val="000000"/>
          <w:sz w:val="24"/>
          <w:szCs w:val="24"/>
        </w:rPr>
        <w:t>装置</w:t>
      </w:r>
      <w:r>
        <w:rPr>
          <w:rFonts w:ascii="Times New Roman" w:hAnsi="Times New Roman"/>
          <w:color w:val="000000"/>
          <w:sz w:val="24"/>
          <w:szCs w:val="24"/>
          <w:lang w:val="en-US"/>
        </w:rPr>
        <w:t>废气</w:t>
      </w:r>
      <w:r>
        <w:rPr>
          <w:rFonts w:hint="eastAsia" w:ascii="Times New Roman" w:hAnsi="Times New Roman"/>
          <w:color w:val="000000"/>
          <w:sz w:val="24"/>
          <w:szCs w:val="24"/>
          <w:lang w:val="en-US"/>
        </w:rPr>
        <w:t>源强为原火炬源强，</w:t>
      </w:r>
      <w:r>
        <w:rPr>
          <w:rFonts w:ascii="Times New Roman" w:hAnsi="Times New Roman"/>
          <w:color w:val="000000"/>
          <w:sz w:val="24"/>
          <w:szCs w:val="24"/>
          <w:lang w:val="en-US"/>
        </w:rPr>
        <w:t>包括现有工程</w:t>
      </w:r>
      <w:r>
        <w:rPr>
          <w:rFonts w:ascii="Times New Roman" w:hAnsi="Times New Roman"/>
          <w:color w:val="000000"/>
          <w:sz w:val="24"/>
          <w:szCs w:val="24"/>
        </w:rPr>
        <w:t>胺闪蒸罐废气G1、LNG储罐闪蒸汽G4</w:t>
      </w:r>
      <w:r>
        <w:rPr>
          <w:rFonts w:hint="eastAsia" w:ascii="Times New Roman" w:hAnsi="Times New Roman"/>
          <w:color w:val="000000"/>
          <w:sz w:val="24"/>
          <w:szCs w:val="24"/>
        </w:rPr>
        <w:t>（</w:t>
      </w:r>
      <w:r>
        <w:rPr>
          <w:rFonts w:hint="eastAsia" w:ascii="Times New Roman" w:hAnsi="Times New Roman"/>
          <w:color w:val="000000"/>
          <w:sz w:val="24"/>
          <w:szCs w:val="24"/>
          <w:lang w:val="en-US"/>
        </w:rPr>
        <w:t>含</w:t>
      </w:r>
      <w:r>
        <w:rPr>
          <w:rFonts w:ascii="Times New Roman" w:hAnsi="Times New Roman"/>
          <w:color w:val="000000"/>
          <w:sz w:val="24"/>
          <w:szCs w:val="24"/>
          <w:lang w:val="en-US"/>
        </w:rPr>
        <w:t>本项目压缩脱碳干燥再生尾气G1、部分深冷分离尾气G2</w:t>
      </w:r>
      <w:r>
        <w:rPr>
          <w:rFonts w:hint="eastAsia" w:ascii="Times New Roman" w:hAnsi="Times New Roman"/>
          <w:color w:val="000000"/>
          <w:sz w:val="24"/>
          <w:szCs w:val="24"/>
        </w:rPr>
        <w:t>）</w:t>
      </w:r>
      <w:r>
        <w:rPr>
          <w:rFonts w:ascii="Times New Roman" w:hAnsi="Times New Roman"/>
          <w:color w:val="000000"/>
          <w:sz w:val="24"/>
          <w:szCs w:val="24"/>
        </w:rPr>
        <w:t>、各冷剂储罐闪蒸汽</w:t>
      </w:r>
      <w:r>
        <w:rPr>
          <w:rFonts w:hint="eastAsia" w:ascii="Times New Roman" w:hAnsi="Times New Roman"/>
          <w:color w:val="000000"/>
          <w:sz w:val="24"/>
          <w:szCs w:val="24"/>
        </w:rPr>
        <w:t>。</w:t>
      </w:r>
      <w:r>
        <w:rPr>
          <w:rFonts w:ascii="Times New Roman" w:hAnsi="Times New Roman"/>
          <w:color w:val="000000"/>
          <w:sz w:val="24"/>
          <w:szCs w:val="24"/>
          <w:lang w:val="en-US"/>
        </w:rPr>
        <w:t>项目火炬废气污染物情况见表3.2</w:t>
      </w:r>
      <w:r>
        <w:rPr>
          <w:rFonts w:ascii="Times New Roman" w:hAnsi="Times New Roman"/>
          <w:color w:val="000000"/>
          <w:sz w:val="24"/>
          <w:szCs w:val="24"/>
        </w:rPr>
        <w:t>.4.1-</w:t>
      </w:r>
      <w:r>
        <w:rPr>
          <w:rFonts w:ascii="Times New Roman" w:hAnsi="Times New Roman"/>
          <w:color w:val="000000"/>
          <w:sz w:val="24"/>
          <w:szCs w:val="24"/>
          <w:lang w:val="en-US"/>
        </w:rPr>
        <w:t>2</w:t>
      </w:r>
      <w:r>
        <w:rPr>
          <w:rFonts w:hint="eastAsia" w:ascii="Times New Roman" w:hAnsi="Times New Roman"/>
          <w:color w:val="000000"/>
          <w:sz w:val="24"/>
          <w:szCs w:val="24"/>
          <w:lang w:val="en-US"/>
        </w:rPr>
        <w:t>。</w:t>
      </w:r>
    </w:p>
    <w:p w14:paraId="5ED00BC9">
      <w:pPr>
        <w:pStyle w:val="133"/>
        <w:outlineLvl w:val="9"/>
        <w:rPr>
          <w:rFonts w:ascii="Times New Roman" w:hAnsi="Times New Roman"/>
          <w:color w:val="000000"/>
          <w:lang w:val="en-US"/>
        </w:rPr>
      </w:pPr>
      <w:r>
        <w:rPr>
          <w:rFonts w:ascii="Times New Roman" w:hAnsi="Times New Roman"/>
          <w:color w:val="000000"/>
          <w:lang w:val="en-US"/>
        </w:rPr>
        <w:t>表</w:t>
      </w:r>
      <w:r>
        <w:rPr>
          <w:rFonts w:hint="eastAsia" w:ascii="Times New Roman" w:hAnsi="Times New Roman"/>
          <w:color w:val="000000"/>
          <w:lang w:val="en-US"/>
        </w:rPr>
        <w:t>3</w:t>
      </w:r>
      <w:r>
        <w:rPr>
          <w:rFonts w:ascii="Times New Roman" w:hAnsi="Times New Roman"/>
          <w:color w:val="000000"/>
          <w:lang w:val="en-US"/>
        </w:rPr>
        <w:t>.2.4.1-2   火炬源强排放情况表</w:t>
      </w:r>
    </w:p>
    <w:tbl>
      <w:tblPr>
        <w:tblStyle w:val="7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85"/>
        <w:gridCol w:w="1960"/>
        <w:gridCol w:w="547"/>
        <w:gridCol w:w="981"/>
        <w:gridCol w:w="931"/>
        <w:gridCol w:w="1037"/>
        <w:gridCol w:w="981"/>
        <w:gridCol w:w="1175"/>
        <w:gridCol w:w="2361"/>
        <w:gridCol w:w="951"/>
        <w:gridCol w:w="813"/>
        <w:gridCol w:w="920"/>
        <w:gridCol w:w="864"/>
      </w:tblGrid>
      <w:tr w14:paraId="20F8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73" w:type="pct"/>
            <w:vMerge w:val="restart"/>
            <w:vAlign w:val="center"/>
          </w:tcPr>
          <w:p w14:paraId="1896F2FC">
            <w:pPr>
              <w:pStyle w:val="12"/>
              <w:spacing w:line="240" w:lineRule="auto"/>
              <w:rPr>
                <w:color w:val="000000"/>
                <w:sz w:val="21"/>
                <w:szCs w:val="21"/>
              </w:rPr>
            </w:pPr>
            <w:r>
              <w:rPr>
                <w:color w:val="000000"/>
                <w:sz w:val="21"/>
                <w:szCs w:val="21"/>
              </w:rPr>
              <w:t>序号</w:t>
            </w:r>
          </w:p>
        </w:tc>
        <w:tc>
          <w:tcPr>
            <w:tcW w:w="699" w:type="pct"/>
            <w:vMerge w:val="restart"/>
            <w:vAlign w:val="center"/>
          </w:tcPr>
          <w:p w14:paraId="574FB8E0">
            <w:pPr>
              <w:pStyle w:val="12"/>
              <w:spacing w:line="240" w:lineRule="auto"/>
              <w:rPr>
                <w:color w:val="000000"/>
                <w:sz w:val="21"/>
                <w:szCs w:val="21"/>
              </w:rPr>
            </w:pPr>
            <w:r>
              <w:rPr>
                <w:color w:val="000000"/>
                <w:sz w:val="21"/>
                <w:szCs w:val="21"/>
              </w:rPr>
              <w:t>装置/工序</w:t>
            </w:r>
          </w:p>
        </w:tc>
        <w:tc>
          <w:tcPr>
            <w:tcW w:w="195" w:type="pct"/>
            <w:vMerge w:val="restart"/>
            <w:vAlign w:val="center"/>
          </w:tcPr>
          <w:p w14:paraId="5A14B74F">
            <w:pPr>
              <w:pStyle w:val="12"/>
              <w:spacing w:line="240" w:lineRule="auto"/>
              <w:rPr>
                <w:color w:val="000000"/>
                <w:sz w:val="21"/>
                <w:szCs w:val="21"/>
              </w:rPr>
            </w:pPr>
            <w:r>
              <w:rPr>
                <w:color w:val="000000"/>
                <w:sz w:val="21"/>
                <w:szCs w:val="21"/>
              </w:rPr>
              <w:t>污染源</w:t>
            </w:r>
          </w:p>
        </w:tc>
        <w:tc>
          <w:tcPr>
            <w:tcW w:w="350" w:type="pct"/>
            <w:vMerge w:val="restart"/>
            <w:vAlign w:val="center"/>
          </w:tcPr>
          <w:p w14:paraId="72D6DEE6">
            <w:pPr>
              <w:pStyle w:val="12"/>
              <w:spacing w:line="240" w:lineRule="auto"/>
              <w:rPr>
                <w:color w:val="000000"/>
                <w:sz w:val="21"/>
                <w:szCs w:val="21"/>
              </w:rPr>
            </w:pPr>
            <w:r>
              <w:rPr>
                <w:color w:val="000000"/>
                <w:sz w:val="21"/>
                <w:szCs w:val="21"/>
              </w:rPr>
              <w:t>核算方法</w:t>
            </w:r>
          </w:p>
        </w:tc>
        <w:tc>
          <w:tcPr>
            <w:tcW w:w="332" w:type="pct"/>
            <w:vMerge w:val="restart"/>
            <w:vAlign w:val="center"/>
          </w:tcPr>
          <w:p w14:paraId="5B2A7802">
            <w:pPr>
              <w:pStyle w:val="12"/>
              <w:spacing w:line="240" w:lineRule="auto"/>
              <w:rPr>
                <w:color w:val="000000"/>
                <w:sz w:val="21"/>
                <w:szCs w:val="21"/>
              </w:rPr>
            </w:pPr>
            <w:r>
              <w:rPr>
                <w:color w:val="000000"/>
                <w:sz w:val="21"/>
                <w:szCs w:val="21"/>
              </w:rPr>
              <w:t>排放量（m</w:t>
            </w:r>
            <w:r>
              <w:rPr>
                <w:color w:val="000000"/>
                <w:sz w:val="21"/>
                <w:szCs w:val="21"/>
                <w:vertAlign w:val="superscript"/>
              </w:rPr>
              <w:t>3</w:t>
            </w:r>
            <w:r>
              <w:rPr>
                <w:color w:val="000000"/>
                <w:sz w:val="21"/>
                <w:szCs w:val="21"/>
              </w:rPr>
              <w:t>/h）</w:t>
            </w:r>
          </w:p>
        </w:tc>
        <w:tc>
          <w:tcPr>
            <w:tcW w:w="370" w:type="pct"/>
            <w:vMerge w:val="restart"/>
            <w:vAlign w:val="center"/>
          </w:tcPr>
          <w:p w14:paraId="7572CEC1">
            <w:pPr>
              <w:pStyle w:val="12"/>
              <w:spacing w:line="240" w:lineRule="auto"/>
              <w:rPr>
                <w:color w:val="000000"/>
                <w:sz w:val="21"/>
                <w:szCs w:val="21"/>
              </w:rPr>
            </w:pPr>
            <w:r>
              <w:rPr>
                <w:color w:val="000000"/>
                <w:sz w:val="21"/>
                <w:szCs w:val="21"/>
              </w:rPr>
              <w:t>污染物名称</w:t>
            </w:r>
          </w:p>
        </w:tc>
        <w:tc>
          <w:tcPr>
            <w:tcW w:w="769" w:type="pct"/>
            <w:gridSpan w:val="2"/>
            <w:vAlign w:val="center"/>
          </w:tcPr>
          <w:p w14:paraId="4EB8D23C">
            <w:pPr>
              <w:pStyle w:val="12"/>
              <w:spacing w:line="240" w:lineRule="auto"/>
              <w:rPr>
                <w:color w:val="000000"/>
                <w:sz w:val="21"/>
                <w:szCs w:val="21"/>
              </w:rPr>
            </w:pPr>
            <w:r>
              <w:rPr>
                <w:color w:val="000000"/>
                <w:sz w:val="21"/>
                <w:szCs w:val="21"/>
              </w:rPr>
              <w:t>处理前</w:t>
            </w:r>
          </w:p>
        </w:tc>
        <w:tc>
          <w:tcPr>
            <w:tcW w:w="842" w:type="pct"/>
            <w:vMerge w:val="restart"/>
            <w:vAlign w:val="center"/>
          </w:tcPr>
          <w:p w14:paraId="577A4787">
            <w:pPr>
              <w:pStyle w:val="12"/>
              <w:spacing w:line="240" w:lineRule="auto"/>
              <w:rPr>
                <w:color w:val="000000"/>
                <w:sz w:val="21"/>
                <w:szCs w:val="21"/>
              </w:rPr>
            </w:pPr>
            <w:r>
              <w:rPr>
                <w:color w:val="000000"/>
                <w:sz w:val="21"/>
                <w:szCs w:val="21"/>
              </w:rPr>
              <w:t>治理措施</w:t>
            </w:r>
          </w:p>
        </w:tc>
        <w:tc>
          <w:tcPr>
            <w:tcW w:w="629" w:type="pct"/>
            <w:gridSpan w:val="2"/>
            <w:vAlign w:val="center"/>
          </w:tcPr>
          <w:p w14:paraId="783B236F">
            <w:pPr>
              <w:pStyle w:val="12"/>
              <w:spacing w:line="240" w:lineRule="auto"/>
              <w:rPr>
                <w:color w:val="000000"/>
                <w:sz w:val="21"/>
                <w:szCs w:val="21"/>
              </w:rPr>
            </w:pPr>
            <w:r>
              <w:rPr>
                <w:color w:val="000000"/>
                <w:sz w:val="21"/>
                <w:szCs w:val="21"/>
              </w:rPr>
              <w:t>处理后</w:t>
            </w:r>
          </w:p>
        </w:tc>
        <w:tc>
          <w:tcPr>
            <w:tcW w:w="328" w:type="pct"/>
            <w:vMerge w:val="restart"/>
            <w:vAlign w:val="center"/>
          </w:tcPr>
          <w:p w14:paraId="5DA7C45E">
            <w:pPr>
              <w:pStyle w:val="12"/>
              <w:spacing w:line="240" w:lineRule="auto"/>
              <w:rPr>
                <w:color w:val="000000"/>
                <w:sz w:val="21"/>
                <w:szCs w:val="21"/>
              </w:rPr>
            </w:pPr>
            <w:r>
              <w:rPr>
                <w:color w:val="000000"/>
                <w:sz w:val="21"/>
                <w:szCs w:val="21"/>
              </w:rPr>
              <w:t>年排放时间h/a</w:t>
            </w:r>
          </w:p>
        </w:tc>
        <w:tc>
          <w:tcPr>
            <w:tcW w:w="308" w:type="pct"/>
            <w:vMerge w:val="restart"/>
            <w:vAlign w:val="center"/>
          </w:tcPr>
          <w:p w14:paraId="7C650A56">
            <w:pPr>
              <w:pStyle w:val="12"/>
              <w:spacing w:line="240" w:lineRule="auto"/>
              <w:rPr>
                <w:color w:val="000000"/>
                <w:sz w:val="21"/>
                <w:szCs w:val="21"/>
              </w:rPr>
            </w:pPr>
            <w:r>
              <w:rPr>
                <w:color w:val="000000"/>
                <w:sz w:val="21"/>
                <w:szCs w:val="21"/>
              </w:rPr>
              <w:t>年排放量t/a</w:t>
            </w:r>
          </w:p>
        </w:tc>
      </w:tr>
      <w:tr w14:paraId="03CF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2" w:hRule="atLeast"/>
          <w:jc w:val="center"/>
        </w:trPr>
        <w:tc>
          <w:tcPr>
            <w:tcW w:w="173" w:type="pct"/>
            <w:vMerge w:val="continue"/>
            <w:vAlign w:val="center"/>
          </w:tcPr>
          <w:p w14:paraId="547A1936">
            <w:pPr>
              <w:pStyle w:val="12"/>
              <w:spacing w:line="240" w:lineRule="auto"/>
              <w:rPr>
                <w:color w:val="000000"/>
                <w:sz w:val="21"/>
                <w:szCs w:val="21"/>
              </w:rPr>
            </w:pPr>
          </w:p>
        </w:tc>
        <w:tc>
          <w:tcPr>
            <w:tcW w:w="699" w:type="pct"/>
            <w:vMerge w:val="continue"/>
            <w:vAlign w:val="center"/>
          </w:tcPr>
          <w:p w14:paraId="7AF00996">
            <w:pPr>
              <w:pStyle w:val="12"/>
              <w:spacing w:line="240" w:lineRule="auto"/>
              <w:rPr>
                <w:color w:val="000000"/>
                <w:sz w:val="21"/>
                <w:szCs w:val="21"/>
              </w:rPr>
            </w:pPr>
          </w:p>
        </w:tc>
        <w:tc>
          <w:tcPr>
            <w:tcW w:w="195" w:type="pct"/>
            <w:vMerge w:val="continue"/>
            <w:vAlign w:val="center"/>
          </w:tcPr>
          <w:p w14:paraId="4A49FA35">
            <w:pPr>
              <w:pStyle w:val="12"/>
              <w:spacing w:line="240" w:lineRule="auto"/>
              <w:rPr>
                <w:color w:val="000000"/>
                <w:sz w:val="21"/>
                <w:szCs w:val="21"/>
              </w:rPr>
            </w:pPr>
          </w:p>
        </w:tc>
        <w:tc>
          <w:tcPr>
            <w:tcW w:w="350" w:type="pct"/>
            <w:vMerge w:val="continue"/>
            <w:vAlign w:val="center"/>
          </w:tcPr>
          <w:p w14:paraId="30807DBF">
            <w:pPr>
              <w:pStyle w:val="12"/>
              <w:spacing w:line="240" w:lineRule="auto"/>
              <w:rPr>
                <w:color w:val="000000"/>
                <w:sz w:val="21"/>
                <w:szCs w:val="21"/>
              </w:rPr>
            </w:pPr>
          </w:p>
        </w:tc>
        <w:tc>
          <w:tcPr>
            <w:tcW w:w="332" w:type="pct"/>
            <w:vMerge w:val="continue"/>
            <w:vAlign w:val="center"/>
          </w:tcPr>
          <w:p w14:paraId="48C8DE1A">
            <w:pPr>
              <w:pStyle w:val="12"/>
              <w:spacing w:line="240" w:lineRule="auto"/>
              <w:rPr>
                <w:color w:val="000000"/>
                <w:sz w:val="21"/>
                <w:szCs w:val="21"/>
              </w:rPr>
            </w:pPr>
          </w:p>
        </w:tc>
        <w:tc>
          <w:tcPr>
            <w:tcW w:w="370" w:type="pct"/>
            <w:vMerge w:val="continue"/>
            <w:vAlign w:val="center"/>
          </w:tcPr>
          <w:p w14:paraId="6DC88DDF">
            <w:pPr>
              <w:pStyle w:val="12"/>
              <w:spacing w:line="240" w:lineRule="auto"/>
              <w:rPr>
                <w:color w:val="000000"/>
                <w:sz w:val="21"/>
                <w:szCs w:val="21"/>
              </w:rPr>
            </w:pPr>
          </w:p>
        </w:tc>
        <w:tc>
          <w:tcPr>
            <w:tcW w:w="350" w:type="pct"/>
            <w:vAlign w:val="center"/>
          </w:tcPr>
          <w:p w14:paraId="1D09911D">
            <w:pPr>
              <w:pStyle w:val="12"/>
              <w:spacing w:line="240" w:lineRule="auto"/>
              <w:rPr>
                <w:color w:val="000000"/>
                <w:sz w:val="21"/>
                <w:szCs w:val="21"/>
              </w:rPr>
            </w:pPr>
            <w:r>
              <w:rPr>
                <w:color w:val="000000"/>
                <w:sz w:val="21"/>
                <w:szCs w:val="21"/>
              </w:rPr>
              <w:t>产生浓度</w:t>
            </w:r>
          </w:p>
          <w:p w14:paraId="12FB0528">
            <w:pPr>
              <w:pStyle w:val="12"/>
              <w:spacing w:line="240" w:lineRule="auto"/>
              <w:rPr>
                <w:color w:val="000000"/>
                <w:sz w:val="21"/>
                <w:szCs w:val="21"/>
              </w:rPr>
            </w:pPr>
            <w:r>
              <w:rPr>
                <w:color w:val="000000"/>
                <w:sz w:val="21"/>
                <w:szCs w:val="21"/>
              </w:rPr>
              <w:t>mg/m</w:t>
            </w:r>
            <w:r>
              <w:rPr>
                <w:color w:val="000000"/>
                <w:sz w:val="21"/>
                <w:szCs w:val="21"/>
                <w:vertAlign w:val="superscript"/>
              </w:rPr>
              <w:t>3</w:t>
            </w:r>
          </w:p>
        </w:tc>
        <w:tc>
          <w:tcPr>
            <w:tcW w:w="419" w:type="pct"/>
            <w:vAlign w:val="center"/>
          </w:tcPr>
          <w:p w14:paraId="48E69150">
            <w:pPr>
              <w:pStyle w:val="12"/>
              <w:spacing w:line="240" w:lineRule="auto"/>
              <w:rPr>
                <w:color w:val="000000"/>
                <w:sz w:val="21"/>
                <w:szCs w:val="21"/>
              </w:rPr>
            </w:pPr>
            <w:r>
              <w:rPr>
                <w:color w:val="000000"/>
                <w:sz w:val="21"/>
                <w:szCs w:val="21"/>
              </w:rPr>
              <w:t>产生量</w:t>
            </w:r>
          </w:p>
          <w:p w14:paraId="703E6867">
            <w:pPr>
              <w:pStyle w:val="12"/>
              <w:spacing w:line="240" w:lineRule="auto"/>
              <w:rPr>
                <w:color w:val="000000"/>
                <w:sz w:val="21"/>
                <w:szCs w:val="21"/>
              </w:rPr>
            </w:pPr>
            <w:r>
              <w:rPr>
                <w:color w:val="000000"/>
                <w:sz w:val="21"/>
                <w:szCs w:val="21"/>
              </w:rPr>
              <w:t>kg/h</w:t>
            </w:r>
          </w:p>
        </w:tc>
        <w:tc>
          <w:tcPr>
            <w:tcW w:w="842" w:type="pct"/>
            <w:vMerge w:val="continue"/>
            <w:vAlign w:val="center"/>
          </w:tcPr>
          <w:p w14:paraId="75E407C3">
            <w:pPr>
              <w:pStyle w:val="12"/>
              <w:spacing w:line="240" w:lineRule="auto"/>
              <w:rPr>
                <w:color w:val="000000"/>
                <w:sz w:val="21"/>
                <w:szCs w:val="21"/>
              </w:rPr>
            </w:pPr>
          </w:p>
        </w:tc>
        <w:tc>
          <w:tcPr>
            <w:tcW w:w="339" w:type="pct"/>
            <w:vAlign w:val="center"/>
          </w:tcPr>
          <w:p w14:paraId="53268703">
            <w:pPr>
              <w:pStyle w:val="12"/>
              <w:spacing w:line="240" w:lineRule="auto"/>
              <w:rPr>
                <w:color w:val="000000"/>
                <w:sz w:val="21"/>
                <w:szCs w:val="21"/>
              </w:rPr>
            </w:pPr>
            <w:r>
              <w:rPr>
                <w:color w:val="000000"/>
                <w:sz w:val="21"/>
                <w:szCs w:val="21"/>
              </w:rPr>
              <w:t>排放浓度</w:t>
            </w:r>
          </w:p>
          <w:p w14:paraId="7B1D6F01">
            <w:pPr>
              <w:pStyle w:val="12"/>
              <w:spacing w:line="240" w:lineRule="auto"/>
              <w:rPr>
                <w:color w:val="000000"/>
                <w:sz w:val="21"/>
                <w:szCs w:val="21"/>
              </w:rPr>
            </w:pPr>
            <w:r>
              <w:rPr>
                <w:color w:val="000000"/>
                <w:sz w:val="21"/>
                <w:szCs w:val="21"/>
              </w:rPr>
              <w:t>mg/m</w:t>
            </w:r>
            <w:r>
              <w:rPr>
                <w:color w:val="000000"/>
                <w:sz w:val="21"/>
                <w:szCs w:val="21"/>
                <w:vertAlign w:val="superscript"/>
              </w:rPr>
              <w:t>3</w:t>
            </w:r>
          </w:p>
        </w:tc>
        <w:tc>
          <w:tcPr>
            <w:tcW w:w="290" w:type="pct"/>
            <w:vAlign w:val="center"/>
          </w:tcPr>
          <w:p w14:paraId="7453A858">
            <w:pPr>
              <w:pStyle w:val="12"/>
              <w:spacing w:line="240" w:lineRule="auto"/>
              <w:rPr>
                <w:color w:val="000000"/>
                <w:sz w:val="21"/>
                <w:szCs w:val="21"/>
              </w:rPr>
            </w:pPr>
            <w:r>
              <w:rPr>
                <w:color w:val="000000"/>
                <w:sz w:val="21"/>
                <w:szCs w:val="21"/>
              </w:rPr>
              <w:t>排放量</w:t>
            </w:r>
          </w:p>
          <w:p w14:paraId="6A2AA470">
            <w:pPr>
              <w:pStyle w:val="12"/>
              <w:spacing w:line="240" w:lineRule="auto"/>
              <w:rPr>
                <w:color w:val="000000"/>
                <w:sz w:val="21"/>
                <w:szCs w:val="21"/>
              </w:rPr>
            </w:pPr>
            <w:r>
              <w:rPr>
                <w:color w:val="000000"/>
                <w:sz w:val="21"/>
                <w:szCs w:val="21"/>
              </w:rPr>
              <w:t>kg/h</w:t>
            </w:r>
          </w:p>
        </w:tc>
        <w:tc>
          <w:tcPr>
            <w:tcW w:w="328" w:type="pct"/>
            <w:vMerge w:val="continue"/>
            <w:vAlign w:val="center"/>
          </w:tcPr>
          <w:p w14:paraId="168C10CF">
            <w:pPr>
              <w:pStyle w:val="12"/>
              <w:spacing w:line="240" w:lineRule="auto"/>
              <w:rPr>
                <w:color w:val="000000"/>
                <w:sz w:val="21"/>
                <w:szCs w:val="21"/>
              </w:rPr>
            </w:pPr>
          </w:p>
        </w:tc>
        <w:tc>
          <w:tcPr>
            <w:tcW w:w="308" w:type="pct"/>
            <w:vMerge w:val="continue"/>
            <w:vAlign w:val="center"/>
          </w:tcPr>
          <w:p w14:paraId="6B3A8108">
            <w:pPr>
              <w:pStyle w:val="12"/>
              <w:spacing w:line="240" w:lineRule="auto"/>
              <w:rPr>
                <w:color w:val="000000"/>
                <w:sz w:val="21"/>
                <w:szCs w:val="21"/>
              </w:rPr>
            </w:pPr>
          </w:p>
        </w:tc>
      </w:tr>
      <w:tr w14:paraId="547E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2" w:hRule="atLeast"/>
          <w:jc w:val="center"/>
        </w:trPr>
        <w:tc>
          <w:tcPr>
            <w:tcW w:w="173" w:type="pct"/>
            <w:vMerge w:val="restart"/>
            <w:vAlign w:val="center"/>
          </w:tcPr>
          <w:p w14:paraId="435808B2">
            <w:pPr>
              <w:pStyle w:val="12"/>
              <w:spacing w:line="240" w:lineRule="auto"/>
              <w:rPr>
                <w:color w:val="000000"/>
                <w:sz w:val="21"/>
                <w:szCs w:val="21"/>
              </w:rPr>
            </w:pPr>
            <w:r>
              <w:rPr>
                <w:color w:val="000000"/>
                <w:sz w:val="21"/>
                <w:szCs w:val="21"/>
              </w:rPr>
              <w:t>5</w:t>
            </w:r>
          </w:p>
        </w:tc>
        <w:tc>
          <w:tcPr>
            <w:tcW w:w="699" w:type="pct"/>
            <w:vMerge w:val="restart"/>
            <w:vAlign w:val="center"/>
          </w:tcPr>
          <w:p w14:paraId="2B98EA8A">
            <w:pPr>
              <w:pStyle w:val="12"/>
              <w:spacing w:line="240" w:lineRule="auto"/>
              <w:rPr>
                <w:color w:val="000000"/>
                <w:sz w:val="21"/>
                <w:szCs w:val="21"/>
              </w:rPr>
            </w:pPr>
            <w:r>
              <w:rPr>
                <w:color w:val="000000"/>
                <w:sz w:val="21"/>
                <w:szCs w:val="21"/>
              </w:rPr>
              <w:t>LNG工厂火炬装置*</w:t>
            </w:r>
          </w:p>
        </w:tc>
        <w:tc>
          <w:tcPr>
            <w:tcW w:w="195" w:type="pct"/>
            <w:vMerge w:val="restart"/>
            <w:vAlign w:val="center"/>
          </w:tcPr>
          <w:p w14:paraId="34F9FD2D">
            <w:pPr>
              <w:pStyle w:val="12"/>
              <w:spacing w:line="240" w:lineRule="auto"/>
              <w:rPr>
                <w:color w:val="000000"/>
                <w:sz w:val="21"/>
                <w:szCs w:val="21"/>
              </w:rPr>
            </w:pPr>
            <w:r>
              <w:rPr>
                <w:color w:val="000000"/>
                <w:sz w:val="21"/>
                <w:szCs w:val="21"/>
              </w:rPr>
              <w:t>放空火炬</w:t>
            </w:r>
          </w:p>
        </w:tc>
        <w:tc>
          <w:tcPr>
            <w:tcW w:w="350" w:type="pct"/>
            <w:vMerge w:val="restart"/>
            <w:vAlign w:val="center"/>
          </w:tcPr>
          <w:p w14:paraId="2BCBBD49">
            <w:pPr>
              <w:pStyle w:val="12"/>
              <w:spacing w:line="240" w:lineRule="auto"/>
              <w:rPr>
                <w:color w:val="000000"/>
                <w:sz w:val="21"/>
                <w:szCs w:val="21"/>
              </w:rPr>
            </w:pPr>
            <w:r>
              <w:rPr>
                <w:color w:val="000000"/>
                <w:sz w:val="21"/>
                <w:szCs w:val="21"/>
              </w:rPr>
              <w:t>/</w:t>
            </w:r>
          </w:p>
        </w:tc>
        <w:tc>
          <w:tcPr>
            <w:tcW w:w="332" w:type="pct"/>
            <w:vMerge w:val="restart"/>
            <w:vAlign w:val="center"/>
          </w:tcPr>
          <w:p w14:paraId="29DD614C">
            <w:pPr>
              <w:pStyle w:val="12"/>
              <w:spacing w:line="240" w:lineRule="auto"/>
              <w:rPr>
                <w:color w:val="000000"/>
                <w:sz w:val="21"/>
                <w:szCs w:val="21"/>
              </w:rPr>
            </w:pPr>
            <w:r>
              <w:rPr>
                <w:color w:val="000000"/>
                <w:sz w:val="21"/>
                <w:szCs w:val="21"/>
              </w:rPr>
              <w:t>375</w:t>
            </w:r>
          </w:p>
        </w:tc>
        <w:tc>
          <w:tcPr>
            <w:tcW w:w="370" w:type="pct"/>
            <w:vAlign w:val="center"/>
          </w:tcPr>
          <w:p w14:paraId="2B5BD276">
            <w:pPr>
              <w:pStyle w:val="12"/>
              <w:spacing w:line="240" w:lineRule="auto"/>
              <w:rPr>
                <w:color w:val="000000"/>
                <w:sz w:val="21"/>
                <w:szCs w:val="21"/>
              </w:rPr>
            </w:pPr>
            <w:r>
              <w:rPr>
                <w:color w:val="000000"/>
                <w:sz w:val="21"/>
                <w:szCs w:val="21"/>
              </w:rPr>
              <w:t>颗粒物</w:t>
            </w:r>
          </w:p>
        </w:tc>
        <w:tc>
          <w:tcPr>
            <w:tcW w:w="350" w:type="pct"/>
            <w:vAlign w:val="center"/>
          </w:tcPr>
          <w:p w14:paraId="24213B00">
            <w:pPr>
              <w:jc w:val="center"/>
              <w:textAlignment w:val="center"/>
              <w:rPr>
                <w:color w:val="000000"/>
                <w:sz w:val="21"/>
              </w:rPr>
            </w:pPr>
            <w:r>
              <w:rPr>
                <w:color w:val="000000"/>
                <w:sz w:val="21"/>
              </w:rPr>
              <w:t>20</w:t>
            </w:r>
          </w:p>
        </w:tc>
        <w:tc>
          <w:tcPr>
            <w:tcW w:w="419" w:type="pct"/>
            <w:vAlign w:val="center"/>
          </w:tcPr>
          <w:p w14:paraId="75FB355D">
            <w:pPr>
              <w:jc w:val="center"/>
              <w:textAlignment w:val="center"/>
              <w:rPr>
                <w:color w:val="000000"/>
                <w:kern w:val="0"/>
                <w:sz w:val="21"/>
              </w:rPr>
            </w:pPr>
            <w:r>
              <w:rPr>
                <w:color w:val="000000"/>
                <w:kern w:val="0"/>
                <w:sz w:val="21"/>
              </w:rPr>
              <w:t>0.0075</w:t>
            </w:r>
          </w:p>
        </w:tc>
        <w:tc>
          <w:tcPr>
            <w:tcW w:w="842" w:type="pct"/>
            <w:vMerge w:val="restart"/>
            <w:vAlign w:val="center"/>
          </w:tcPr>
          <w:p w14:paraId="0D18BF6B">
            <w:pPr>
              <w:pStyle w:val="2193"/>
              <w:adjustRightInd w:val="0"/>
              <w:snapToGrid w:val="0"/>
              <w:spacing w:line="320" w:lineRule="exact"/>
              <w:jc w:val="center"/>
              <w:rPr>
                <w:rFonts w:ascii="Times New Roman" w:hAnsi="Times New Roman" w:cs="Times New Roman"/>
                <w:color w:val="000000"/>
                <w:lang w:val="zh-CN"/>
              </w:rPr>
            </w:pPr>
            <w:r>
              <w:rPr>
                <w:rFonts w:ascii="Times New Roman" w:hAnsi="Times New Roman" w:cs="Times New Roman"/>
                <w:color w:val="000000"/>
              </w:rPr>
              <w:t>依托LNG工厂</w:t>
            </w:r>
            <w:r>
              <w:rPr>
                <w:rFonts w:ascii="Times New Roman" w:hAnsi="Times New Roman" w:cs="Times New Roman"/>
                <w:color w:val="000000"/>
                <w:lang w:val="zh-CN"/>
              </w:rPr>
              <w:t>80m高的</w:t>
            </w:r>
          </w:p>
          <w:p w14:paraId="6D0E57D0">
            <w:pPr>
              <w:pStyle w:val="12"/>
              <w:spacing w:line="240" w:lineRule="auto"/>
              <w:rPr>
                <w:color w:val="000000"/>
                <w:sz w:val="21"/>
                <w:szCs w:val="21"/>
              </w:rPr>
            </w:pPr>
            <w:r>
              <w:rPr>
                <w:color w:val="000000"/>
                <w:sz w:val="21"/>
                <w:szCs w:val="21"/>
                <w:lang w:val="zh-CN"/>
              </w:rPr>
              <w:t>高架火炬</w:t>
            </w:r>
            <w:r>
              <w:rPr>
                <w:color w:val="000000"/>
                <w:sz w:val="21"/>
                <w:szCs w:val="21"/>
              </w:rPr>
              <w:t>燃烧排放</w:t>
            </w:r>
          </w:p>
        </w:tc>
        <w:tc>
          <w:tcPr>
            <w:tcW w:w="339" w:type="pct"/>
            <w:vAlign w:val="center"/>
          </w:tcPr>
          <w:p w14:paraId="5CFBE28C">
            <w:pPr>
              <w:jc w:val="center"/>
              <w:textAlignment w:val="center"/>
              <w:rPr>
                <w:color w:val="000000"/>
                <w:sz w:val="21"/>
              </w:rPr>
            </w:pPr>
            <w:r>
              <w:rPr>
                <w:color w:val="000000"/>
                <w:sz w:val="21"/>
              </w:rPr>
              <w:t>20</w:t>
            </w:r>
          </w:p>
        </w:tc>
        <w:tc>
          <w:tcPr>
            <w:tcW w:w="290" w:type="pct"/>
            <w:vAlign w:val="center"/>
          </w:tcPr>
          <w:p w14:paraId="6AE34010">
            <w:pPr>
              <w:jc w:val="center"/>
              <w:textAlignment w:val="center"/>
              <w:rPr>
                <w:color w:val="000000"/>
                <w:sz w:val="21"/>
              </w:rPr>
            </w:pPr>
            <w:r>
              <w:rPr>
                <w:color w:val="000000"/>
                <w:kern w:val="0"/>
                <w:sz w:val="21"/>
              </w:rPr>
              <w:t>0.0075</w:t>
            </w:r>
          </w:p>
        </w:tc>
        <w:tc>
          <w:tcPr>
            <w:tcW w:w="328" w:type="pct"/>
            <w:vAlign w:val="center"/>
          </w:tcPr>
          <w:p w14:paraId="71EC43A7">
            <w:pPr>
              <w:pStyle w:val="12"/>
              <w:spacing w:line="240" w:lineRule="auto"/>
              <w:rPr>
                <w:color w:val="000000"/>
                <w:sz w:val="21"/>
                <w:szCs w:val="21"/>
              </w:rPr>
            </w:pPr>
            <w:r>
              <w:rPr>
                <w:color w:val="000000"/>
                <w:sz w:val="21"/>
                <w:szCs w:val="21"/>
              </w:rPr>
              <w:t>8000</w:t>
            </w:r>
          </w:p>
        </w:tc>
        <w:tc>
          <w:tcPr>
            <w:tcW w:w="308" w:type="pct"/>
            <w:vAlign w:val="center"/>
          </w:tcPr>
          <w:p w14:paraId="16B0E2D6">
            <w:pPr>
              <w:jc w:val="center"/>
              <w:textAlignment w:val="center"/>
              <w:rPr>
                <w:color w:val="000000"/>
                <w:sz w:val="21"/>
              </w:rPr>
            </w:pPr>
            <w:r>
              <w:rPr>
                <w:color w:val="000000"/>
                <w:kern w:val="0"/>
                <w:sz w:val="21"/>
              </w:rPr>
              <w:t>0.06</w:t>
            </w:r>
          </w:p>
        </w:tc>
      </w:tr>
      <w:tr w14:paraId="063F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2" w:hRule="atLeast"/>
          <w:jc w:val="center"/>
        </w:trPr>
        <w:tc>
          <w:tcPr>
            <w:tcW w:w="173" w:type="pct"/>
            <w:vMerge w:val="continue"/>
            <w:vAlign w:val="center"/>
          </w:tcPr>
          <w:p w14:paraId="629BAB5E">
            <w:pPr>
              <w:pStyle w:val="12"/>
              <w:spacing w:line="240" w:lineRule="auto"/>
              <w:rPr>
                <w:color w:val="000000"/>
                <w:sz w:val="21"/>
                <w:szCs w:val="21"/>
              </w:rPr>
            </w:pPr>
          </w:p>
        </w:tc>
        <w:tc>
          <w:tcPr>
            <w:tcW w:w="699" w:type="pct"/>
            <w:vMerge w:val="continue"/>
            <w:vAlign w:val="center"/>
          </w:tcPr>
          <w:p w14:paraId="360AECB3">
            <w:pPr>
              <w:pStyle w:val="12"/>
              <w:spacing w:line="240" w:lineRule="auto"/>
              <w:rPr>
                <w:color w:val="000000"/>
                <w:sz w:val="21"/>
                <w:szCs w:val="21"/>
              </w:rPr>
            </w:pPr>
          </w:p>
        </w:tc>
        <w:tc>
          <w:tcPr>
            <w:tcW w:w="195" w:type="pct"/>
            <w:vMerge w:val="continue"/>
            <w:vAlign w:val="center"/>
          </w:tcPr>
          <w:p w14:paraId="2E1BCDD0">
            <w:pPr>
              <w:pStyle w:val="12"/>
              <w:spacing w:line="240" w:lineRule="auto"/>
              <w:rPr>
                <w:color w:val="000000"/>
                <w:sz w:val="21"/>
                <w:szCs w:val="21"/>
              </w:rPr>
            </w:pPr>
          </w:p>
        </w:tc>
        <w:tc>
          <w:tcPr>
            <w:tcW w:w="350" w:type="pct"/>
            <w:vMerge w:val="continue"/>
            <w:vAlign w:val="center"/>
          </w:tcPr>
          <w:p w14:paraId="0BC790A3">
            <w:pPr>
              <w:pStyle w:val="12"/>
              <w:spacing w:line="240" w:lineRule="auto"/>
              <w:rPr>
                <w:color w:val="000000"/>
                <w:sz w:val="21"/>
                <w:szCs w:val="21"/>
              </w:rPr>
            </w:pPr>
          </w:p>
        </w:tc>
        <w:tc>
          <w:tcPr>
            <w:tcW w:w="332" w:type="pct"/>
            <w:vMerge w:val="continue"/>
            <w:vAlign w:val="center"/>
          </w:tcPr>
          <w:p w14:paraId="341D5107">
            <w:pPr>
              <w:pStyle w:val="12"/>
              <w:spacing w:line="240" w:lineRule="auto"/>
              <w:rPr>
                <w:color w:val="000000"/>
                <w:sz w:val="21"/>
                <w:szCs w:val="21"/>
              </w:rPr>
            </w:pPr>
          </w:p>
        </w:tc>
        <w:tc>
          <w:tcPr>
            <w:tcW w:w="370" w:type="pct"/>
            <w:vAlign w:val="center"/>
          </w:tcPr>
          <w:p w14:paraId="7C622DD0">
            <w:pPr>
              <w:pStyle w:val="12"/>
              <w:spacing w:line="240" w:lineRule="auto"/>
              <w:rPr>
                <w:color w:val="000000"/>
                <w:sz w:val="21"/>
                <w:szCs w:val="21"/>
              </w:rPr>
            </w:pPr>
            <w:r>
              <w:rPr>
                <w:color w:val="000000"/>
                <w:sz w:val="21"/>
                <w:szCs w:val="21"/>
              </w:rPr>
              <w:t>SO</w:t>
            </w:r>
            <w:r>
              <w:rPr>
                <w:color w:val="000000"/>
                <w:sz w:val="21"/>
                <w:szCs w:val="21"/>
                <w:vertAlign w:val="subscript"/>
              </w:rPr>
              <w:t>2</w:t>
            </w:r>
          </w:p>
        </w:tc>
        <w:tc>
          <w:tcPr>
            <w:tcW w:w="350" w:type="pct"/>
            <w:vAlign w:val="center"/>
          </w:tcPr>
          <w:p w14:paraId="3F923574">
            <w:pPr>
              <w:jc w:val="center"/>
              <w:textAlignment w:val="center"/>
              <w:rPr>
                <w:color w:val="000000"/>
                <w:kern w:val="0"/>
                <w:sz w:val="21"/>
              </w:rPr>
            </w:pPr>
            <w:r>
              <w:rPr>
                <w:color w:val="000000"/>
                <w:kern w:val="0"/>
                <w:sz w:val="21"/>
              </w:rPr>
              <w:t>8.79</w:t>
            </w:r>
          </w:p>
        </w:tc>
        <w:tc>
          <w:tcPr>
            <w:tcW w:w="419" w:type="pct"/>
            <w:vAlign w:val="center"/>
          </w:tcPr>
          <w:p w14:paraId="3F729ADD">
            <w:pPr>
              <w:jc w:val="center"/>
              <w:textAlignment w:val="center"/>
              <w:rPr>
                <w:color w:val="000000"/>
                <w:kern w:val="0"/>
                <w:sz w:val="21"/>
              </w:rPr>
            </w:pPr>
            <w:r>
              <w:rPr>
                <w:color w:val="000000"/>
                <w:kern w:val="0"/>
                <w:sz w:val="21"/>
              </w:rPr>
              <w:t>0.00375</w:t>
            </w:r>
          </w:p>
        </w:tc>
        <w:tc>
          <w:tcPr>
            <w:tcW w:w="842" w:type="pct"/>
            <w:vMerge w:val="continue"/>
            <w:vAlign w:val="center"/>
          </w:tcPr>
          <w:p w14:paraId="07F99D83">
            <w:pPr>
              <w:pStyle w:val="12"/>
              <w:spacing w:line="240" w:lineRule="auto"/>
              <w:rPr>
                <w:color w:val="000000"/>
                <w:sz w:val="21"/>
                <w:szCs w:val="21"/>
              </w:rPr>
            </w:pPr>
          </w:p>
        </w:tc>
        <w:tc>
          <w:tcPr>
            <w:tcW w:w="339" w:type="pct"/>
            <w:vAlign w:val="center"/>
          </w:tcPr>
          <w:p w14:paraId="2770D0CD">
            <w:pPr>
              <w:jc w:val="center"/>
              <w:textAlignment w:val="center"/>
              <w:rPr>
                <w:color w:val="000000"/>
                <w:sz w:val="21"/>
              </w:rPr>
            </w:pPr>
            <w:r>
              <w:rPr>
                <w:color w:val="000000"/>
                <w:kern w:val="0"/>
                <w:sz w:val="21"/>
              </w:rPr>
              <w:t>8.79</w:t>
            </w:r>
          </w:p>
        </w:tc>
        <w:tc>
          <w:tcPr>
            <w:tcW w:w="290" w:type="pct"/>
            <w:vAlign w:val="center"/>
          </w:tcPr>
          <w:p w14:paraId="2D2DE63A">
            <w:pPr>
              <w:jc w:val="center"/>
              <w:textAlignment w:val="center"/>
              <w:rPr>
                <w:color w:val="000000"/>
                <w:sz w:val="21"/>
              </w:rPr>
            </w:pPr>
            <w:r>
              <w:rPr>
                <w:color w:val="000000"/>
                <w:kern w:val="0"/>
                <w:sz w:val="21"/>
              </w:rPr>
              <w:t>0.00375</w:t>
            </w:r>
          </w:p>
        </w:tc>
        <w:tc>
          <w:tcPr>
            <w:tcW w:w="328" w:type="pct"/>
            <w:vAlign w:val="center"/>
          </w:tcPr>
          <w:p w14:paraId="7E6E9EA7">
            <w:pPr>
              <w:spacing w:line="240" w:lineRule="auto"/>
              <w:jc w:val="center"/>
              <w:rPr>
                <w:color w:val="000000"/>
                <w:sz w:val="21"/>
              </w:rPr>
            </w:pPr>
            <w:r>
              <w:rPr>
                <w:color w:val="000000"/>
                <w:sz w:val="21"/>
              </w:rPr>
              <w:t>8000</w:t>
            </w:r>
          </w:p>
        </w:tc>
        <w:tc>
          <w:tcPr>
            <w:tcW w:w="308" w:type="pct"/>
            <w:vAlign w:val="center"/>
          </w:tcPr>
          <w:p w14:paraId="6C123283">
            <w:pPr>
              <w:jc w:val="center"/>
              <w:textAlignment w:val="center"/>
              <w:rPr>
                <w:color w:val="000000"/>
                <w:kern w:val="0"/>
                <w:sz w:val="21"/>
              </w:rPr>
            </w:pPr>
            <w:r>
              <w:rPr>
                <w:color w:val="000000"/>
                <w:kern w:val="0"/>
                <w:sz w:val="21"/>
              </w:rPr>
              <w:t>0.03</w:t>
            </w:r>
          </w:p>
        </w:tc>
      </w:tr>
      <w:tr w14:paraId="5938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2" w:hRule="atLeast"/>
          <w:jc w:val="center"/>
        </w:trPr>
        <w:tc>
          <w:tcPr>
            <w:tcW w:w="173" w:type="pct"/>
            <w:vMerge w:val="continue"/>
            <w:vAlign w:val="center"/>
          </w:tcPr>
          <w:p w14:paraId="7C1976E2">
            <w:pPr>
              <w:pStyle w:val="12"/>
              <w:spacing w:line="240" w:lineRule="auto"/>
              <w:rPr>
                <w:color w:val="000000"/>
                <w:sz w:val="21"/>
                <w:szCs w:val="21"/>
              </w:rPr>
            </w:pPr>
          </w:p>
        </w:tc>
        <w:tc>
          <w:tcPr>
            <w:tcW w:w="699" w:type="pct"/>
            <w:vMerge w:val="continue"/>
            <w:vAlign w:val="center"/>
          </w:tcPr>
          <w:p w14:paraId="7809CF75">
            <w:pPr>
              <w:pStyle w:val="12"/>
              <w:spacing w:line="240" w:lineRule="auto"/>
              <w:rPr>
                <w:color w:val="000000"/>
                <w:sz w:val="21"/>
                <w:szCs w:val="21"/>
              </w:rPr>
            </w:pPr>
          </w:p>
        </w:tc>
        <w:tc>
          <w:tcPr>
            <w:tcW w:w="195" w:type="pct"/>
            <w:vMerge w:val="continue"/>
            <w:vAlign w:val="center"/>
          </w:tcPr>
          <w:p w14:paraId="0CB8AA8E">
            <w:pPr>
              <w:pStyle w:val="12"/>
              <w:spacing w:line="240" w:lineRule="auto"/>
              <w:rPr>
                <w:color w:val="000000"/>
                <w:sz w:val="21"/>
                <w:szCs w:val="21"/>
              </w:rPr>
            </w:pPr>
          </w:p>
        </w:tc>
        <w:tc>
          <w:tcPr>
            <w:tcW w:w="350" w:type="pct"/>
            <w:vMerge w:val="continue"/>
            <w:vAlign w:val="center"/>
          </w:tcPr>
          <w:p w14:paraId="76686EB2">
            <w:pPr>
              <w:pStyle w:val="12"/>
              <w:spacing w:line="240" w:lineRule="auto"/>
              <w:rPr>
                <w:color w:val="000000"/>
                <w:sz w:val="21"/>
                <w:szCs w:val="21"/>
              </w:rPr>
            </w:pPr>
          </w:p>
        </w:tc>
        <w:tc>
          <w:tcPr>
            <w:tcW w:w="332" w:type="pct"/>
            <w:vMerge w:val="continue"/>
            <w:vAlign w:val="center"/>
          </w:tcPr>
          <w:p w14:paraId="4123A7FA">
            <w:pPr>
              <w:pStyle w:val="12"/>
              <w:spacing w:line="240" w:lineRule="auto"/>
              <w:rPr>
                <w:color w:val="000000"/>
                <w:sz w:val="21"/>
                <w:szCs w:val="21"/>
              </w:rPr>
            </w:pPr>
          </w:p>
        </w:tc>
        <w:tc>
          <w:tcPr>
            <w:tcW w:w="370" w:type="pct"/>
            <w:vAlign w:val="center"/>
          </w:tcPr>
          <w:p w14:paraId="5010C42D">
            <w:pPr>
              <w:pStyle w:val="12"/>
              <w:spacing w:line="240" w:lineRule="auto"/>
              <w:rPr>
                <w:color w:val="000000"/>
                <w:sz w:val="21"/>
                <w:szCs w:val="21"/>
              </w:rPr>
            </w:pPr>
            <w:r>
              <w:rPr>
                <w:color w:val="000000"/>
                <w:sz w:val="21"/>
                <w:szCs w:val="21"/>
              </w:rPr>
              <w:t>NO</w:t>
            </w:r>
            <w:r>
              <w:rPr>
                <w:color w:val="000000"/>
                <w:sz w:val="21"/>
                <w:szCs w:val="21"/>
                <w:vertAlign w:val="subscript"/>
              </w:rPr>
              <w:t>x</w:t>
            </w:r>
          </w:p>
        </w:tc>
        <w:tc>
          <w:tcPr>
            <w:tcW w:w="350" w:type="pct"/>
            <w:vAlign w:val="center"/>
          </w:tcPr>
          <w:p w14:paraId="4F045804">
            <w:pPr>
              <w:jc w:val="center"/>
              <w:textAlignment w:val="center"/>
              <w:rPr>
                <w:color w:val="000000"/>
                <w:kern w:val="0"/>
                <w:sz w:val="21"/>
              </w:rPr>
            </w:pPr>
            <w:r>
              <w:rPr>
                <w:color w:val="000000"/>
                <w:kern w:val="0"/>
                <w:sz w:val="21"/>
              </w:rPr>
              <w:t>59.2</w:t>
            </w:r>
          </w:p>
        </w:tc>
        <w:tc>
          <w:tcPr>
            <w:tcW w:w="419" w:type="pct"/>
            <w:vAlign w:val="center"/>
          </w:tcPr>
          <w:p w14:paraId="58BB957F">
            <w:pPr>
              <w:jc w:val="center"/>
              <w:textAlignment w:val="center"/>
              <w:rPr>
                <w:color w:val="000000"/>
                <w:kern w:val="0"/>
                <w:sz w:val="21"/>
              </w:rPr>
            </w:pPr>
            <w:r>
              <w:rPr>
                <w:color w:val="000000"/>
                <w:kern w:val="0"/>
                <w:sz w:val="21"/>
              </w:rPr>
              <w:t>0.0225</w:t>
            </w:r>
          </w:p>
        </w:tc>
        <w:tc>
          <w:tcPr>
            <w:tcW w:w="842" w:type="pct"/>
            <w:vMerge w:val="continue"/>
            <w:vAlign w:val="center"/>
          </w:tcPr>
          <w:p w14:paraId="304438C3">
            <w:pPr>
              <w:pStyle w:val="12"/>
              <w:spacing w:line="240" w:lineRule="auto"/>
              <w:rPr>
                <w:color w:val="000000"/>
                <w:sz w:val="21"/>
                <w:szCs w:val="21"/>
              </w:rPr>
            </w:pPr>
          </w:p>
        </w:tc>
        <w:tc>
          <w:tcPr>
            <w:tcW w:w="339" w:type="pct"/>
            <w:vAlign w:val="center"/>
          </w:tcPr>
          <w:p w14:paraId="2D5D9E0C">
            <w:pPr>
              <w:jc w:val="center"/>
              <w:textAlignment w:val="center"/>
              <w:rPr>
                <w:color w:val="000000"/>
                <w:sz w:val="21"/>
              </w:rPr>
            </w:pPr>
            <w:r>
              <w:rPr>
                <w:color w:val="000000"/>
                <w:kern w:val="0"/>
                <w:sz w:val="21"/>
              </w:rPr>
              <w:t>59.2</w:t>
            </w:r>
          </w:p>
        </w:tc>
        <w:tc>
          <w:tcPr>
            <w:tcW w:w="290" w:type="pct"/>
            <w:vAlign w:val="center"/>
          </w:tcPr>
          <w:p w14:paraId="2D9AE284">
            <w:pPr>
              <w:jc w:val="center"/>
              <w:textAlignment w:val="center"/>
              <w:rPr>
                <w:color w:val="000000"/>
                <w:sz w:val="21"/>
              </w:rPr>
            </w:pPr>
            <w:r>
              <w:rPr>
                <w:color w:val="000000"/>
                <w:kern w:val="0"/>
                <w:sz w:val="21"/>
              </w:rPr>
              <w:t>0.0225</w:t>
            </w:r>
          </w:p>
        </w:tc>
        <w:tc>
          <w:tcPr>
            <w:tcW w:w="328" w:type="pct"/>
            <w:vAlign w:val="center"/>
          </w:tcPr>
          <w:p w14:paraId="3277E3BB">
            <w:pPr>
              <w:spacing w:line="240" w:lineRule="auto"/>
              <w:jc w:val="center"/>
              <w:rPr>
                <w:color w:val="000000"/>
                <w:sz w:val="21"/>
              </w:rPr>
            </w:pPr>
            <w:r>
              <w:rPr>
                <w:color w:val="000000"/>
                <w:sz w:val="21"/>
              </w:rPr>
              <w:t>8000</w:t>
            </w:r>
          </w:p>
        </w:tc>
        <w:tc>
          <w:tcPr>
            <w:tcW w:w="308" w:type="pct"/>
            <w:vAlign w:val="center"/>
          </w:tcPr>
          <w:p w14:paraId="4BD790BF">
            <w:pPr>
              <w:jc w:val="center"/>
              <w:textAlignment w:val="center"/>
              <w:rPr>
                <w:color w:val="000000"/>
                <w:kern w:val="0"/>
                <w:sz w:val="21"/>
              </w:rPr>
            </w:pPr>
            <w:r>
              <w:rPr>
                <w:color w:val="000000"/>
                <w:kern w:val="0"/>
                <w:sz w:val="21"/>
              </w:rPr>
              <w:t>0.18</w:t>
            </w:r>
          </w:p>
        </w:tc>
      </w:tr>
    </w:tbl>
    <w:p w14:paraId="6C379310">
      <w:pPr>
        <w:pStyle w:val="2"/>
        <w:ind w:left="0" w:leftChars="0" w:firstLine="0" w:firstLineChars="0"/>
        <w:rPr>
          <w:rFonts w:ascii="Times New Roman" w:hAnsi="Times New Roman" w:cs="Times New Roman"/>
          <w:color w:val="000000"/>
          <w:szCs w:val="21"/>
        </w:rPr>
        <w:sectPr>
          <w:pgSz w:w="16838" w:h="11905" w:orient="landscape"/>
          <w:pgMar w:top="1531" w:right="1440" w:bottom="1531" w:left="1440" w:header="850" w:footer="907" w:gutter="0"/>
          <w:cols w:space="720" w:num="1"/>
          <w:docGrid w:type="lines" w:linePitch="332" w:charSpace="0"/>
        </w:sectPr>
      </w:pPr>
    </w:p>
    <w:p w14:paraId="439B8196">
      <w:pPr>
        <w:pStyle w:val="785"/>
        <w:rPr>
          <w:color w:val="000000"/>
          <w:szCs w:val="24"/>
          <w:lang w:val="en-US"/>
        </w:rPr>
      </w:pPr>
      <w:r>
        <w:rPr>
          <w:color w:val="000000"/>
          <w:szCs w:val="24"/>
          <w:lang w:val="en-US"/>
        </w:rPr>
        <w:t>3.2.4.2废水</w:t>
      </w:r>
    </w:p>
    <w:p w14:paraId="4FB43F04">
      <w:pPr>
        <w:ind w:firstLine="480"/>
        <w:rPr>
          <w:color w:val="000000"/>
          <w:szCs w:val="24"/>
        </w:rPr>
      </w:pPr>
      <w:r>
        <w:rPr>
          <w:color w:val="000000"/>
          <w:szCs w:val="24"/>
        </w:rPr>
        <w:t>本项目外排废水主要为生产废水、生活污水。</w:t>
      </w:r>
    </w:p>
    <w:p w14:paraId="138F2CA3">
      <w:pPr>
        <w:pStyle w:val="131"/>
        <w:numPr>
          <w:ilvl w:val="0"/>
          <w:numId w:val="5"/>
        </w:numPr>
        <w:adjustRightInd w:val="0"/>
        <w:snapToGrid w:val="0"/>
        <w:ind w:firstLine="420"/>
        <w:rPr>
          <w:rFonts w:ascii="Times New Roman"/>
        </w:rPr>
      </w:pPr>
      <w:r>
        <w:rPr>
          <w:rFonts w:ascii="Times New Roman"/>
        </w:rPr>
        <w:t>生产废水</w:t>
      </w:r>
    </w:p>
    <w:p w14:paraId="15D8D298">
      <w:pPr>
        <w:ind w:firstLine="480"/>
        <w:rPr>
          <w:color w:val="000000"/>
          <w:szCs w:val="24"/>
        </w:rPr>
      </w:pPr>
      <w:r>
        <w:rPr>
          <w:color w:val="000000"/>
          <w:szCs w:val="24"/>
        </w:rPr>
        <w:t>本项目生产装置中BOG系统为密闭式工艺系统，只有催化燃烧脱氢中氢气和氧气发生反应生成的水经冷却器冷凝析出，产生冷凝水W1，根据物料平衡，该部分水量约为0.0056m</w:t>
      </w:r>
      <w:r>
        <w:rPr>
          <w:color w:val="000000"/>
          <w:szCs w:val="24"/>
          <w:vertAlign w:val="superscript"/>
        </w:rPr>
        <w:t>3</w:t>
      </w:r>
      <w:r>
        <w:rPr>
          <w:color w:val="000000"/>
          <w:szCs w:val="24"/>
        </w:rPr>
        <w:t>/h（0.1344</w:t>
      </w:r>
      <w:r>
        <w:rPr>
          <w:color w:val="000000"/>
          <w:sz w:val="21"/>
        </w:rPr>
        <w:t>m</w:t>
      </w:r>
      <w:r>
        <w:rPr>
          <w:color w:val="000000"/>
          <w:sz w:val="21"/>
          <w:vertAlign w:val="superscript"/>
        </w:rPr>
        <w:t>3</w:t>
      </w:r>
      <w:r>
        <w:rPr>
          <w:color w:val="000000"/>
          <w:sz w:val="21"/>
        </w:rPr>
        <w:t>/d，</w:t>
      </w:r>
      <w:r>
        <w:rPr>
          <w:color w:val="000000"/>
          <w:szCs w:val="24"/>
        </w:rPr>
        <w:t>44.76m</w:t>
      </w:r>
      <w:r>
        <w:rPr>
          <w:color w:val="000000"/>
          <w:szCs w:val="24"/>
          <w:vertAlign w:val="superscript"/>
        </w:rPr>
        <w:t>3</w:t>
      </w:r>
      <w:r>
        <w:rPr>
          <w:color w:val="000000"/>
          <w:szCs w:val="24"/>
        </w:rPr>
        <w:t>/a），污染物主要为SS、COD等，污染物浓度与生活污水中SS、COD浓度接近。</w:t>
      </w:r>
    </w:p>
    <w:p w14:paraId="6DA9A43C">
      <w:pPr>
        <w:pStyle w:val="131"/>
        <w:numPr>
          <w:ilvl w:val="0"/>
          <w:numId w:val="5"/>
        </w:numPr>
        <w:adjustRightInd w:val="0"/>
        <w:snapToGrid w:val="0"/>
        <w:ind w:firstLine="420"/>
        <w:rPr>
          <w:rFonts w:ascii="Times New Roman"/>
        </w:rPr>
      </w:pPr>
      <w:r>
        <w:rPr>
          <w:rFonts w:ascii="Times New Roman"/>
        </w:rPr>
        <w:t>生活污水</w:t>
      </w:r>
    </w:p>
    <w:p w14:paraId="42054C24">
      <w:pPr>
        <w:pStyle w:val="131"/>
        <w:adjustRightInd w:val="0"/>
        <w:snapToGrid w:val="0"/>
        <w:ind w:firstLine="480" w:firstLineChars="200"/>
        <w:rPr>
          <w:rFonts w:ascii="Times New Roman"/>
          <w:kern w:val="2"/>
        </w:rPr>
      </w:pPr>
      <w:r>
        <w:rPr>
          <w:rFonts w:ascii="Times New Roman"/>
        </w:rPr>
        <w:t>项目劳动定员12人，不在厂区食宿，全年工作333天，生活用水按50L/人·天计，生活污水按用水量的90%计算，则生活污水产生量为0.54m</w:t>
      </w:r>
      <w:r>
        <w:rPr>
          <w:rFonts w:ascii="Times New Roman"/>
          <w:vertAlign w:val="superscript"/>
        </w:rPr>
        <w:t>3</w:t>
      </w:r>
      <w:r>
        <w:rPr>
          <w:rFonts w:ascii="Times New Roman"/>
        </w:rPr>
        <w:t>/d（179.82m</w:t>
      </w:r>
      <w:r>
        <w:rPr>
          <w:rFonts w:ascii="Times New Roman"/>
          <w:vertAlign w:val="superscript"/>
        </w:rPr>
        <w:t>3</w:t>
      </w:r>
      <w:r>
        <w:rPr>
          <w:rFonts w:ascii="Times New Roman"/>
        </w:rPr>
        <w:t>/a）。主要污染物为COD、SS、BOD</w:t>
      </w:r>
      <w:r>
        <w:rPr>
          <w:rFonts w:ascii="Times New Roman"/>
          <w:vertAlign w:val="subscript"/>
        </w:rPr>
        <w:t>5</w:t>
      </w:r>
      <w:r>
        <w:rPr>
          <w:rFonts w:ascii="Times New Roman"/>
        </w:rPr>
        <w:t>、NH</w:t>
      </w:r>
      <w:r>
        <w:rPr>
          <w:rFonts w:ascii="Times New Roman"/>
          <w:vertAlign w:val="subscript"/>
        </w:rPr>
        <w:t>3</w:t>
      </w:r>
      <w:r>
        <w:rPr>
          <w:rFonts w:ascii="Times New Roman"/>
        </w:rPr>
        <w:t>-N、TP。</w:t>
      </w:r>
    </w:p>
    <w:p w14:paraId="7AF1A4AF">
      <w:pPr>
        <w:pStyle w:val="17"/>
        <w:spacing w:line="360" w:lineRule="auto"/>
        <w:ind w:left="0" w:leftChars="0" w:firstLine="480" w:firstLineChars="200"/>
        <w:rPr>
          <w:color w:val="000000"/>
          <w:sz w:val="24"/>
        </w:rPr>
      </w:pPr>
      <w:r>
        <w:rPr>
          <w:rFonts w:hint="eastAsia"/>
          <w:color w:val="000000"/>
          <w:sz w:val="24"/>
        </w:rPr>
        <w:t>本项目</w:t>
      </w:r>
      <w:r>
        <w:rPr>
          <w:color w:val="000000"/>
          <w:sz w:val="24"/>
        </w:rPr>
        <w:t>生产废水依托LNG工厂生产废水池处理后进入生产废水提升池、生活污水依托LNG工厂现有化粪池处理后进入生活污水提升池，分别经泵提升后在界区内汇合达重庆市涪陵区拓源污水治理有限公司白涛化工园区潘家坝污水处理厂进水水质标准及《污水综合排放标准》（GB8978－1996）三级标准后进入园区污水管网，最后排入园区潘家坝污水处理厂集中处理达到《化工园区主要水污染物排放标准》（DB50/457-2012）中表1标准后排入乌江。</w:t>
      </w:r>
    </w:p>
    <w:p w14:paraId="63A92E79">
      <w:pPr>
        <w:pStyle w:val="17"/>
        <w:spacing w:line="360" w:lineRule="auto"/>
        <w:ind w:left="0" w:leftChars="0" w:firstLine="480" w:firstLineChars="200"/>
        <w:rPr>
          <w:color w:val="000000"/>
        </w:rPr>
      </w:pPr>
      <w:r>
        <w:rPr>
          <w:color w:val="000000"/>
          <w:sz w:val="24"/>
        </w:rPr>
        <w:t>本项目废水源强核算详见表3.2.4.1-2。</w:t>
      </w:r>
    </w:p>
    <w:p w14:paraId="563588C5">
      <w:pPr>
        <w:pStyle w:val="2189"/>
        <w:rPr>
          <w:color w:val="000000"/>
        </w:rPr>
      </w:pPr>
      <w:r>
        <w:rPr>
          <w:color w:val="000000"/>
        </w:rPr>
        <w:t>表3.2.4.2-2  项目废水源强核算一览表</w:t>
      </w:r>
    </w:p>
    <w:tbl>
      <w:tblPr>
        <w:tblStyle w:val="73"/>
        <w:tblW w:w="537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933"/>
        <w:gridCol w:w="1161"/>
        <w:gridCol w:w="1243"/>
        <w:gridCol w:w="966"/>
        <w:gridCol w:w="633"/>
        <w:gridCol w:w="1209"/>
        <w:gridCol w:w="1535"/>
        <w:gridCol w:w="845"/>
      </w:tblGrid>
      <w:tr w14:paraId="2CB4D3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vMerge w:val="restart"/>
            <w:tcBorders>
              <w:left w:val="single" w:color="auto" w:sz="0" w:space="0"/>
            </w:tcBorders>
            <w:vAlign w:val="center"/>
          </w:tcPr>
          <w:p w14:paraId="6ED76687">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污染源</w:t>
            </w:r>
          </w:p>
        </w:tc>
        <w:tc>
          <w:tcPr>
            <w:tcW w:w="479" w:type="pct"/>
            <w:vMerge w:val="restart"/>
            <w:vAlign w:val="center"/>
          </w:tcPr>
          <w:p w14:paraId="6740146C">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废水量（m</w:t>
            </w:r>
            <w:r>
              <w:rPr>
                <w:rFonts w:ascii="Times New Roman" w:hAnsi="Times New Roman"/>
                <w:color w:val="000000"/>
                <w:kern w:val="2"/>
                <w:sz w:val="21"/>
                <w:szCs w:val="21"/>
                <w:vertAlign w:val="superscript"/>
              </w:rPr>
              <w:t>3</w:t>
            </w:r>
            <w:r>
              <w:rPr>
                <w:rFonts w:ascii="Times New Roman" w:hAnsi="Times New Roman"/>
                <w:color w:val="000000"/>
                <w:kern w:val="2"/>
                <w:sz w:val="21"/>
                <w:szCs w:val="21"/>
              </w:rPr>
              <w:t>/d）</w:t>
            </w:r>
          </w:p>
        </w:tc>
        <w:tc>
          <w:tcPr>
            <w:tcW w:w="596" w:type="pct"/>
            <w:vMerge w:val="restart"/>
            <w:vAlign w:val="center"/>
          </w:tcPr>
          <w:p w14:paraId="650B72D2">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污染物</w:t>
            </w:r>
          </w:p>
        </w:tc>
        <w:tc>
          <w:tcPr>
            <w:tcW w:w="1134" w:type="pct"/>
            <w:gridSpan w:val="2"/>
            <w:vAlign w:val="center"/>
          </w:tcPr>
          <w:p w14:paraId="35330F40">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产生情况</w:t>
            </w:r>
          </w:p>
        </w:tc>
        <w:tc>
          <w:tcPr>
            <w:tcW w:w="325" w:type="pct"/>
            <w:vMerge w:val="restart"/>
            <w:vAlign w:val="center"/>
          </w:tcPr>
          <w:p w14:paraId="20C796FD">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治理措施</w:t>
            </w:r>
          </w:p>
        </w:tc>
        <w:tc>
          <w:tcPr>
            <w:tcW w:w="1409" w:type="pct"/>
            <w:gridSpan w:val="2"/>
            <w:vAlign w:val="center"/>
          </w:tcPr>
          <w:p w14:paraId="14EBD81C">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排放情况</w:t>
            </w:r>
          </w:p>
        </w:tc>
        <w:tc>
          <w:tcPr>
            <w:tcW w:w="431" w:type="pct"/>
            <w:vMerge w:val="restart"/>
            <w:tcBorders>
              <w:right w:val="single" w:color="auto" w:sz="4" w:space="0"/>
            </w:tcBorders>
            <w:vAlign w:val="center"/>
          </w:tcPr>
          <w:p w14:paraId="20561D23">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排放时间（d）</w:t>
            </w:r>
          </w:p>
        </w:tc>
      </w:tr>
      <w:tr w14:paraId="51FEB9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vMerge w:val="continue"/>
            <w:tcBorders>
              <w:left w:val="single" w:color="auto" w:sz="4" w:space="0"/>
            </w:tcBorders>
            <w:vAlign w:val="center"/>
          </w:tcPr>
          <w:p w14:paraId="4E1768AA">
            <w:pPr>
              <w:pStyle w:val="68"/>
              <w:widowControl w:val="0"/>
              <w:spacing w:before="0" w:beforeAutospacing="0" w:after="0" w:afterAutospacing="0"/>
              <w:jc w:val="center"/>
              <w:rPr>
                <w:rFonts w:ascii="Times New Roman" w:hAnsi="Times New Roman"/>
                <w:color w:val="000000"/>
                <w:kern w:val="2"/>
                <w:sz w:val="21"/>
                <w:szCs w:val="21"/>
              </w:rPr>
            </w:pPr>
          </w:p>
        </w:tc>
        <w:tc>
          <w:tcPr>
            <w:tcW w:w="479" w:type="pct"/>
            <w:vMerge w:val="continue"/>
            <w:vAlign w:val="center"/>
          </w:tcPr>
          <w:p w14:paraId="522EA1ED">
            <w:pPr>
              <w:pStyle w:val="68"/>
              <w:widowControl w:val="0"/>
              <w:spacing w:before="0" w:beforeAutospacing="0" w:after="0" w:afterAutospacing="0"/>
              <w:jc w:val="center"/>
              <w:rPr>
                <w:rFonts w:ascii="Times New Roman" w:hAnsi="Times New Roman"/>
                <w:color w:val="000000"/>
                <w:kern w:val="2"/>
                <w:sz w:val="21"/>
                <w:szCs w:val="21"/>
              </w:rPr>
            </w:pPr>
          </w:p>
        </w:tc>
        <w:tc>
          <w:tcPr>
            <w:tcW w:w="596" w:type="pct"/>
            <w:vMerge w:val="continue"/>
            <w:vAlign w:val="center"/>
          </w:tcPr>
          <w:p w14:paraId="2DB9DAD0">
            <w:pPr>
              <w:pStyle w:val="68"/>
              <w:widowControl w:val="0"/>
              <w:spacing w:before="0" w:beforeAutospacing="0" w:after="0" w:afterAutospacing="0"/>
              <w:jc w:val="center"/>
              <w:rPr>
                <w:rFonts w:ascii="Times New Roman" w:hAnsi="Times New Roman"/>
                <w:color w:val="000000"/>
                <w:kern w:val="2"/>
                <w:sz w:val="21"/>
                <w:szCs w:val="21"/>
              </w:rPr>
            </w:pPr>
          </w:p>
        </w:tc>
        <w:tc>
          <w:tcPr>
            <w:tcW w:w="638" w:type="pct"/>
            <w:vAlign w:val="center"/>
          </w:tcPr>
          <w:p w14:paraId="01C3B708">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产生浓度（mg/L）</w:t>
            </w:r>
          </w:p>
        </w:tc>
        <w:tc>
          <w:tcPr>
            <w:tcW w:w="495" w:type="pct"/>
            <w:vAlign w:val="center"/>
          </w:tcPr>
          <w:p w14:paraId="582158D7">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产生量（t/a）</w:t>
            </w:r>
          </w:p>
        </w:tc>
        <w:tc>
          <w:tcPr>
            <w:tcW w:w="325" w:type="pct"/>
            <w:vMerge w:val="continue"/>
            <w:vAlign w:val="center"/>
          </w:tcPr>
          <w:p w14:paraId="6F369D60">
            <w:pPr>
              <w:pStyle w:val="68"/>
              <w:widowControl w:val="0"/>
              <w:spacing w:before="0" w:beforeAutospacing="0" w:after="0" w:afterAutospacing="0"/>
              <w:jc w:val="center"/>
              <w:rPr>
                <w:rFonts w:ascii="Times New Roman" w:hAnsi="Times New Roman"/>
                <w:color w:val="000000"/>
                <w:kern w:val="2"/>
                <w:sz w:val="21"/>
                <w:szCs w:val="21"/>
              </w:rPr>
            </w:pPr>
          </w:p>
        </w:tc>
        <w:tc>
          <w:tcPr>
            <w:tcW w:w="621" w:type="pct"/>
            <w:vAlign w:val="center"/>
          </w:tcPr>
          <w:p w14:paraId="5047B873">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排放浓度（mg/L）</w:t>
            </w:r>
          </w:p>
        </w:tc>
        <w:tc>
          <w:tcPr>
            <w:tcW w:w="788" w:type="pct"/>
            <w:vAlign w:val="center"/>
          </w:tcPr>
          <w:p w14:paraId="3ED87DA8">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排放量（t/a）</w:t>
            </w:r>
          </w:p>
        </w:tc>
        <w:tc>
          <w:tcPr>
            <w:tcW w:w="431" w:type="pct"/>
            <w:vMerge w:val="continue"/>
            <w:tcBorders>
              <w:right w:val="single" w:color="auto" w:sz="4" w:space="0"/>
            </w:tcBorders>
            <w:vAlign w:val="center"/>
          </w:tcPr>
          <w:p w14:paraId="6296D1A5">
            <w:pPr>
              <w:pStyle w:val="68"/>
              <w:widowControl w:val="0"/>
              <w:spacing w:before="0" w:beforeAutospacing="0" w:after="0" w:afterAutospacing="0"/>
              <w:jc w:val="center"/>
              <w:rPr>
                <w:rFonts w:ascii="Times New Roman" w:hAnsi="Times New Roman"/>
                <w:color w:val="000000"/>
                <w:kern w:val="2"/>
                <w:sz w:val="21"/>
                <w:szCs w:val="21"/>
              </w:rPr>
            </w:pPr>
          </w:p>
        </w:tc>
      </w:tr>
      <w:tr w14:paraId="02C8D8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23" w:type="pct"/>
            <w:vMerge w:val="restart"/>
            <w:tcBorders>
              <w:left w:val="single" w:color="auto" w:sz="4" w:space="0"/>
            </w:tcBorders>
            <w:vAlign w:val="center"/>
          </w:tcPr>
          <w:p w14:paraId="2D013449">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生产废水W1</w:t>
            </w:r>
          </w:p>
        </w:tc>
        <w:tc>
          <w:tcPr>
            <w:tcW w:w="479" w:type="pct"/>
            <w:vMerge w:val="restart"/>
            <w:vAlign w:val="center"/>
          </w:tcPr>
          <w:p w14:paraId="4E62102B">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0.1344</w:t>
            </w:r>
          </w:p>
        </w:tc>
        <w:tc>
          <w:tcPr>
            <w:tcW w:w="596" w:type="pct"/>
            <w:vAlign w:val="center"/>
          </w:tcPr>
          <w:p w14:paraId="7C5C697E">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COD</w:t>
            </w:r>
          </w:p>
        </w:tc>
        <w:tc>
          <w:tcPr>
            <w:tcW w:w="638" w:type="pct"/>
            <w:vAlign w:val="center"/>
          </w:tcPr>
          <w:p w14:paraId="0639D0EC">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500</w:t>
            </w:r>
          </w:p>
        </w:tc>
        <w:tc>
          <w:tcPr>
            <w:tcW w:w="495" w:type="pct"/>
            <w:vAlign w:val="center"/>
          </w:tcPr>
          <w:p w14:paraId="269D3C35">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 xml:space="preserve">0.022 </w:t>
            </w:r>
          </w:p>
        </w:tc>
        <w:tc>
          <w:tcPr>
            <w:tcW w:w="325" w:type="pct"/>
            <w:vMerge w:val="restart"/>
            <w:vAlign w:val="center"/>
          </w:tcPr>
          <w:p w14:paraId="283C8535">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生产废水池</w:t>
            </w:r>
          </w:p>
        </w:tc>
        <w:tc>
          <w:tcPr>
            <w:tcW w:w="621" w:type="pct"/>
            <w:vAlign w:val="center"/>
          </w:tcPr>
          <w:p w14:paraId="00192C9F">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350（80）</w:t>
            </w:r>
          </w:p>
        </w:tc>
        <w:tc>
          <w:tcPr>
            <w:tcW w:w="788" w:type="pct"/>
            <w:vAlign w:val="center"/>
          </w:tcPr>
          <w:p w14:paraId="324E984B">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 xml:space="preserve">0.016 </w:t>
            </w:r>
          </w:p>
          <w:p w14:paraId="6FE19600">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（0.004）</w:t>
            </w:r>
          </w:p>
        </w:tc>
        <w:tc>
          <w:tcPr>
            <w:tcW w:w="431" w:type="pct"/>
            <w:vMerge w:val="restart"/>
            <w:tcBorders>
              <w:right w:val="single" w:color="auto" w:sz="4" w:space="0"/>
            </w:tcBorders>
            <w:vAlign w:val="center"/>
          </w:tcPr>
          <w:p w14:paraId="001A17F3">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333</w:t>
            </w:r>
          </w:p>
        </w:tc>
      </w:tr>
      <w:tr w14:paraId="38D9CA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623" w:type="pct"/>
            <w:vMerge w:val="continue"/>
            <w:tcBorders>
              <w:left w:val="single" w:color="auto" w:sz="4" w:space="0"/>
            </w:tcBorders>
            <w:vAlign w:val="center"/>
          </w:tcPr>
          <w:p w14:paraId="41538628">
            <w:pPr>
              <w:pStyle w:val="68"/>
              <w:widowControl w:val="0"/>
              <w:spacing w:before="0" w:beforeAutospacing="0" w:after="0" w:afterAutospacing="0"/>
              <w:jc w:val="center"/>
              <w:rPr>
                <w:rFonts w:ascii="Times New Roman" w:hAnsi="Times New Roman"/>
                <w:color w:val="000000"/>
                <w:kern w:val="2"/>
                <w:sz w:val="21"/>
                <w:szCs w:val="21"/>
              </w:rPr>
            </w:pPr>
          </w:p>
        </w:tc>
        <w:tc>
          <w:tcPr>
            <w:tcW w:w="479" w:type="pct"/>
            <w:vMerge w:val="continue"/>
            <w:vAlign w:val="center"/>
          </w:tcPr>
          <w:p w14:paraId="1BE7E6F4">
            <w:pPr>
              <w:pStyle w:val="68"/>
              <w:widowControl w:val="0"/>
              <w:spacing w:before="0" w:beforeAutospacing="0" w:after="0" w:afterAutospacing="0"/>
              <w:jc w:val="center"/>
              <w:rPr>
                <w:rFonts w:ascii="Times New Roman" w:hAnsi="Times New Roman"/>
                <w:color w:val="000000"/>
                <w:kern w:val="2"/>
                <w:sz w:val="21"/>
                <w:szCs w:val="21"/>
              </w:rPr>
            </w:pPr>
          </w:p>
        </w:tc>
        <w:tc>
          <w:tcPr>
            <w:tcW w:w="596" w:type="pct"/>
            <w:vAlign w:val="center"/>
          </w:tcPr>
          <w:p w14:paraId="688038E5">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SS</w:t>
            </w:r>
          </w:p>
        </w:tc>
        <w:tc>
          <w:tcPr>
            <w:tcW w:w="638" w:type="pct"/>
            <w:vAlign w:val="center"/>
          </w:tcPr>
          <w:p w14:paraId="7515C4B6">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300</w:t>
            </w:r>
          </w:p>
        </w:tc>
        <w:tc>
          <w:tcPr>
            <w:tcW w:w="495" w:type="pct"/>
            <w:vAlign w:val="center"/>
          </w:tcPr>
          <w:p w14:paraId="3058D19C">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 xml:space="preserve">0.013 </w:t>
            </w:r>
          </w:p>
        </w:tc>
        <w:tc>
          <w:tcPr>
            <w:tcW w:w="325" w:type="pct"/>
            <w:vMerge w:val="continue"/>
            <w:vAlign w:val="center"/>
          </w:tcPr>
          <w:p w14:paraId="7F8B42C7">
            <w:pPr>
              <w:pStyle w:val="68"/>
              <w:widowControl w:val="0"/>
              <w:spacing w:before="0" w:beforeAutospacing="0" w:after="0" w:afterAutospacing="0"/>
              <w:jc w:val="center"/>
              <w:rPr>
                <w:rFonts w:ascii="Times New Roman" w:hAnsi="Times New Roman"/>
                <w:color w:val="000000"/>
                <w:kern w:val="2"/>
                <w:sz w:val="21"/>
                <w:szCs w:val="21"/>
              </w:rPr>
            </w:pPr>
          </w:p>
        </w:tc>
        <w:tc>
          <w:tcPr>
            <w:tcW w:w="621" w:type="pct"/>
            <w:vAlign w:val="center"/>
          </w:tcPr>
          <w:p w14:paraId="103D0571">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200（70）</w:t>
            </w:r>
          </w:p>
        </w:tc>
        <w:tc>
          <w:tcPr>
            <w:tcW w:w="788" w:type="pct"/>
            <w:vAlign w:val="center"/>
          </w:tcPr>
          <w:p w14:paraId="1D8EF929">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0.009</w:t>
            </w:r>
          </w:p>
          <w:p w14:paraId="03F5B8E3">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 xml:space="preserve">（0.0003） </w:t>
            </w:r>
          </w:p>
        </w:tc>
        <w:tc>
          <w:tcPr>
            <w:tcW w:w="431" w:type="pct"/>
            <w:vMerge w:val="continue"/>
            <w:tcBorders>
              <w:right w:val="single" w:color="auto" w:sz="4" w:space="0"/>
            </w:tcBorders>
            <w:vAlign w:val="center"/>
          </w:tcPr>
          <w:p w14:paraId="7D5332AD">
            <w:pPr>
              <w:pStyle w:val="68"/>
              <w:widowControl w:val="0"/>
              <w:spacing w:before="0" w:beforeAutospacing="0" w:after="0" w:afterAutospacing="0"/>
              <w:jc w:val="center"/>
              <w:rPr>
                <w:rFonts w:ascii="Times New Roman" w:hAnsi="Times New Roman"/>
                <w:color w:val="000000"/>
                <w:kern w:val="2"/>
                <w:sz w:val="21"/>
                <w:szCs w:val="21"/>
              </w:rPr>
            </w:pPr>
          </w:p>
        </w:tc>
      </w:tr>
      <w:tr w14:paraId="791055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623" w:type="pct"/>
            <w:vMerge w:val="restart"/>
            <w:tcBorders>
              <w:left w:val="single" w:color="auto" w:sz="4" w:space="0"/>
            </w:tcBorders>
            <w:vAlign w:val="center"/>
          </w:tcPr>
          <w:p w14:paraId="0F37D2B1">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生活污水W2</w:t>
            </w:r>
          </w:p>
        </w:tc>
        <w:tc>
          <w:tcPr>
            <w:tcW w:w="479" w:type="pct"/>
            <w:vMerge w:val="restart"/>
            <w:vAlign w:val="center"/>
          </w:tcPr>
          <w:p w14:paraId="58F3E7F0">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0.54</w:t>
            </w:r>
          </w:p>
        </w:tc>
        <w:tc>
          <w:tcPr>
            <w:tcW w:w="596" w:type="pct"/>
            <w:vAlign w:val="center"/>
          </w:tcPr>
          <w:p w14:paraId="23805E3E">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COD</w:t>
            </w:r>
          </w:p>
        </w:tc>
        <w:tc>
          <w:tcPr>
            <w:tcW w:w="638" w:type="pct"/>
            <w:vAlign w:val="center"/>
          </w:tcPr>
          <w:p w14:paraId="5B8798EB">
            <w:pPr>
              <w:jc w:val="center"/>
              <w:textAlignment w:val="center"/>
              <w:rPr>
                <w:color w:val="000000"/>
                <w:kern w:val="0"/>
                <w:sz w:val="21"/>
              </w:rPr>
            </w:pPr>
            <w:r>
              <w:rPr>
                <w:color w:val="000000"/>
                <w:kern w:val="0"/>
                <w:sz w:val="21"/>
              </w:rPr>
              <w:t>500</w:t>
            </w:r>
          </w:p>
        </w:tc>
        <w:tc>
          <w:tcPr>
            <w:tcW w:w="495" w:type="pct"/>
            <w:vAlign w:val="center"/>
          </w:tcPr>
          <w:p w14:paraId="14A7604F">
            <w:pPr>
              <w:jc w:val="center"/>
              <w:textAlignment w:val="center"/>
              <w:rPr>
                <w:color w:val="000000"/>
                <w:kern w:val="0"/>
                <w:sz w:val="21"/>
              </w:rPr>
            </w:pPr>
            <w:r>
              <w:rPr>
                <w:color w:val="000000"/>
                <w:kern w:val="0"/>
                <w:sz w:val="21"/>
              </w:rPr>
              <w:t xml:space="preserve">0.090 </w:t>
            </w:r>
          </w:p>
        </w:tc>
        <w:tc>
          <w:tcPr>
            <w:tcW w:w="325" w:type="pct"/>
            <w:vMerge w:val="restart"/>
            <w:vAlign w:val="center"/>
          </w:tcPr>
          <w:p w14:paraId="3911F701">
            <w:pPr>
              <w:jc w:val="center"/>
              <w:textAlignment w:val="center"/>
              <w:rPr>
                <w:color w:val="000000"/>
                <w:kern w:val="0"/>
                <w:sz w:val="21"/>
              </w:rPr>
            </w:pPr>
            <w:r>
              <w:rPr>
                <w:color w:val="000000"/>
                <w:kern w:val="0"/>
                <w:sz w:val="21"/>
              </w:rPr>
              <w:t>化粪池</w:t>
            </w:r>
          </w:p>
        </w:tc>
        <w:tc>
          <w:tcPr>
            <w:tcW w:w="621" w:type="pct"/>
            <w:vAlign w:val="center"/>
          </w:tcPr>
          <w:p w14:paraId="1B2F1A85">
            <w:pPr>
              <w:jc w:val="center"/>
              <w:textAlignment w:val="center"/>
              <w:rPr>
                <w:color w:val="000000"/>
                <w:kern w:val="0"/>
                <w:sz w:val="21"/>
              </w:rPr>
            </w:pPr>
            <w:r>
              <w:rPr>
                <w:color w:val="000000"/>
                <w:kern w:val="0"/>
                <w:sz w:val="21"/>
              </w:rPr>
              <w:t>350</w:t>
            </w:r>
            <w:r>
              <w:rPr>
                <w:color w:val="000000"/>
                <w:sz w:val="21"/>
              </w:rPr>
              <w:t>（80）</w:t>
            </w:r>
          </w:p>
        </w:tc>
        <w:tc>
          <w:tcPr>
            <w:tcW w:w="788" w:type="pct"/>
            <w:vAlign w:val="center"/>
          </w:tcPr>
          <w:p w14:paraId="592B02D0">
            <w:pPr>
              <w:jc w:val="center"/>
              <w:textAlignment w:val="center"/>
              <w:rPr>
                <w:color w:val="000000"/>
                <w:kern w:val="0"/>
                <w:sz w:val="21"/>
              </w:rPr>
            </w:pPr>
            <w:r>
              <w:rPr>
                <w:color w:val="000000"/>
                <w:kern w:val="0"/>
                <w:sz w:val="21"/>
              </w:rPr>
              <w:t>0.063</w:t>
            </w:r>
          </w:p>
          <w:p w14:paraId="2F79694D">
            <w:pPr>
              <w:jc w:val="center"/>
              <w:textAlignment w:val="center"/>
              <w:rPr>
                <w:color w:val="000000"/>
                <w:kern w:val="0"/>
                <w:sz w:val="21"/>
              </w:rPr>
            </w:pPr>
            <w:r>
              <w:rPr>
                <w:color w:val="000000"/>
                <w:kern w:val="0"/>
                <w:sz w:val="21"/>
              </w:rPr>
              <w:t xml:space="preserve">（0.014） </w:t>
            </w:r>
          </w:p>
        </w:tc>
        <w:tc>
          <w:tcPr>
            <w:tcW w:w="431" w:type="pct"/>
            <w:vMerge w:val="restart"/>
            <w:tcBorders>
              <w:right w:val="single" w:color="auto" w:sz="4" w:space="0"/>
            </w:tcBorders>
            <w:vAlign w:val="center"/>
          </w:tcPr>
          <w:p w14:paraId="768DE5F6">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333</w:t>
            </w:r>
          </w:p>
        </w:tc>
      </w:tr>
      <w:tr w14:paraId="00D2EA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vMerge w:val="continue"/>
            <w:tcBorders>
              <w:left w:val="single" w:color="auto" w:sz="4" w:space="0"/>
            </w:tcBorders>
            <w:vAlign w:val="center"/>
          </w:tcPr>
          <w:p w14:paraId="33C476FC">
            <w:pPr>
              <w:pStyle w:val="68"/>
              <w:widowControl w:val="0"/>
              <w:spacing w:before="0" w:beforeAutospacing="0" w:after="0" w:afterAutospacing="0"/>
              <w:jc w:val="center"/>
              <w:rPr>
                <w:rFonts w:ascii="Times New Roman" w:hAnsi="Times New Roman"/>
                <w:color w:val="000000"/>
                <w:kern w:val="2"/>
                <w:sz w:val="21"/>
                <w:szCs w:val="21"/>
              </w:rPr>
            </w:pPr>
          </w:p>
        </w:tc>
        <w:tc>
          <w:tcPr>
            <w:tcW w:w="479" w:type="pct"/>
            <w:vMerge w:val="continue"/>
            <w:vAlign w:val="center"/>
          </w:tcPr>
          <w:p w14:paraId="2B7F298F">
            <w:pPr>
              <w:pStyle w:val="68"/>
              <w:widowControl w:val="0"/>
              <w:spacing w:before="0" w:beforeAutospacing="0" w:after="0" w:afterAutospacing="0"/>
              <w:jc w:val="center"/>
              <w:rPr>
                <w:rFonts w:ascii="Times New Roman" w:hAnsi="Times New Roman"/>
                <w:color w:val="000000"/>
                <w:kern w:val="2"/>
                <w:sz w:val="21"/>
                <w:szCs w:val="21"/>
              </w:rPr>
            </w:pPr>
          </w:p>
        </w:tc>
        <w:tc>
          <w:tcPr>
            <w:tcW w:w="596" w:type="pct"/>
            <w:vAlign w:val="center"/>
          </w:tcPr>
          <w:p w14:paraId="2F58F65F">
            <w:pPr>
              <w:pStyle w:val="68"/>
              <w:widowControl w:val="0"/>
              <w:spacing w:before="0" w:beforeAutospacing="0" w:after="0" w:afterAutospacing="0"/>
              <w:jc w:val="center"/>
              <w:rPr>
                <w:rFonts w:ascii="Times New Roman" w:hAnsi="Times New Roman"/>
                <w:color w:val="000000"/>
                <w:kern w:val="2"/>
                <w:sz w:val="21"/>
                <w:szCs w:val="21"/>
                <w:vertAlign w:val="subscript"/>
              </w:rPr>
            </w:pPr>
            <w:r>
              <w:rPr>
                <w:rFonts w:ascii="Times New Roman" w:hAnsi="Times New Roman"/>
                <w:color w:val="000000"/>
                <w:kern w:val="2"/>
                <w:sz w:val="21"/>
                <w:szCs w:val="21"/>
              </w:rPr>
              <w:t>BOD</w:t>
            </w:r>
            <w:r>
              <w:rPr>
                <w:rFonts w:ascii="Times New Roman" w:hAnsi="Times New Roman"/>
                <w:color w:val="000000"/>
                <w:kern w:val="2"/>
                <w:sz w:val="21"/>
                <w:szCs w:val="21"/>
                <w:vertAlign w:val="subscript"/>
              </w:rPr>
              <w:t>5</w:t>
            </w:r>
          </w:p>
        </w:tc>
        <w:tc>
          <w:tcPr>
            <w:tcW w:w="638" w:type="pct"/>
            <w:vAlign w:val="center"/>
          </w:tcPr>
          <w:p w14:paraId="3D166F5A">
            <w:pPr>
              <w:jc w:val="center"/>
              <w:textAlignment w:val="center"/>
              <w:rPr>
                <w:color w:val="000000"/>
                <w:kern w:val="0"/>
                <w:sz w:val="21"/>
              </w:rPr>
            </w:pPr>
            <w:r>
              <w:rPr>
                <w:color w:val="000000"/>
                <w:kern w:val="0"/>
                <w:sz w:val="21"/>
              </w:rPr>
              <w:t>300</w:t>
            </w:r>
          </w:p>
        </w:tc>
        <w:tc>
          <w:tcPr>
            <w:tcW w:w="495" w:type="pct"/>
            <w:vAlign w:val="center"/>
          </w:tcPr>
          <w:p w14:paraId="619086CD">
            <w:pPr>
              <w:jc w:val="center"/>
              <w:textAlignment w:val="center"/>
              <w:rPr>
                <w:color w:val="000000"/>
                <w:kern w:val="0"/>
                <w:sz w:val="21"/>
              </w:rPr>
            </w:pPr>
            <w:r>
              <w:rPr>
                <w:color w:val="000000"/>
                <w:kern w:val="0"/>
                <w:sz w:val="21"/>
              </w:rPr>
              <w:t xml:space="preserve">0.054 </w:t>
            </w:r>
          </w:p>
        </w:tc>
        <w:tc>
          <w:tcPr>
            <w:tcW w:w="325" w:type="pct"/>
            <w:vMerge w:val="continue"/>
            <w:vAlign w:val="center"/>
          </w:tcPr>
          <w:p w14:paraId="03CD8813">
            <w:pPr>
              <w:jc w:val="center"/>
              <w:textAlignment w:val="center"/>
              <w:rPr>
                <w:color w:val="000000"/>
                <w:kern w:val="0"/>
                <w:sz w:val="21"/>
              </w:rPr>
            </w:pPr>
          </w:p>
        </w:tc>
        <w:tc>
          <w:tcPr>
            <w:tcW w:w="621" w:type="pct"/>
            <w:vAlign w:val="center"/>
          </w:tcPr>
          <w:p w14:paraId="7F393463">
            <w:pPr>
              <w:jc w:val="center"/>
              <w:textAlignment w:val="center"/>
              <w:rPr>
                <w:color w:val="000000"/>
                <w:kern w:val="0"/>
                <w:sz w:val="21"/>
              </w:rPr>
            </w:pPr>
            <w:r>
              <w:rPr>
                <w:color w:val="000000"/>
                <w:kern w:val="0"/>
                <w:sz w:val="21"/>
              </w:rPr>
              <w:t>200</w:t>
            </w:r>
            <w:r>
              <w:rPr>
                <w:color w:val="000000"/>
                <w:sz w:val="21"/>
              </w:rPr>
              <w:t>（20）</w:t>
            </w:r>
          </w:p>
        </w:tc>
        <w:tc>
          <w:tcPr>
            <w:tcW w:w="788" w:type="pct"/>
            <w:vAlign w:val="center"/>
          </w:tcPr>
          <w:p w14:paraId="6A36E750">
            <w:pPr>
              <w:jc w:val="center"/>
              <w:textAlignment w:val="center"/>
              <w:rPr>
                <w:color w:val="000000"/>
                <w:kern w:val="0"/>
                <w:sz w:val="21"/>
              </w:rPr>
            </w:pPr>
            <w:r>
              <w:rPr>
                <w:color w:val="000000"/>
                <w:kern w:val="0"/>
                <w:sz w:val="21"/>
              </w:rPr>
              <w:t xml:space="preserve">0.036 </w:t>
            </w:r>
          </w:p>
          <w:p w14:paraId="20C4FCC8">
            <w:pPr>
              <w:jc w:val="center"/>
              <w:textAlignment w:val="center"/>
              <w:rPr>
                <w:color w:val="000000"/>
                <w:kern w:val="0"/>
                <w:sz w:val="21"/>
              </w:rPr>
            </w:pPr>
            <w:r>
              <w:rPr>
                <w:color w:val="000000"/>
                <w:kern w:val="0"/>
                <w:sz w:val="21"/>
              </w:rPr>
              <w:t>（0.004）</w:t>
            </w:r>
          </w:p>
        </w:tc>
        <w:tc>
          <w:tcPr>
            <w:tcW w:w="431" w:type="pct"/>
            <w:vMerge w:val="continue"/>
            <w:tcBorders>
              <w:right w:val="single" w:color="auto" w:sz="4" w:space="0"/>
            </w:tcBorders>
            <w:vAlign w:val="center"/>
          </w:tcPr>
          <w:p w14:paraId="13C867CF">
            <w:pPr>
              <w:pStyle w:val="68"/>
              <w:widowControl w:val="0"/>
              <w:spacing w:before="0" w:beforeAutospacing="0" w:after="0" w:afterAutospacing="0"/>
              <w:jc w:val="center"/>
              <w:rPr>
                <w:rFonts w:ascii="Times New Roman" w:hAnsi="Times New Roman"/>
                <w:color w:val="000000"/>
                <w:kern w:val="2"/>
                <w:sz w:val="21"/>
                <w:szCs w:val="21"/>
              </w:rPr>
            </w:pPr>
          </w:p>
        </w:tc>
      </w:tr>
      <w:tr w14:paraId="445944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vMerge w:val="continue"/>
            <w:tcBorders>
              <w:left w:val="single" w:color="auto" w:sz="4" w:space="0"/>
            </w:tcBorders>
            <w:vAlign w:val="center"/>
          </w:tcPr>
          <w:p w14:paraId="62A37CF9">
            <w:pPr>
              <w:pStyle w:val="68"/>
              <w:widowControl w:val="0"/>
              <w:spacing w:before="0" w:beforeAutospacing="0" w:after="0" w:afterAutospacing="0"/>
              <w:jc w:val="center"/>
              <w:rPr>
                <w:rFonts w:ascii="Times New Roman" w:hAnsi="Times New Roman"/>
                <w:color w:val="000000"/>
                <w:kern w:val="2"/>
                <w:sz w:val="21"/>
                <w:szCs w:val="21"/>
              </w:rPr>
            </w:pPr>
          </w:p>
        </w:tc>
        <w:tc>
          <w:tcPr>
            <w:tcW w:w="479" w:type="pct"/>
            <w:vMerge w:val="continue"/>
            <w:vAlign w:val="center"/>
          </w:tcPr>
          <w:p w14:paraId="430D453A">
            <w:pPr>
              <w:pStyle w:val="68"/>
              <w:widowControl w:val="0"/>
              <w:spacing w:before="0" w:beforeAutospacing="0" w:after="0" w:afterAutospacing="0"/>
              <w:jc w:val="center"/>
              <w:rPr>
                <w:rFonts w:ascii="Times New Roman" w:hAnsi="Times New Roman"/>
                <w:color w:val="000000"/>
                <w:kern w:val="2"/>
                <w:sz w:val="21"/>
                <w:szCs w:val="21"/>
              </w:rPr>
            </w:pPr>
          </w:p>
        </w:tc>
        <w:tc>
          <w:tcPr>
            <w:tcW w:w="596" w:type="pct"/>
            <w:vAlign w:val="center"/>
          </w:tcPr>
          <w:p w14:paraId="486497CE">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SS</w:t>
            </w:r>
          </w:p>
        </w:tc>
        <w:tc>
          <w:tcPr>
            <w:tcW w:w="638" w:type="pct"/>
            <w:vAlign w:val="center"/>
          </w:tcPr>
          <w:p w14:paraId="7841B1CA">
            <w:pPr>
              <w:jc w:val="center"/>
              <w:textAlignment w:val="center"/>
              <w:rPr>
                <w:color w:val="000000"/>
                <w:kern w:val="0"/>
                <w:sz w:val="21"/>
              </w:rPr>
            </w:pPr>
            <w:r>
              <w:rPr>
                <w:color w:val="000000"/>
                <w:kern w:val="0"/>
                <w:sz w:val="21"/>
              </w:rPr>
              <w:t>300</w:t>
            </w:r>
          </w:p>
        </w:tc>
        <w:tc>
          <w:tcPr>
            <w:tcW w:w="495" w:type="pct"/>
            <w:vAlign w:val="center"/>
          </w:tcPr>
          <w:p w14:paraId="2FA7D0DD">
            <w:pPr>
              <w:jc w:val="center"/>
              <w:textAlignment w:val="center"/>
              <w:rPr>
                <w:color w:val="000000"/>
                <w:kern w:val="0"/>
                <w:sz w:val="21"/>
              </w:rPr>
            </w:pPr>
            <w:r>
              <w:rPr>
                <w:color w:val="000000"/>
                <w:kern w:val="0"/>
                <w:sz w:val="21"/>
              </w:rPr>
              <w:t xml:space="preserve">0.054 </w:t>
            </w:r>
          </w:p>
        </w:tc>
        <w:tc>
          <w:tcPr>
            <w:tcW w:w="325" w:type="pct"/>
            <w:vMerge w:val="restart"/>
            <w:vAlign w:val="center"/>
          </w:tcPr>
          <w:p w14:paraId="222399AC">
            <w:pPr>
              <w:jc w:val="center"/>
              <w:textAlignment w:val="center"/>
              <w:rPr>
                <w:color w:val="000000"/>
                <w:kern w:val="0"/>
                <w:sz w:val="21"/>
              </w:rPr>
            </w:pPr>
          </w:p>
        </w:tc>
        <w:tc>
          <w:tcPr>
            <w:tcW w:w="621" w:type="pct"/>
            <w:vAlign w:val="center"/>
          </w:tcPr>
          <w:p w14:paraId="1EE39FE2">
            <w:pPr>
              <w:jc w:val="center"/>
              <w:textAlignment w:val="center"/>
              <w:rPr>
                <w:color w:val="000000"/>
                <w:kern w:val="0"/>
                <w:sz w:val="21"/>
              </w:rPr>
            </w:pPr>
            <w:r>
              <w:rPr>
                <w:color w:val="000000"/>
                <w:kern w:val="0"/>
                <w:sz w:val="21"/>
              </w:rPr>
              <w:t>200</w:t>
            </w:r>
            <w:r>
              <w:rPr>
                <w:color w:val="000000"/>
                <w:sz w:val="21"/>
              </w:rPr>
              <w:t>（70）</w:t>
            </w:r>
          </w:p>
        </w:tc>
        <w:tc>
          <w:tcPr>
            <w:tcW w:w="788" w:type="pct"/>
            <w:vAlign w:val="center"/>
          </w:tcPr>
          <w:p w14:paraId="26F28FBD">
            <w:pPr>
              <w:jc w:val="center"/>
              <w:textAlignment w:val="center"/>
              <w:rPr>
                <w:color w:val="000000"/>
                <w:kern w:val="0"/>
                <w:sz w:val="21"/>
              </w:rPr>
            </w:pPr>
            <w:r>
              <w:rPr>
                <w:color w:val="000000"/>
                <w:kern w:val="0"/>
                <w:sz w:val="21"/>
              </w:rPr>
              <w:t>0.036</w:t>
            </w:r>
          </w:p>
          <w:p w14:paraId="2E5C78C1">
            <w:pPr>
              <w:jc w:val="center"/>
              <w:textAlignment w:val="center"/>
              <w:rPr>
                <w:color w:val="000000"/>
                <w:kern w:val="0"/>
                <w:sz w:val="21"/>
              </w:rPr>
            </w:pPr>
            <w:r>
              <w:rPr>
                <w:color w:val="000000"/>
                <w:kern w:val="0"/>
                <w:sz w:val="21"/>
              </w:rPr>
              <w:t>（0.013）</w:t>
            </w:r>
          </w:p>
        </w:tc>
        <w:tc>
          <w:tcPr>
            <w:tcW w:w="431" w:type="pct"/>
            <w:vMerge w:val="continue"/>
            <w:tcBorders>
              <w:right w:val="single" w:color="auto" w:sz="4" w:space="0"/>
            </w:tcBorders>
            <w:vAlign w:val="center"/>
          </w:tcPr>
          <w:p w14:paraId="268DCD56">
            <w:pPr>
              <w:pStyle w:val="68"/>
              <w:widowControl w:val="0"/>
              <w:spacing w:before="0" w:beforeAutospacing="0" w:after="0" w:afterAutospacing="0"/>
              <w:jc w:val="center"/>
              <w:rPr>
                <w:rFonts w:ascii="Times New Roman" w:hAnsi="Times New Roman"/>
                <w:color w:val="000000"/>
                <w:kern w:val="2"/>
                <w:sz w:val="21"/>
                <w:szCs w:val="21"/>
              </w:rPr>
            </w:pPr>
          </w:p>
        </w:tc>
      </w:tr>
      <w:tr w14:paraId="471914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3" w:type="pct"/>
            <w:vMerge w:val="continue"/>
            <w:tcBorders>
              <w:left w:val="single" w:color="auto" w:sz="4" w:space="0"/>
            </w:tcBorders>
            <w:vAlign w:val="center"/>
          </w:tcPr>
          <w:p w14:paraId="532A6A37">
            <w:pPr>
              <w:pStyle w:val="68"/>
              <w:widowControl w:val="0"/>
              <w:spacing w:before="0" w:beforeAutospacing="0" w:after="0" w:afterAutospacing="0"/>
              <w:jc w:val="center"/>
              <w:rPr>
                <w:rFonts w:ascii="Times New Roman" w:hAnsi="Times New Roman"/>
                <w:color w:val="000000"/>
                <w:kern w:val="2"/>
                <w:sz w:val="21"/>
                <w:szCs w:val="21"/>
              </w:rPr>
            </w:pPr>
          </w:p>
        </w:tc>
        <w:tc>
          <w:tcPr>
            <w:tcW w:w="479" w:type="pct"/>
            <w:vMerge w:val="continue"/>
            <w:vAlign w:val="center"/>
          </w:tcPr>
          <w:p w14:paraId="617BEDBE">
            <w:pPr>
              <w:pStyle w:val="68"/>
              <w:widowControl w:val="0"/>
              <w:spacing w:before="0" w:beforeAutospacing="0" w:after="0" w:afterAutospacing="0"/>
              <w:jc w:val="center"/>
              <w:rPr>
                <w:rFonts w:ascii="Times New Roman" w:hAnsi="Times New Roman"/>
                <w:color w:val="000000"/>
                <w:kern w:val="2"/>
                <w:sz w:val="21"/>
                <w:szCs w:val="21"/>
              </w:rPr>
            </w:pPr>
          </w:p>
        </w:tc>
        <w:tc>
          <w:tcPr>
            <w:tcW w:w="596" w:type="pct"/>
            <w:vAlign w:val="center"/>
          </w:tcPr>
          <w:p w14:paraId="00DBE4A1">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NH</w:t>
            </w:r>
            <w:r>
              <w:rPr>
                <w:rFonts w:ascii="Times New Roman" w:hAnsi="Times New Roman"/>
                <w:color w:val="000000"/>
                <w:kern w:val="2"/>
                <w:sz w:val="21"/>
                <w:szCs w:val="21"/>
                <w:vertAlign w:val="subscript"/>
              </w:rPr>
              <w:t>3</w:t>
            </w:r>
            <w:r>
              <w:rPr>
                <w:rFonts w:ascii="Times New Roman" w:hAnsi="Times New Roman"/>
                <w:color w:val="000000"/>
                <w:kern w:val="2"/>
                <w:sz w:val="21"/>
                <w:szCs w:val="21"/>
              </w:rPr>
              <w:t>-N</w:t>
            </w:r>
          </w:p>
        </w:tc>
        <w:tc>
          <w:tcPr>
            <w:tcW w:w="638" w:type="pct"/>
            <w:vAlign w:val="center"/>
          </w:tcPr>
          <w:p w14:paraId="60B1F0E9">
            <w:pPr>
              <w:jc w:val="center"/>
              <w:textAlignment w:val="center"/>
              <w:rPr>
                <w:color w:val="000000"/>
                <w:kern w:val="0"/>
                <w:sz w:val="21"/>
              </w:rPr>
            </w:pPr>
            <w:r>
              <w:rPr>
                <w:color w:val="000000"/>
                <w:kern w:val="0"/>
                <w:sz w:val="21"/>
              </w:rPr>
              <w:t>40</w:t>
            </w:r>
          </w:p>
        </w:tc>
        <w:tc>
          <w:tcPr>
            <w:tcW w:w="495" w:type="pct"/>
            <w:vAlign w:val="center"/>
          </w:tcPr>
          <w:p w14:paraId="5026D4F4">
            <w:pPr>
              <w:jc w:val="center"/>
              <w:textAlignment w:val="center"/>
              <w:rPr>
                <w:color w:val="000000"/>
                <w:kern w:val="0"/>
                <w:sz w:val="21"/>
              </w:rPr>
            </w:pPr>
            <w:r>
              <w:rPr>
                <w:color w:val="000000"/>
                <w:kern w:val="0"/>
                <w:sz w:val="21"/>
              </w:rPr>
              <w:t xml:space="preserve">0.007 </w:t>
            </w:r>
          </w:p>
        </w:tc>
        <w:tc>
          <w:tcPr>
            <w:tcW w:w="325" w:type="pct"/>
            <w:vMerge w:val="continue"/>
            <w:vAlign w:val="center"/>
          </w:tcPr>
          <w:p w14:paraId="34714587">
            <w:pPr>
              <w:jc w:val="center"/>
              <w:textAlignment w:val="center"/>
              <w:rPr>
                <w:color w:val="000000"/>
                <w:kern w:val="0"/>
                <w:sz w:val="21"/>
              </w:rPr>
            </w:pPr>
          </w:p>
        </w:tc>
        <w:tc>
          <w:tcPr>
            <w:tcW w:w="621" w:type="pct"/>
            <w:vAlign w:val="center"/>
          </w:tcPr>
          <w:p w14:paraId="41F6FB43">
            <w:pPr>
              <w:jc w:val="center"/>
              <w:textAlignment w:val="center"/>
              <w:rPr>
                <w:color w:val="000000"/>
                <w:kern w:val="0"/>
                <w:sz w:val="21"/>
              </w:rPr>
            </w:pPr>
            <w:r>
              <w:rPr>
                <w:color w:val="000000"/>
                <w:kern w:val="0"/>
                <w:sz w:val="21"/>
              </w:rPr>
              <w:t>37</w:t>
            </w:r>
            <w:r>
              <w:rPr>
                <w:color w:val="000000"/>
                <w:sz w:val="21"/>
              </w:rPr>
              <w:t>（10）</w:t>
            </w:r>
          </w:p>
        </w:tc>
        <w:tc>
          <w:tcPr>
            <w:tcW w:w="788" w:type="pct"/>
            <w:vAlign w:val="center"/>
          </w:tcPr>
          <w:p w14:paraId="34F03E7C">
            <w:pPr>
              <w:jc w:val="center"/>
              <w:textAlignment w:val="center"/>
              <w:rPr>
                <w:color w:val="000000"/>
                <w:kern w:val="0"/>
                <w:sz w:val="21"/>
              </w:rPr>
            </w:pPr>
            <w:r>
              <w:rPr>
                <w:color w:val="000000"/>
                <w:kern w:val="0"/>
                <w:sz w:val="21"/>
              </w:rPr>
              <w:t xml:space="preserve">0.007 </w:t>
            </w:r>
          </w:p>
          <w:p w14:paraId="4204F139">
            <w:pPr>
              <w:jc w:val="center"/>
              <w:textAlignment w:val="center"/>
              <w:rPr>
                <w:color w:val="000000"/>
                <w:kern w:val="0"/>
                <w:sz w:val="21"/>
              </w:rPr>
            </w:pPr>
            <w:r>
              <w:rPr>
                <w:color w:val="000000"/>
                <w:kern w:val="0"/>
                <w:sz w:val="21"/>
              </w:rPr>
              <w:t>（0.002）</w:t>
            </w:r>
          </w:p>
        </w:tc>
        <w:tc>
          <w:tcPr>
            <w:tcW w:w="431" w:type="pct"/>
            <w:vMerge w:val="continue"/>
            <w:tcBorders>
              <w:right w:val="single" w:color="auto" w:sz="4" w:space="0"/>
            </w:tcBorders>
            <w:vAlign w:val="center"/>
          </w:tcPr>
          <w:p w14:paraId="673665EE">
            <w:pPr>
              <w:pStyle w:val="68"/>
              <w:widowControl w:val="0"/>
              <w:spacing w:before="0" w:beforeAutospacing="0" w:after="0" w:afterAutospacing="0"/>
              <w:jc w:val="center"/>
              <w:rPr>
                <w:rFonts w:ascii="Times New Roman" w:hAnsi="Times New Roman"/>
                <w:color w:val="000000"/>
                <w:kern w:val="2"/>
                <w:sz w:val="21"/>
                <w:szCs w:val="21"/>
              </w:rPr>
            </w:pPr>
          </w:p>
        </w:tc>
      </w:tr>
      <w:tr w14:paraId="2B9D43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3" w:type="pct"/>
            <w:vMerge w:val="continue"/>
            <w:tcBorders>
              <w:left w:val="single" w:color="auto" w:sz="4" w:space="0"/>
            </w:tcBorders>
            <w:vAlign w:val="center"/>
          </w:tcPr>
          <w:p w14:paraId="2A03F136">
            <w:pPr>
              <w:pStyle w:val="68"/>
              <w:widowControl w:val="0"/>
              <w:spacing w:before="0" w:beforeAutospacing="0" w:after="0" w:afterAutospacing="0"/>
              <w:jc w:val="center"/>
              <w:rPr>
                <w:rFonts w:ascii="Times New Roman" w:hAnsi="Times New Roman"/>
                <w:color w:val="000000"/>
                <w:kern w:val="2"/>
                <w:sz w:val="21"/>
                <w:szCs w:val="21"/>
              </w:rPr>
            </w:pPr>
          </w:p>
        </w:tc>
        <w:tc>
          <w:tcPr>
            <w:tcW w:w="479" w:type="pct"/>
            <w:vMerge w:val="continue"/>
            <w:vAlign w:val="center"/>
          </w:tcPr>
          <w:p w14:paraId="7555FB32">
            <w:pPr>
              <w:pStyle w:val="68"/>
              <w:widowControl w:val="0"/>
              <w:spacing w:before="0" w:beforeAutospacing="0" w:after="0" w:afterAutospacing="0"/>
              <w:jc w:val="center"/>
              <w:rPr>
                <w:rFonts w:ascii="Times New Roman" w:hAnsi="Times New Roman"/>
                <w:color w:val="000000"/>
                <w:kern w:val="2"/>
                <w:sz w:val="21"/>
                <w:szCs w:val="21"/>
              </w:rPr>
            </w:pPr>
          </w:p>
        </w:tc>
        <w:tc>
          <w:tcPr>
            <w:tcW w:w="596" w:type="pct"/>
            <w:vAlign w:val="center"/>
          </w:tcPr>
          <w:p w14:paraId="023F6D8E">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TP</w:t>
            </w:r>
          </w:p>
        </w:tc>
        <w:tc>
          <w:tcPr>
            <w:tcW w:w="638" w:type="pct"/>
            <w:vAlign w:val="center"/>
          </w:tcPr>
          <w:p w14:paraId="4A446BC1">
            <w:pPr>
              <w:jc w:val="center"/>
              <w:textAlignment w:val="center"/>
              <w:rPr>
                <w:color w:val="000000"/>
                <w:kern w:val="0"/>
                <w:sz w:val="21"/>
              </w:rPr>
            </w:pPr>
            <w:r>
              <w:rPr>
                <w:color w:val="000000"/>
                <w:kern w:val="0"/>
                <w:sz w:val="21"/>
              </w:rPr>
              <w:t>8</w:t>
            </w:r>
          </w:p>
        </w:tc>
        <w:tc>
          <w:tcPr>
            <w:tcW w:w="495" w:type="pct"/>
            <w:vAlign w:val="center"/>
          </w:tcPr>
          <w:p w14:paraId="169E0332">
            <w:pPr>
              <w:jc w:val="center"/>
              <w:textAlignment w:val="center"/>
              <w:rPr>
                <w:color w:val="000000"/>
                <w:kern w:val="0"/>
                <w:sz w:val="21"/>
              </w:rPr>
            </w:pPr>
            <w:r>
              <w:rPr>
                <w:color w:val="000000"/>
                <w:kern w:val="0"/>
                <w:sz w:val="21"/>
              </w:rPr>
              <w:t xml:space="preserve">0.001 </w:t>
            </w:r>
          </w:p>
        </w:tc>
        <w:tc>
          <w:tcPr>
            <w:tcW w:w="325" w:type="pct"/>
            <w:vMerge w:val="continue"/>
            <w:vAlign w:val="center"/>
          </w:tcPr>
          <w:p w14:paraId="783FD2D7">
            <w:pPr>
              <w:jc w:val="center"/>
              <w:textAlignment w:val="center"/>
              <w:rPr>
                <w:color w:val="000000"/>
                <w:kern w:val="0"/>
                <w:sz w:val="21"/>
              </w:rPr>
            </w:pPr>
          </w:p>
        </w:tc>
        <w:tc>
          <w:tcPr>
            <w:tcW w:w="621" w:type="pct"/>
            <w:vAlign w:val="center"/>
          </w:tcPr>
          <w:p w14:paraId="3DF41E50">
            <w:pPr>
              <w:jc w:val="center"/>
              <w:textAlignment w:val="center"/>
              <w:rPr>
                <w:color w:val="000000"/>
                <w:kern w:val="0"/>
                <w:sz w:val="21"/>
              </w:rPr>
            </w:pPr>
            <w:r>
              <w:rPr>
                <w:color w:val="000000"/>
                <w:kern w:val="0"/>
                <w:sz w:val="21"/>
              </w:rPr>
              <w:t>5</w:t>
            </w:r>
            <w:r>
              <w:rPr>
                <w:color w:val="000000"/>
                <w:sz w:val="21"/>
              </w:rPr>
              <w:t>（0.5）</w:t>
            </w:r>
          </w:p>
        </w:tc>
        <w:tc>
          <w:tcPr>
            <w:tcW w:w="788" w:type="pct"/>
            <w:vAlign w:val="center"/>
          </w:tcPr>
          <w:p w14:paraId="1D4B4B2A">
            <w:pPr>
              <w:jc w:val="center"/>
              <w:textAlignment w:val="center"/>
              <w:rPr>
                <w:color w:val="000000"/>
                <w:kern w:val="0"/>
                <w:sz w:val="21"/>
              </w:rPr>
            </w:pPr>
            <w:r>
              <w:rPr>
                <w:color w:val="000000"/>
                <w:kern w:val="0"/>
                <w:sz w:val="21"/>
              </w:rPr>
              <w:t>0.000</w:t>
            </w:r>
            <w:r>
              <w:rPr>
                <w:rFonts w:hint="eastAsia"/>
                <w:color w:val="000000"/>
                <w:kern w:val="0"/>
                <w:sz w:val="21"/>
              </w:rPr>
              <w:t>9</w:t>
            </w:r>
            <w:r>
              <w:rPr>
                <w:color w:val="000000"/>
                <w:kern w:val="0"/>
                <w:sz w:val="21"/>
              </w:rPr>
              <w:t xml:space="preserve">（0.0001） </w:t>
            </w:r>
          </w:p>
        </w:tc>
        <w:tc>
          <w:tcPr>
            <w:tcW w:w="431" w:type="pct"/>
            <w:vMerge w:val="continue"/>
            <w:tcBorders>
              <w:right w:val="single" w:color="auto" w:sz="4" w:space="0"/>
            </w:tcBorders>
            <w:vAlign w:val="center"/>
          </w:tcPr>
          <w:p w14:paraId="3B67ED49">
            <w:pPr>
              <w:pStyle w:val="68"/>
              <w:widowControl w:val="0"/>
              <w:spacing w:before="0" w:beforeAutospacing="0" w:after="0" w:afterAutospacing="0"/>
              <w:jc w:val="center"/>
              <w:rPr>
                <w:rFonts w:ascii="Times New Roman" w:hAnsi="Times New Roman"/>
                <w:color w:val="000000"/>
                <w:kern w:val="2"/>
                <w:sz w:val="21"/>
                <w:szCs w:val="21"/>
              </w:rPr>
            </w:pPr>
          </w:p>
        </w:tc>
      </w:tr>
      <w:tr w14:paraId="08E5FF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9"/>
            <w:tcBorders>
              <w:left w:val="single" w:color="auto" w:sz="4" w:space="0"/>
              <w:right w:val="single" w:color="auto" w:sz="4" w:space="0"/>
            </w:tcBorders>
            <w:vAlign w:val="center"/>
          </w:tcPr>
          <w:p w14:paraId="19CEEEBF">
            <w:pPr>
              <w:pStyle w:val="68"/>
              <w:widowControl w:val="0"/>
              <w:spacing w:before="0" w:beforeAutospacing="0" w:after="0" w:afterAutospacing="0"/>
              <w:jc w:val="both"/>
              <w:rPr>
                <w:rFonts w:ascii="Times New Roman" w:hAnsi="Times New Roman"/>
                <w:color w:val="000000"/>
                <w:kern w:val="2"/>
                <w:sz w:val="21"/>
                <w:szCs w:val="21"/>
              </w:rPr>
            </w:pPr>
            <w:r>
              <w:rPr>
                <w:rFonts w:ascii="Times New Roman" w:hAnsi="Times New Roman"/>
                <w:color w:val="000000"/>
                <w:kern w:val="2"/>
                <w:sz w:val="21"/>
                <w:szCs w:val="21"/>
              </w:rPr>
              <w:t>备注：（）前为预测排入污水处理厂的量，（）后为排入环境的量</w:t>
            </w:r>
          </w:p>
        </w:tc>
      </w:tr>
    </w:tbl>
    <w:p w14:paraId="18BB2252">
      <w:pPr>
        <w:pStyle w:val="785"/>
        <w:rPr>
          <w:color w:val="000000"/>
          <w:szCs w:val="24"/>
          <w:lang w:val="en-US"/>
        </w:rPr>
      </w:pPr>
      <w:r>
        <w:rPr>
          <w:color w:val="000000"/>
          <w:szCs w:val="24"/>
          <w:lang w:val="en-US"/>
        </w:rPr>
        <w:t>3.2.4.3噪声</w:t>
      </w:r>
    </w:p>
    <w:p w14:paraId="7353B658">
      <w:pPr>
        <w:ind w:firstLine="480"/>
        <w:rPr>
          <w:color w:val="000000"/>
          <w:sz w:val="21"/>
        </w:rPr>
      </w:pPr>
      <w:r>
        <w:rPr>
          <w:bCs/>
          <w:color w:val="000000"/>
          <w:spacing w:val="-10"/>
          <w:szCs w:val="24"/>
        </w:rPr>
        <w:t>本项目运营期的噪声源主要为压缩机、各种泵类等，主要噪声声压级在75～100dB（A）之间，针对噪声源的特点，本项目</w:t>
      </w:r>
      <w:r>
        <w:rPr>
          <w:bCs/>
          <w:color w:val="000000"/>
          <w:spacing w:val="-10"/>
        </w:rPr>
        <w:t>选用低噪声设备，对设备采取建筑隔声、基础减振，在厂区进行合理布局等措施。</w:t>
      </w:r>
      <w:r>
        <w:rPr>
          <w:color w:val="000000"/>
          <w:szCs w:val="24"/>
        </w:rPr>
        <w:t>本项目噪声源强核算详见表3.2.4.3-1</w:t>
      </w:r>
      <w:r>
        <w:rPr>
          <w:bCs/>
          <w:color w:val="000000"/>
          <w:spacing w:val="-10"/>
        </w:rPr>
        <w:t>。</w:t>
      </w:r>
    </w:p>
    <w:p w14:paraId="4D60AB77">
      <w:pPr>
        <w:spacing w:line="240" w:lineRule="auto"/>
        <w:jc w:val="center"/>
        <w:rPr>
          <w:color w:val="000000"/>
          <w:sz w:val="21"/>
        </w:rPr>
      </w:pPr>
    </w:p>
    <w:p w14:paraId="4ED6E82F">
      <w:pPr>
        <w:spacing w:line="240" w:lineRule="auto"/>
        <w:jc w:val="center"/>
        <w:rPr>
          <w:color w:val="000000"/>
          <w:sz w:val="21"/>
        </w:rPr>
      </w:pPr>
      <w:r>
        <w:rPr>
          <w:color w:val="000000"/>
          <w:sz w:val="21"/>
        </w:rPr>
        <w:t>表3.2.4.3-1 本项目噪声源强核算一览表 单位：dB(A)</w:t>
      </w:r>
    </w:p>
    <w:tbl>
      <w:tblPr>
        <w:tblStyle w:val="7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846"/>
        <w:gridCol w:w="686"/>
        <w:gridCol w:w="905"/>
        <w:gridCol w:w="998"/>
        <w:gridCol w:w="709"/>
        <w:gridCol w:w="998"/>
        <w:gridCol w:w="936"/>
        <w:gridCol w:w="1021"/>
        <w:gridCol w:w="744"/>
      </w:tblGrid>
      <w:tr w14:paraId="0835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66" w:type="pct"/>
            <w:vMerge w:val="restart"/>
            <w:tcBorders>
              <w:tl2br w:val="nil"/>
              <w:tr2bl w:val="nil"/>
            </w:tcBorders>
            <w:vAlign w:val="center"/>
          </w:tcPr>
          <w:p w14:paraId="317E355A">
            <w:pPr>
              <w:pStyle w:val="68"/>
              <w:widowControl w:val="0"/>
              <w:spacing w:before="0" w:beforeAutospacing="0" w:after="0" w:afterAutospacing="0"/>
              <w:jc w:val="center"/>
              <w:rPr>
                <w:rFonts w:ascii="Times New Roman" w:hAnsi="Times New Roman"/>
                <w:color w:val="000000"/>
                <w:kern w:val="2"/>
                <w:sz w:val="21"/>
                <w:szCs w:val="21"/>
              </w:rPr>
            </w:pPr>
            <w:bookmarkStart w:id="220" w:name="_Toc25019"/>
            <w:bookmarkStart w:id="221" w:name="_Toc7751"/>
            <w:bookmarkStart w:id="222" w:name="_Toc4889"/>
            <w:bookmarkStart w:id="223" w:name="_Toc29123"/>
            <w:r>
              <w:rPr>
                <w:rFonts w:ascii="Times New Roman" w:hAnsi="Times New Roman"/>
                <w:color w:val="000000"/>
                <w:kern w:val="2"/>
                <w:sz w:val="21"/>
                <w:szCs w:val="21"/>
              </w:rPr>
              <w:t>噪声源</w:t>
            </w:r>
            <w:bookmarkEnd w:id="220"/>
            <w:bookmarkEnd w:id="221"/>
            <w:bookmarkEnd w:id="222"/>
            <w:bookmarkEnd w:id="223"/>
          </w:p>
        </w:tc>
        <w:tc>
          <w:tcPr>
            <w:tcW w:w="467" w:type="pct"/>
            <w:vMerge w:val="restart"/>
            <w:tcBorders>
              <w:tl2br w:val="nil"/>
              <w:tr2bl w:val="nil"/>
            </w:tcBorders>
            <w:vAlign w:val="center"/>
          </w:tcPr>
          <w:p w14:paraId="42E99D0C">
            <w:pPr>
              <w:pStyle w:val="68"/>
              <w:widowControl w:val="0"/>
              <w:spacing w:before="0" w:beforeAutospacing="0" w:after="0" w:afterAutospacing="0"/>
              <w:jc w:val="center"/>
              <w:rPr>
                <w:rFonts w:ascii="Times New Roman" w:hAnsi="Times New Roman"/>
                <w:color w:val="000000"/>
                <w:kern w:val="2"/>
                <w:sz w:val="21"/>
                <w:szCs w:val="21"/>
              </w:rPr>
            </w:pPr>
            <w:bookmarkStart w:id="224" w:name="_Toc23132"/>
            <w:bookmarkStart w:id="225" w:name="_Toc15424"/>
            <w:bookmarkStart w:id="226" w:name="_Toc27265"/>
            <w:bookmarkStart w:id="227" w:name="_Toc3965"/>
            <w:r>
              <w:rPr>
                <w:rFonts w:ascii="Times New Roman" w:hAnsi="Times New Roman"/>
                <w:color w:val="000000"/>
                <w:kern w:val="2"/>
                <w:sz w:val="21"/>
                <w:szCs w:val="21"/>
              </w:rPr>
              <w:t>数量（台）</w:t>
            </w:r>
            <w:bookmarkEnd w:id="224"/>
            <w:bookmarkEnd w:id="225"/>
            <w:bookmarkEnd w:id="226"/>
            <w:bookmarkEnd w:id="227"/>
          </w:p>
        </w:tc>
        <w:tc>
          <w:tcPr>
            <w:tcW w:w="380" w:type="pct"/>
            <w:vMerge w:val="restart"/>
            <w:tcBorders>
              <w:tl2br w:val="nil"/>
              <w:tr2bl w:val="nil"/>
            </w:tcBorders>
            <w:vAlign w:val="center"/>
          </w:tcPr>
          <w:p w14:paraId="77E79BD7">
            <w:pPr>
              <w:pStyle w:val="68"/>
              <w:widowControl w:val="0"/>
              <w:spacing w:before="0" w:beforeAutospacing="0" w:after="0" w:afterAutospacing="0"/>
              <w:jc w:val="center"/>
              <w:rPr>
                <w:rFonts w:ascii="Times New Roman" w:hAnsi="Times New Roman"/>
                <w:color w:val="000000"/>
                <w:kern w:val="2"/>
                <w:sz w:val="21"/>
                <w:szCs w:val="21"/>
              </w:rPr>
            </w:pPr>
            <w:bookmarkStart w:id="228" w:name="_Toc20536"/>
            <w:bookmarkStart w:id="229" w:name="_Toc25696"/>
            <w:bookmarkStart w:id="230" w:name="_Toc8413"/>
            <w:bookmarkStart w:id="231" w:name="_Toc3995"/>
            <w:r>
              <w:rPr>
                <w:rFonts w:ascii="Times New Roman" w:hAnsi="Times New Roman"/>
                <w:color w:val="000000"/>
                <w:kern w:val="2"/>
                <w:sz w:val="21"/>
                <w:szCs w:val="21"/>
              </w:rPr>
              <w:t>声源类型</w:t>
            </w:r>
            <w:bookmarkEnd w:id="228"/>
            <w:bookmarkEnd w:id="229"/>
            <w:bookmarkEnd w:id="230"/>
            <w:bookmarkEnd w:id="231"/>
          </w:p>
        </w:tc>
        <w:tc>
          <w:tcPr>
            <w:tcW w:w="1048" w:type="pct"/>
            <w:gridSpan w:val="2"/>
            <w:tcBorders>
              <w:tl2br w:val="nil"/>
              <w:tr2bl w:val="nil"/>
            </w:tcBorders>
            <w:vAlign w:val="center"/>
          </w:tcPr>
          <w:p w14:paraId="141B684E">
            <w:pPr>
              <w:pStyle w:val="68"/>
              <w:widowControl w:val="0"/>
              <w:spacing w:before="0" w:beforeAutospacing="0" w:after="0" w:afterAutospacing="0"/>
              <w:jc w:val="center"/>
              <w:rPr>
                <w:rFonts w:ascii="Times New Roman" w:hAnsi="Times New Roman"/>
                <w:color w:val="000000"/>
                <w:kern w:val="2"/>
                <w:sz w:val="21"/>
                <w:szCs w:val="21"/>
              </w:rPr>
            </w:pPr>
            <w:bookmarkStart w:id="232" w:name="_Toc6344"/>
            <w:bookmarkStart w:id="233" w:name="_Toc31220"/>
            <w:bookmarkStart w:id="234" w:name="_Toc3961"/>
            <w:bookmarkStart w:id="235" w:name="_Toc9664"/>
            <w:r>
              <w:rPr>
                <w:rFonts w:ascii="Times New Roman" w:hAnsi="Times New Roman"/>
                <w:color w:val="000000"/>
                <w:kern w:val="2"/>
                <w:sz w:val="21"/>
                <w:szCs w:val="21"/>
              </w:rPr>
              <w:t>治理前单个噪声源强</w:t>
            </w:r>
            <w:bookmarkEnd w:id="232"/>
            <w:bookmarkEnd w:id="233"/>
            <w:bookmarkEnd w:id="234"/>
            <w:bookmarkEnd w:id="235"/>
          </w:p>
        </w:tc>
        <w:tc>
          <w:tcPr>
            <w:tcW w:w="941" w:type="pct"/>
            <w:gridSpan w:val="2"/>
            <w:tcBorders>
              <w:tl2br w:val="nil"/>
              <w:tr2bl w:val="nil"/>
            </w:tcBorders>
            <w:vAlign w:val="center"/>
          </w:tcPr>
          <w:p w14:paraId="7430BCB4">
            <w:pPr>
              <w:pStyle w:val="68"/>
              <w:widowControl w:val="0"/>
              <w:spacing w:before="0" w:beforeAutospacing="0" w:after="0" w:afterAutospacing="0"/>
              <w:jc w:val="center"/>
              <w:rPr>
                <w:rFonts w:ascii="Times New Roman" w:hAnsi="Times New Roman"/>
                <w:color w:val="000000"/>
                <w:kern w:val="2"/>
                <w:sz w:val="21"/>
                <w:szCs w:val="21"/>
              </w:rPr>
            </w:pPr>
            <w:bookmarkStart w:id="236" w:name="_Toc13510"/>
            <w:bookmarkStart w:id="237" w:name="_Toc19466"/>
            <w:bookmarkStart w:id="238" w:name="_Toc11733"/>
            <w:bookmarkStart w:id="239" w:name="_Toc31249"/>
            <w:r>
              <w:rPr>
                <w:rFonts w:ascii="Times New Roman" w:hAnsi="Times New Roman"/>
                <w:color w:val="000000"/>
                <w:kern w:val="2"/>
                <w:sz w:val="21"/>
                <w:szCs w:val="21"/>
              </w:rPr>
              <w:t>降噪措施</w:t>
            </w:r>
            <w:bookmarkEnd w:id="236"/>
            <w:bookmarkEnd w:id="237"/>
            <w:bookmarkEnd w:id="238"/>
            <w:bookmarkEnd w:id="239"/>
          </w:p>
        </w:tc>
        <w:tc>
          <w:tcPr>
            <w:tcW w:w="1083" w:type="pct"/>
            <w:gridSpan w:val="2"/>
            <w:tcBorders>
              <w:tl2br w:val="nil"/>
              <w:tr2bl w:val="nil"/>
            </w:tcBorders>
            <w:vAlign w:val="center"/>
          </w:tcPr>
          <w:p w14:paraId="6EDC2B94">
            <w:pPr>
              <w:pStyle w:val="68"/>
              <w:widowControl w:val="0"/>
              <w:spacing w:before="0" w:beforeAutospacing="0" w:after="0" w:afterAutospacing="0"/>
              <w:jc w:val="center"/>
              <w:rPr>
                <w:rFonts w:ascii="Times New Roman" w:hAnsi="Times New Roman"/>
                <w:color w:val="000000"/>
                <w:kern w:val="2"/>
                <w:sz w:val="21"/>
                <w:szCs w:val="21"/>
              </w:rPr>
            </w:pPr>
            <w:bookmarkStart w:id="240" w:name="_Toc13685"/>
            <w:bookmarkStart w:id="241" w:name="_Toc10076"/>
            <w:bookmarkStart w:id="242" w:name="_Toc31215"/>
            <w:bookmarkStart w:id="243" w:name="_Toc5282"/>
            <w:r>
              <w:rPr>
                <w:rFonts w:ascii="Times New Roman" w:hAnsi="Times New Roman"/>
                <w:color w:val="000000"/>
                <w:kern w:val="2"/>
                <w:sz w:val="21"/>
                <w:szCs w:val="21"/>
              </w:rPr>
              <w:t>治理后单个最大噪声源强</w:t>
            </w:r>
            <w:bookmarkEnd w:id="240"/>
            <w:bookmarkEnd w:id="241"/>
            <w:bookmarkEnd w:id="242"/>
            <w:bookmarkEnd w:id="243"/>
          </w:p>
        </w:tc>
        <w:tc>
          <w:tcPr>
            <w:tcW w:w="412" w:type="pct"/>
            <w:vMerge w:val="restart"/>
            <w:tcBorders>
              <w:tl2br w:val="nil"/>
              <w:tr2bl w:val="nil"/>
            </w:tcBorders>
            <w:vAlign w:val="center"/>
          </w:tcPr>
          <w:p w14:paraId="0AD2545A">
            <w:pPr>
              <w:pStyle w:val="68"/>
              <w:widowControl w:val="0"/>
              <w:spacing w:before="0" w:beforeAutospacing="0" w:after="0" w:afterAutospacing="0"/>
              <w:jc w:val="center"/>
              <w:rPr>
                <w:rFonts w:ascii="Times New Roman" w:hAnsi="Times New Roman"/>
                <w:color w:val="000000"/>
                <w:kern w:val="2"/>
                <w:sz w:val="21"/>
                <w:szCs w:val="21"/>
              </w:rPr>
            </w:pPr>
            <w:bookmarkStart w:id="244" w:name="_Toc20662"/>
            <w:bookmarkStart w:id="245" w:name="_Toc21166"/>
            <w:bookmarkStart w:id="246" w:name="_Toc8791"/>
            <w:bookmarkStart w:id="247" w:name="_Toc11021"/>
            <w:r>
              <w:rPr>
                <w:rFonts w:ascii="Times New Roman" w:hAnsi="Times New Roman"/>
                <w:color w:val="000000"/>
                <w:kern w:val="2"/>
                <w:sz w:val="21"/>
                <w:szCs w:val="21"/>
              </w:rPr>
              <w:t>持续时间（h）</w:t>
            </w:r>
            <w:bookmarkEnd w:id="244"/>
            <w:bookmarkEnd w:id="245"/>
            <w:bookmarkEnd w:id="246"/>
            <w:bookmarkEnd w:id="247"/>
          </w:p>
        </w:tc>
      </w:tr>
      <w:tr w14:paraId="2545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666" w:type="pct"/>
            <w:vMerge w:val="continue"/>
            <w:tcBorders>
              <w:tl2br w:val="nil"/>
              <w:tr2bl w:val="nil"/>
            </w:tcBorders>
            <w:vAlign w:val="center"/>
          </w:tcPr>
          <w:p w14:paraId="325E85CF">
            <w:pPr>
              <w:pStyle w:val="68"/>
              <w:widowControl w:val="0"/>
              <w:spacing w:before="0" w:beforeAutospacing="0" w:after="0" w:afterAutospacing="0"/>
              <w:jc w:val="center"/>
              <w:rPr>
                <w:rFonts w:ascii="Times New Roman" w:hAnsi="Times New Roman"/>
                <w:color w:val="000000"/>
                <w:kern w:val="2"/>
                <w:sz w:val="21"/>
                <w:szCs w:val="21"/>
              </w:rPr>
            </w:pPr>
          </w:p>
        </w:tc>
        <w:tc>
          <w:tcPr>
            <w:tcW w:w="467" w:type="pct"/>
            <w:vMerge w:val="continue"/>
            <w:tcBorders>
              <w:tl2br w:val="nil"/>
              <w:tr2bl w:val="nil"/>
            </w:tcBorders>
            <w:vAlign w:val="center"/>
          </w:tcPr>
          <w:p w14:paraId="55471A90">
            <w:pPr>
              <w:pStyle w:val="68"/>
              <w:widowControl w:val="0"/>
              <w:spacing w:before="0" w:beforeAutospacing="0" w:after="0" w:afterAutospacing="0"/>
              <w:jc w:val="center"/>
              <w:rPr>
                <w:rFonts w:ascii="Times New Roman" w:hAnsi="Times New Roman"/>
                <w:color w:val="000000"/>
                <w:kern w:val="2"/>
                <w:sz w:val="21"/>
                <w:szCs w:val="21"/>
              </w:rPr>
            </w:pPr>
          </w:p>
        </w:tc>
        <w:tc>
          <w:tcPr>
            <w:tcW w:w="380" w:type="pct"/>
            <w:vMerge w:val="continue"/>
            <w:tcBorders>
              <w:tl2br w:val="nil"/>
              <w:tr2bl w:val="nil"/>
            </w:tcBorders>
            <w:vAlign w:val="center"/>
          </w:tcPr>
          <w:p w14:paraId="78A73A44">
            <w:pPr>
              <w:pStyle w:val="68"/>
              <w:widowControl w:val="0"/>
              <w:spacing w:before="0" w:beforeAutospacing="0" w:after="0" w:afterAutospacing="0"/>
              <w:jc w:val="center"/>
              <w:rPr>
                <w:rFonts w:ascii="Times New Roman" w:hAnsi="Times New Roman"/>
                <w:color w:val="000000"/>
                <w:kern w:val="2"/>
                <w:sz w:val="21"/>
                <w:szCs w:val="21"/>
              </w:rPr>
            </w:pPr>
          </w:p>
        </w:tc>
        <w:tc>
          <w:tcPr>
            <w:tcW w:w="501" w:type="pct"/>
            <w:tcBorders>
              <w:tl2br w:val="nil"/>
              <w:tr2bl w:val="nil"/>
            </w:tcBorders>
            <w:vAlign w:val="center"/>
          </w:tcPr>
          <w:p w14:paraId="08A1644C">
            <w:pPr>
              <w:pStyle w:val="68"/>
              <w:widowControl w:val="0"/>
              <w:spacing w:before="0" w:beforeAutospacing="0" w:after="0" w:afterAutospacing="0"/>
              <w:jc w:val="center"/>
              <w:rPr>
                <w:rFonts w:ascii="Times New Roman" w:hAnsi="Times New Roman"/>
                <w:color w:val="000000"/>
                <w:kern w:val="2"/>
                <w:sz w:val="21"/>
                <w:szCs w:val="21"/>
              </w:rPr>
            </w:pPr>
            <w:bookmarkStart w:id="248" w:name="_Toc17791"/>
            <w:bookmarkStart w:id="249" w:name="_Toc1383"/>
            <w:bookmarkStart w:id="250" w:name="_Toc5604"/>
            <w:bookmarkStart w:id="251" w:name="_Toc8912"/>
            <w:r>
              <w:rPr>
                <w:rFonts w:ascii="Times New Roman" w:hAnsi="Times New Roman"/>
                <w:color w:val="000000"/>
                <w:kern w:val="2"/>
                <w:sz w:val="21"/>
                <w:szCs w:val="21"/>
              </w:rPr>
              <w:t>核算方法</w:t>
            </w:r>
            <w:bookmarkEnd w:id="248"/>
            <w:bookmarkEnd w:id="249"/>
            <w:bookmarkEnd w:id="250"/>
            <w:bookmarkEnd w:id="251"/>
          </w:p>
        </w:tc>
        <w:tc>
          <w:tcPr>
            <w:tcW w:w="547" w:type="pct"/>
            <w:tcBorders>
              <w:tl2br w:val="nil"/>
              <w:tr2bl w:val="nil"/>
            </w:tcBorders>
            <w:vAlign w:val="center"/>
          </w:tcPr>
          <w:p w14:paraId="79EF0244">
            <w:pPr>
              <w:pStyle w:val="68"/>
              <w:widowControl w:val="0"/>
              <w:spacing w:before="0" w:beforeAutospacing="0" w:after="0" w:afterAutospacing="0"/>
              <w:jc w:val="center"/>
              <w:rPr>
                <w:rFonts w:ascii="Times New Roman" w:hAnsi="Times New Roman"/>
                <w:color w:val="000000"/>
                <w:kern w:val="2"/>
                <w:sz w:val="21"/>
                <w:szCs w:val="21"/>
              </w:rPr>
            </w:pPr>
            <w:bookmarkStart w:id="252" w:name="_Toc27079"/>
            <w:bookmarkStart w:id="253" w:name="_Toc12009"/>
            <w:bookmarkStart w:id="254" w:name="_Toc3494"/>
            <w:bookmarkStart w:id="255" w:name="_Toc6661"/>
            <w:r>
              <w:rPr>
                <w:rFonts w:ascii="Times New Roman" w:hAnsi="Times New Roman"/>
                <w:color w:val="000000"/>
                <w:kern w:val="2"/>
                <w:sz w:val="21"/>
                <w:szCs w:val="21"/>
              </w:rPr>
              <w:t>声压级（dB（A））</w:t>
            </w:r>
            <w:bookmarkEnd w:id="252"/>
            <w:bookmarkEnd w:id="253"/>
            <w:bookmarkEnd w:id="254"/>
            <w:bookmarkEnd w:id="255"/>
          </w:p>
        </w:tc>
        <w:tc>
          <w:tcPr>
            <w:tcW w:w="393" w:type="pct"/>
            <w:tcBorders>
              <w:tl2br w:val="nil"/>
              <w:tr2bl w:val="nil"/>
            </w:tcBorders>
            <w:vAlign w:val="center"/>
          </w:tcPr>
          <w:p w14:paraId="774A6751">
            <w:pPr>
              <w:pStyle w:val="68"/>
              <w:widowControl w:val="0"/>
              <w:spacing w:before="0" w:beforeAutospacing="0" w:after="0" w:afterAutospacing="0"/>
              <w:jc w:val="center"/>
              <w:rPr>
                <w:rFonts w:ascii="Times New Roman" w:hAnsi="Times New Roman"/>
                <w:color w:val="000000"/>
                <w:kern w:val="2"/>
                <w:sz w:val="21"/>
                <w:szCs w:val="21"/>
              </w:rPr>
            </w:pPr>
            <w:bookmarkStart w:id="256" w:name="_Toc5334"/>
            <w:bookmarkStart w:id="257" w:name="_Toc12799"/>
            <w:bookmarkStart w:id="258" w:name="_Toc3191"/>
            <w:bookmarkStart w:id="259" w:name="_Toc15461"/>
            <w:r>
              <w:rPr>
                <w:rFonts w:ascii="Times New Roman" w:hAnsi="Times New Roman"/>
                <w:color w:val="000000"/>
                <w:kern w:val="2"/>
                <w:sz w:val="21"/>
                <w:szCs w:val="21"/>
              </w:rPr>
              <w:t>工艺</w:t>
            </w:r>
            <w:bookmarkEnd w:id="256"/>
            <w:bookmarkEnd w:id="257"/>
            <w:bookmarkEnd w:id="258"/>
            <w:bookmarkEnd w:id="259"/>
          </w:p>
        </w:tc>
        <w:tc>
          <w:tcPr>
            <w:tcW w:w="547" w:type="pct"/>
            <w:tcBorders>
              <w:tl2br w:val="nil"/>
              <w:tr2bl w:val="nil"/>
            </w:tcBorders>
            <w:vAlign w:val="center"/>
          </w:tcPr>
          <w:p w14:paraId="6B1EB798">
            <w:pPr>
              <w:pStyle w:val="68"/>
              <w:widowControl w:val="0"/>
              <w:spacing w:before="0" w:beforeAutospacing="0" w:after="0" w:afterAutospacing="0"/>
              <w:jc w:val="center"/>
              <w:rPr>
                <w:rFonts w:ascii="Times New Roman" w:hAnsi="Times New Roman"/>
                <w:color w:val="000000"/>
                <w:kern w:val="2"/>
                <w:sz w:val="21"/>
                <w:szCs w:val="21"/>
              </w:rPr>
            </w:pPr>
            <w:bookmarkStart w:id="260" w:name="_Toc13235"/>
            <w:bookmarkStart w:id="261" w:name="_Toc27220"/>
            <w:bookmarkStart w:id="262" w:name="_Toc5123"/>
            <w:bookmarkStart w:id="263" w:name="_Toc12060"/>
            <w:r>
              <w:rPr>
                <w:rFonts w:ascii="Times New Roman" w:hAnsi="Times New Roman"/>
                <w:color w:val="000000"/>
                <w:kern w:val="2"/>
                <w:sz w:val="21"/>
                <w:szCs w:val="21"/>
              </w:rPr>
              <w:t>降噪效果</w:t>
            </w:r>
            <w:bookmarkEnd w:id="260"/>
            <w:bookmarkEnd w:id="261"/>
            <w:bookmarkEnd w:id="262"/>
            <w:bookmarkEnd w:id="263"/>
          </w:p>
          <w:p w14:paraId="1DFA9F4D">
            <w:pPr>
              <w:pStyle w:val="68"/>
              <w:widowControl w:val="0"/>
              <w:spacing w:before="0" w:beforeAutospacing="0" w:after="0" w:afterAutospacing="0"/>
              <w:jc w:val="center"/>
              <w:rPr>
                <w:rFonts w:ascii="Times New Roman" w:hAnsi="Times New Roman"/>
                <w:color w:val="000000"/>
                <w:kern w:val="2"/>
                <w:sz w:val="21"/>
                <w:szCs w:val="21"/>
              </w:rPr>
            </w:pPr>
            <w:bookmarkStart w:id="264" w:name="_Toc15148"/>
            <w:bookmarkStart w:id="265" w:name="_Toc31341"/>
            <w:bookmarkStart w:id="266" w:name="_Toc23090"/>
            <w:bookmarkStart w:id="267" w:name="_Toc11725"/>
            <w:r>
              <w:rPr>
                <w:rFonts w:ascii="Times New Roman" w:hAnsi="Times New Roman"/>
                <w:color w:val="000000"/>
                <w:kern w:val="2"/>
                <w:sz w:val="21"/>
                <w:szCs w:val="21"/>
              </w:rPr>
              <w:t>（dB（A））</w:t>
            </w:r>
            <w:bookmarkEnd w:id="264"/>
            <w:bookmarkEnd w:id="265"/>
            <w:bookmarkEnd w:id="266"/>
            <w:bookmarkEnd w:id="267"/>
          </w:p>
        </w:tc>
        <w:tc>
          <w:tcPr>
            <w:tcW w:w="518" w:type="pct"/>
            <w:tcBorders>
              <w:tl2br w:val="nil"/>
              <w:tr2bl w:val="nil"/>
            </w:tcBorders>
            <w:vAlign w:val="center"/>
          </w:tcPr>
          <w:p w14:paraId="10841692">
            <w:pPr>
              <w:pStyle w:val="68"/>
              <w:widowControl w:val="0"/>
              <w:spacing w:before="0" w:beforeAutospacing="0" w:after="0" w:afterAutospacing="0"/>
              <w:jc w:val="center"/>
              <w:rPr>
                <w:rFonts w:ascii="Times New Roman" w:hAnsi="Times New Roman"/>
                <w:color w:val="000000"/>
                <w:kern w:val="2"/>
                <w:sz w:val="21"/>
                <w:szCs w:val="21"/>
              </w:rPr>
            </w:pPr>
            <w:bookmarkStart w:id="268" w:name="_Toc29180"/>
            <w:bookmarkStart w:id="269" w:name="_Toc10208"/>
            <w:bookmarkStart w:id="270" w:name="_Toc2353"/>
            <w:bookmarkStart w:id="271" w:name="_Toc25861"/>
            <w:r>
              <w:rPr>
                <w:rFonts w:ascii="Times New Roman" w:hAnsi="Times New Roman"/>
                <w:color w:val="000000"/>
                <w:kern w:val="2"/>
                <w:sz w:val="21"/>
                <w:szCs w:val="21"/>
              </w:rPr>
              <w:t>核算方法</w:t>
            </w:r>
            <w:bookmarkEnd w:id="268"/>
            <w:bookmarkEnd w:id="269"/>
            <w:bookmarkEnd w:id="270"/>
            <w:bookmarkEnd w:id="271"/>
          </w:p>
        </w:tc>
        <w:tc>
          <w:tcPr>
            <w:tcW w:w="565" w:type="pct"/>
            <w:tcBorders>
              <w:tl2br w:val="nil"/>
              <w:tr2bl w:val="nil"/>
            </w:tcBorders>
            <w:vAlign w:val="center"/>
          </w:tcPr>
          <w:p w14:paraId="346B6D3E">
            <w:pPr>
              <w:pStyle w:val="68"/>
              <w:widowControl w:val="0"/>
              <w:spacing w:before="0" w:beforeAutospacing="0" w:after="0" w:afterAutospacing="0"/>
              <w:jc w:val="center"/>
              <w:rPr>
                <w:rFonts w:ascii="Times New Roman" w:hAnsi="Times New Roman"/>
                <w:color w:val="000000"/>
                <w:kern w:val="2"/>
                <w:sz w:val="21"/>
                <w:szCs w:val="21"/>
              </w:rPr>
            </w:pPr>
            <w:bookmarkStart w:id="272" w:name="_Toc18190"/>
            <w:bookmarkStart w:id="273" w:name="_Toc3717"/>
            <w:bookmarkStart w:id="274" w:name="_Toc7663"/>
            <w:bookmarkStart w:id="275" w:name="_Toc7921"/>
            <w:r>
              <w:rPr>
                <w:rFonts w:ascii="Times New Roman" w:hAnsi="Times New Roman"/>
                <w:color w:val="000000"/>
                <w:kern w:val="2"/>
                <w:sz w:val="21"/>
                <w:szCs w:val="21"/>
              </w:rPr>
              <w:t>声压级（dB（A））</w:t>
            </w:r>
            <w:bookmarkEnd w:id="272"/>
            <w:bookmarkEnd w:id="273"/>
            <w:bookmarkEnd w:id="274"/>
            <w:bookmarkEnd w:id="275"/>
          </w:p>
        </w:tc>
        <w:tc>
          <w:tcPr>
            <w:tcW w:w="412" w:type="pct"/>
            <w:vMerge w:val="continue"/>
            <w:tcBorders>
              <w:tl2br w:val="nil"/>
              <w:tr2bl w:val="nil"/>
            </w:tcBorders>
            <w:vAlign w:val="center"/>
          </w:tcPr>
          <w:p w14:paraId="4881DECC">
            <w:pPr>
              <w:pStyle w:val="68"/>
              <w:widowControl w:val="0"/>
              <w:spacing w:before="0" w:beforeAutospacing="0" w:after="0" w:afterAutospacing="0"/>
              <w:jc w:val="center"/>
              <w:rPr>
                <w:rFonts w:ascii="Times New Roman" w:hAnsi="Times New Roman"/>
                <w:color w:val="000000"/>
                <w:kern w:val="2"/>
                <w:sz w:val="21"/>
                <w:szCs w:val="21"/>
              </w:rPr>
            </w:pPr>
          </w:p>
        </w:tc>
      </w:tr>
      <w:tr w14:paraId="5243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66" w:type="pct"/>
            <w:tcBorders>
              <w:tl2br w:val="nil"/>
              <w:tr2bl w:val="nil"/>
            </w:tcBorders>
            <w:vAlign w:val="center"/>
          </w:tcPr>
          <w:p w14:paraId="662D926D">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粗氦气压缩机</w:t>
            </w:r>
          </w:p>
        </w:tc>
        <w:tc>
          <w:tcPr>
            <w:tcW w:w="467" w:type="pct"/>
            <w:tcBorders>
              <w:tl2br w:val="nil"/>
              <w:tr2bl w:val="nil"/>
            </w:tcBorders>
            <w:vAlign w:val="center"/>
          </w:tcPr>
          <w:p w14:paraId="1A4FDA29">
            <w:pPr>
              <w:pStyle w:val="68"/>
              <w:widowControl w:val="0"/>
              <w:spacing w:before="0" w:beforeAutospacing="0" w:after="0" w:afterAutospacing="0"/>
              <w:jc w:val="center"/>
              <w:rPr>
                <w:rFonts w:ascii="Times New Roman" w:hAnsi="Times New Roman"/>
                <w:color w:val="000000"/>
                <w:kern w:val="2"/>
                <w:sz w:val="21"/>
                <w:szCs w:val="21"/>
              </w:rPr>
            </w:pPr>
            <w:bookmarkStart w:id="276" w:name="_Toc8963"/>
            <w:bookmarkStart w:id="277" w:name="_Toc25843"/>
            <w:bookmarkStart w:id="278" w:name="_Toc6766"/>
            <w:bookmarkStart w:id="279" w:name="_Toc30666"/>
            <w:r>
              <w:rPr>
                <w:rFonts w:ascii="Times New Roman" w:hAnsi="Times New Roman"/>
                <w:color w:val="000000"/>
                <w:kern w:val="2"/>
                <w:sz w:val="21"/>
                <w:szCs w:val="21"/>
              </w:rPr>
              <w:t>1</w:t>
            </w:r>
            <w:bookmarkEnd w:id="276"/>
            <w:bookmarkEnd w:id="277"/>
            <w:bookmarkEnd w:id="278"/>
            <w:bookmarkEnd w:id="279"/>
          </w:p>
        </w:tc>
        <w:tc>
          <w:tcPr>
            <w:tcW w:w="380" w:type="pct"/>
            <w:tcBorders>
              <w:tl2br w:val="nil"/>
              <w:tr2bl w:val="nil"/>
            </w:tcBorders>
            <w:vAlign w:val="center"/>
          </w:tcPr>
          <w:p w14:paraId="7C6944E0">
            <w:pPr>
              <w:pStyle w:val="68"/>
              <w:widowControl w:val="0"/>
              <w:spacing w:before="0" w:beforeAutospacing="0" w:after="0" w:afterAutospacing="0"/>
              <w:jc w:val="center"/>
              <w:rPr>
                <w:rFonts w:ascii="Times New Roman" w:hAnsi="Times New Roman"/>
                <w:color w:val="000000"/>
                <w:kern w:val="2"/>
                <w:sz w:val="21"/>
                <w:szCs w:val="21"/>
              </w:rPr>
            </w:pPr>
            <w:bookmarkStart w:id="280" w:name="_Toc27693"/>
            <w:bookmarkStart w:id="281" w:name="_Toc28367"/>
            <w:bookmarkStart w:id="282" w:name="_Toc15318"/>
            <w:bookmarkStart w:id="283" w:name="_Toc19155"/>
            <w:r>
              <w:rPr>
                <w:rFonts w:ascii="Times New Roman" w:hAnsi="Times New Roman"/>
                <w:color w:val="000000"/>
                <w:kern w:val="2"/>
                <w:sz w:val="21"/>
                <w:szCs w:val="21"/>
              </w:rPr>
              <w:t>频发</w:t>
            </w:r>
            <w:bookmarkEnd w:id="280"/>
            <w:bookmarkEnd w:id="281"/>
            <w:bookmarkEnd w:id="282"/>
            <w:bookmarkEnd w:id="283"/>
          </w:p>
        </w:tc>
        <w:tc>
          <w:tcPr>
            <w:tcW w:w="501" w:type="pct"/>
            <w:tcBorders>
              <w:tl2br w:val="nil"/>
              <w:tr2bl w:val="nil"/>
            </w:tcBorders>
            <w:vAlign w:val="center"/>
          </w:tcPr>
          <w:p w14:paraId="03BC60C3">
            <w:pPr>
              <w:pStyle w:val="68"/>
              <w:widowControl w:val="0"/>
              <w:spacing w:before="0" w:beforeAutospacing="0" w:after="0" w:afterAutospacing="0"/>
              <w:jc w:val="center"/>
              <w:rPr>
                <w:rFonts w:ascii="Times New Roman" w:hAnsi="Times New Roman"/>
                <w:color w:val="000000"/>
                <w:kern w:val="2"/>
                <w:sz w:val="21"/>
                <w:szCs w:val="21"/>
              </w:rPr>
            </w:pPr>
            <w:bookmarkStart w:id="284" w:name="_Toc27498"/>
            <w:bookmarkStart w:id="285" w:name="_Toc30701"/>
            <w:bookmarkStart w:id="286" w:name="_Toc22527"/>
            <w:bookmarkStart w:id="287" w:name="_Toc14882"/>
            <w:r>
              <w:rPr>
                <w:rFonts w:ascii="Times New Roman" w:hAnsi="Times New Roman"/>
                <w:color w:val="000000"/>
                <w:kern w:val="2"/>
                <w:sz w:val="21"/>
                <w:szCs w:val="21"/>
              </w:rPr>
              <w:t>类比法</w:t>
            </w:r>
            <w:bookmarkEnd w:id="284"/>
            <w:bookmarkEnd w:id="285"/>
            <w:bookmarkEnd w:id="286"/>
            <w:bookmarkEnd w:id="287"/>
          </w:p>
        </w:tc>
        <w:tc>
          <w:tcPr>
            <w:tcW w:w="547" w:type="pct"/>
            <w:tcBorders>
              <w:tl2br w:val="nil"/>
              <w:tr2bl w:val="nil"/>
            </w:tcBorders>
            <w:vAlign w:val="center"/>
          </w:tcPr>
          <w:p w14:paraId="5B9D38C0">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100</w:t>
            </w:r>
          </w:p>
        </w:tc>
        <w:tc>
          <w:tcPr>
            <w:tcW w:w="393" w:type="pct"/>
            <w:vMerge w:val="restart"/>
            <w:tcBorders>
              <w:tl2br w:val="nil"/>
              <w:tr2bl w:val="nil"/>
            </w:tcBorders>
            <w:vAlign w:val="center"/>
          </w:tcPr>
          <w:p w14:paraId="6946B529">
            <w:pPr>
              <w:pStyle w:val="68"/>
              <w:widowControl w:val="0"/>
              <w:spacing w:before="0" w:beforeAutospacing="0" w:after="0" w:afterAutospacing="0"/>
              <w:jc w:val="center"/>
              <w:rPr>
                <w:rFonts w:ascii="Times New Roman" w:hAnsi="Times New Roman"/>
                <w:color w:val="000000"/>
                <w:kern w:val="2"/>
                <w:sz w:val="21"/>
                <w:szCs w:val="21"/>
              </w:rPr>
            </w:pPr>
            <w:bookmarkStart w:id="288" w:name="_Toc25569"/>
            <w:bookmarkStart w:id="289" w:name="_Toc18944"/>
            <w:bookmarkStart w:id="290" w:name="_Toc30930"/>
            <w:bookmarkStart w:id="291" w:name="_Toc16865"/>
            <w:r>
              <w:rPr>
                <w:rFonts w:ascii="Times New Roman" w:hAnsi="Times New Roman"/>
                <w:color w:val="000000"/>
                <w:kern w:val="2"/>
                <w:sz w:val="21"/>
                <w:szCs w:val="21"/>
              </w:rPr>
              <w:t>选用低噪声设备、基础减振、消声、建筑隔声</w:t>
            </w:r>
            <w:bookmarkEnd w:id="288"/>
            <w:bookmarkEnd w:id="289"/>
            <w:bookmarkEnd w:id="290"/>
            <w:bookmarkEnd w:id="291"/>
          </w:p>
        </w:tc>
        <w:tc>
          <w:tcPr>
            <w:tcW w:w="547" w:type="pct"/>
            <w:tcBorders>
              <w:tl2br w:val="nil"/>
              <w:tr2bl w:val="nil"/>
            </w:tcBorders>
            <w:vAlign w:val="center"/>
          </w:tcPr>
          <w:p w14:paraId="04BAB551">
            <w:pPr>
              <w:pStyle w:val="68"/>
              <w:widowControl w:val="0"/>
              <w:spacing w:before="0" w:beforeAutospacing="0" w:after="0" w:afterAutospacing="0"/>
              <w:jc w:val="center"/>
              <w:rPr>
                <w:rFonts w:ascii="Times New Roman" w:hAnsi="Times New Roman"/>
                <w:color w:val="000000"/>
                <w:kern w:val="2"/>
                <w:sz w:val="21"/>
                <w:szCs w:val="21"/>
              </w:rPr>
            </w:pPr>
            <w:bookmarkStart w:id="292" w:name="_Toc28449"/>
            <w:bookmarkStart w:id="293" w:name="_Toc25648"/>
            <w:bookmarkStart w:id="294" w:name="_Toc21661"/>
            <w:bookmarkStart w:id="295" w:name="_Toc5088"/>
            <w:r>
              <w:rPr>
                <w:rFonts w:ascii="Times New Roman" w:hAnsi="Times New Roman"/>
                <w:color w:val="000000"/>
                <w:kern w:val="2"/>
                <w:sz w:val="21"/>
                <w:szCs w:val="21"/>
              </w:rPr>
              <w:t>20</w:t>
            </w:r>
            <w:bookmarkEnd w:id="292"/>
            <w:bookmarkEnd w:id="293"/>
            <w:bookmarkEnd w:id="294"/>
            <w:bookmarkEnd w:id="295"/>
          </w:p>
        </w:tc>
        <w:tc>
          <w:tcPr>
            <w:tcW w:w="518" w:type="pct"/>
            <w:tcBorders>
              <w:tl2br w:val="nil"/>
              <w:tr2bl w:val="nil"/>
            </w:tcBorders>
            <w:vAlign w:val="center"/>
          </w:tcPr>
          <w:p w14:paraId="745EFA98">
            <w:pPr>
              <w:pStyle w:val="68"/>
              <w:widowControl w:val="0"/>
              <w:spacing w:before="0" w:beforeAutospacing="0" w:after="0" w:afterAutospacing="0"/>
              <w:jc w:val="center"/>
              <w:rPr>
                <w:rFonts w:ascii="Times New Roman" w:hAnsi="Times New Roman"/>
                <w:color w:val="000000"/>
                <w:kern w:val="2"/>
                <w:sz w:val="21"/>
                <w:szCs w:val="21"/>
              </w:rPr>
            </w:pPr>
            <w:bookmarkStart w:id="296" w:name="_Toc32273"/>
            <w:bookmarkStart w:id="297" w:name="_Toc19537"/>
            <w:bookmarkStart w:id="298" w:name="_Toc30734"/>
            <w:bookmarkStart w:id="299" w:name="_Toc20810"/>
            <w:r>
              <w:rPr>
                <w:rFonts w:ascii="Times New Roman" w:hAnsi="Times New Roman"/>
                <w:color w:val="000000"/>
                <w:kern w:val="2"/>
                <w:sz w:val="21"/>
                <w:szCs w:val="21"/>
              </w:rPr>
              <w:t>类比法</w:t>
            </w:r>
            <w:bookmarkEnd w:id="296"/>
            <w:bookmarkEnd w:id="297"/>
            <w:bookmarkEnd w:id="298"/>
            <w:bookmarkEnd w:id="299"/>
          </w:p>
        </w:tc>
        <w:tc>
          <w:tcPr>
            <w:tcW w:w="565" w:type="pct"/>
            <w:tcBorders>
              <w:tl2br w:val="nil"/>
              <w:tr2bl w:val="nil"/>
            </w:tcBorders>
            <w:vAlign w:val="center"/>
          </w:tcPr>
          <w:p w14:paraId="0E000579">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80</w:t>
            </w:r>
          </w:p>
        </w:tc>
        <w:tc>
          <w:tcPr>
            <w:tcW w:w="412" w:type="pct"/>
            <w:tcBorders>
              <w:tl2br w:val="nil"/>
              <w:tr2bl w:val="nil"/>
            </w:tcBorders>
            <w:vAlign w:val="center"/>
          </w:tcPr>
          <w:p w14:paraId="65AD1579">
            <w:pPr>
              <w:pStyle w:val="68"/>
              <w:widowControl w:val="0"/>
              <w:spacing w:before="0" w:beforeAutospacing="0" w:after="0" w:afterAutospacing="0"/>
              <w:jc w:val="center"/>
              <w:rPr>
                <w:rFonts w:ascii="Times New Roman" w:hAnsi="Times New Roman"/>
                <w:color w:val="000000"/>
                <w:kern w:val="2"/>
                <w:sz w:val="21"/>
                <w:szCs w:val="21"/>
              </w:rPr>
            </w:pPr>
            <w:bookmarkStart w:id="300" w:name="_Toc29618"/>
            <w:bookmarkStart w:id="301" w:name="_Toc30509"/>
            <w:bookmarkStart w:id="302" w:name="_Toc9248"/>
            <w:bookmarkStart w:id="303" w:name="_Toc619"/>
            <w:r>
              <w:rPr>
                <w:rFonts w:ascii="Times New Roman" w:hAnsi="Times New Roman"/>
                <w:color w:val="000000"/>
                <w:kern w:val="2"/>
                <w:sz w:val="21"/>
                <w:szCs w:val="21"/>
              </w:rPr>
              <w:t>8000</w:t>
            </w:r>
            <w:bookmarkEnd w:id="300"/>
            <w:bookmarkEnd w:id="301"/>
            <w:bookmarkEnd w:id="302"/>
            <w:bookmarkEnd w:id="303"/>
          </w:p>
        </w:tc>
      </w:tr>
      <w:tr w14:paraId="6322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66" w:type="pct"/>
            <w:tcBorders>
              <w:tl2br w:val="nil"/>
              <w:tr2bl w:val="nil"/>
            </w:tcBorders>
            <w:vAlign w:val="center"/>
          </w:tcPr>
          <w:p w14:paraId="73455771">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氧化脱氢反应器</w:t>
            </w:r>
          </w:p>
        </w:tc>
        <w:tc>
          <w:tcPr>
            <w:tcW w:w="467" w:type="pct"/>
            <w:tcBorders>
              <w:tl2br w:val="nil"/>
              <w:tr2bl w:val="nil"/>
            </w:tcBorders>
            <w:vAlign w:val="center"/>
          </w:tcPr>
          <w:p w14:paraId="513F463D">
            <w:pPr>
              <w:pStyle w:val="68"/>
              <w:widowControl w:val="0"/>
              <w:spacing w:before="0" w:beforeAutospacing="0" w:after="0" w:afterAutospacing="0"/>
              <w:jc w:val="center"/>
              <w:rPr>
                <w:rFonts w:ascii="Times New Roman" w:hAnsi="Times New Roman"/>
                <w:color w:val="000000"/>
                <w:kern w:val="2"/>
                <w:sz w:val="21"/>
                <w:szCs w:val="21"/>
              </w:rPr>
            </w:pPr>
            <w:bookmarkStart w:id="304" w:name="_Toc13778"/>
            <w:bookmarkStart w:id="305" w:name="_Toc22574"/>
            <w:bookmarkStart w:id="306" w:name="_Toc21453"/>
            <w:bookmarkStart w:id="307" w:name="_Toc14193"/>
            <w:r>
              <w:rPr>
                <w:rFonts w:ascii="Times New Roman" w:hAnsi="Times New Roman"/>
                <w:color w:val="000000"/>
                <w:kern w:val="2"/>
                <w:sz w:val="21"/>
                <w:szCs w:val="21"/>
              </w:rPr>
              <w:t>2</w:t>
            </w:r>
            <w:bookmarkEnd w:id="304"/>
            <w:bookmarkEnd w:id="305"/>
            <w:bookmarkEnd w:id="306"/>
            <w:bookmarkEnd w:id="307"/>
          </w:p>
        </w:tc>
        <w:tc>
          <w:tcPr>
            <w:tcW w:w="380" w:type="pct"/>
            <w:tcBorders>
              <w:tl2br w:val="nil"/>
              <w:tr2bl w:val="nil"/>
            </w:tcBorders>
            <w:vAlign w:val="center"/>
          </w:tcPr>
          <w:p w14:paraId="2D835E7E">
            <w:pPr>
              <w:pStyle w:val="68"/>
              <w:widowControl w:val="0"/>
              <w:spacing w:before="0" w:beforeAutospacing="0" w:after="0" w:afterAutospacing="0"/>
              <w:jc w:val="center"/>
              <w:rPr>
                <w:rFonts w:ascii="Times New Roman" w:hAnsi="Times New Roman"/>
                <w:color w:val="000000"/>
                <w:kern w:val="2"/>
                <w:sz w:val="21"/>
                <w:szCs w:val="21"/>
              </w:rPr>
            </w:pPr>
            <w:bookmarkStart w:id="308" w:name="_Toc8144"/>
            <w:bookmarkStart w:id="309" w:name="_Toc16286"/>
            <w:bookmarkStart w:id="310" w:name="_Toc29436"/>
            <w:bookmarkStart w:id="311" w:name="_Toc30948"/>
            <w:r>
              <w:rPr>
                <w:rFonts w:ascii="Times New Roman" w:hAnsi="Times New Roman"/>
                <w:color w:val="000000"/>
                <w:kern w:val="2"/>
                <w:sz w:val="21"/>
                <w:szCs w:val="21"/>
              </w:rPr>
              <w:t>频发</w:t>
            </w:r>
            <w:bookmarkEnd w:id="308"/>
            <w:bookmarkEnd w:id="309"/>
            <w:bookmarkEnd w:id="310"/>
            <w:bookmarkEnd w:id="311"/>
          </w:p>
        </w:tc>
        <w:tc>
          <w:tcPr>
            <w:tcW w:w="501" w:type="pct"/>
            <w:tcBorders>
              <w:tl2br w:val="nil"/>
              <w:tr2bl w:val="nil"/>
            </w:tcBorders>
            <w:vAlign w:val="center"/>
          </w:tcPr>
          <w:p w14:paraId="38892BE2">
            <w:pPr>
              <w:pStyle w:val="68"/>
              <w:widowControl w:val="0"/>
              <w:spacing w:before="0" w:beforeAutospacing="0" w:after="0" w:afterAutospacing="0"/>
              <w:jc w:val="center"/>
              <w:rPr>
                <w:rFonts w:ascii="Times New Roman" w:hAnsi="Times New Roman"/>
                <w:color w:val="000000"/>
                <w:kern w:val="2"/>
                <w:sz w:val="21"/>
                <w:szCs w:val="21"/>
              </w:rPr>
            </w:pPr>
            <w:bookmarkStart w:id="312" w:name="_Toc20145"/>
            <w:bookmarkStart w:id="313" w:name="_Toc23445"/>
            <w:bookmarkStart w:id="314" w:name="_Toc15850"/>
            <w:bookmarkStart w:id="315" w:name="_Toc2951"/>
            <w:r>
              <w:rPr>
                <w:rFonts w:ascii="Times New Roman" w:hAnsi="Times New Roman"/>
                <w:color w:val="000000"/>
                <w:kern w:val="2"/>
                <w:sz w:val="21"/>
                <w:szCs w:val="21"/>
              </w:rPr>
              <w:t>类比法</w:t>
            </w:r>
            <w:bookmarkEnd w:id="312"/>
            <w:bookmarkEnd w:id="313"/>
            <w:bookmarkEnd w:id="314"/>
            <w:bookmarkEnd w:id="315"/>
          </w:p>
        </w:tc>
        <w:tc>
          <w:tcPr>
            <w:tcW w:w="547" w:type="pct"/>
            <w:tcBorders>
              <w:tl2br w:val="nil"/>
              <w:tr2bl w:val="nil"/>
            </w:tcBorders>
            <w:vAlign w:val="center"/>
          </w:tcPr>
          <w:p w14:paraId="5824A2CB">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75</w:t>
            </w:r>
          </w:p>
        </w:tc>
        <w:tc>
          <w:tcPr>
            <w:tcW w:w="393" w:type="pct"/>
            <w:vMerge w:val="continue"/>
            <w:tcBorders>
              <w:tl2br w:val="nil"/>
              <w:tr2bl w:val="nil"/>
            </w:tcBorders>
            <w:vAlign w:val="center"/>
          </w:tcPr>
          <w:p w14:paraId="0B3E79EE">
            <w:pPr>
              <w:pStyle w:val="68"/>
              <w:widowControl w:val="0"/>
              <w:spacing w:before="0" w:beforeAutospacing="0" w:after="0" w:afterAutospacing="0"/>
              <w:jc w:val="center"/>
              <w:rPr>
                <w:rFonts w:ascii="Times New Roman" w:hAnsi="Times New Roman"/>
                <w:color w:val="000000"/>
                <w:kern w:val="2"/>
                <w:sz w:val="21"/>
                <w:szCs w:val="21"/>
              </w:rPr>
            </w:pPr>
          </w:p>
        </w:tc>
        <w:tc>
          <w:tcPr>
            <w:tcW w:w="547" w:type="pct"/>
            <w:tcBorders>
              <w:tl2br w:val="nil"/>
              <w:tr2bl w:val="nil"/>
            </w:tcBorders>
            <w:vAlign w:val="center"/>
          </w:tcPr>
          <w:p w14:paraId="12B795DD">
            <w:pPr>
              <w:pStyle w:val="68"/>
              <w:widowControl w:val="0"/>
              <w:spacing w:before="0" w:beforeAutospacing="0" w:after="0" w:afterAutospacing="0"/>
              <w:jc w:val="center"/>
              <w:rPr>
                <w:rFonts w:ascii="Times New Roman" w:hAnsi="Times New Roman"/>
                <w:color w:val="000000"/>
                <w:kern w:val="2"/>
                <w:sz w:val="21"/>
                <w:szCs w:val="21"/>
              </w:rPr>
            </w:pPr>
            <w:bookmarkStart w:id="316" w:name="_Toc25195"/>
            <w:bookmarkStart w:id="317" w:name="_Toc26754"/>
            <w:bookmarkStart w:id="318" w:name="_Toc30333"/>
            <w:bookmarkStart w:id="319" w:name="_Toc11149"/>
            <w:r>
              <w:rPr>
                <w:rFonts w:ascii="Times New Roman" w:hAnsi="Times New Roman"/>
                <w:color w:val="000000"/>
                <w:kern w:val="2"/>
                <w:sz w:val="21"/>
                <w:szCs w:val="21"/>
              </w:rPr>
              <w:t>20</w:t>
            </w:r>
            <w:bookmarkEnd w:id="316"/>
            <w:bookmarkEnd w:id="317"/>
            <w:bookmarkEnd w:id="318"/>
            <w:bookmarkEnd w:id="319"/>
          </w:p>
        </w:tc>
        <w:tc>
          <w:tcPr>
            <w:tcW w:w="518" w:type="pct"/>
            <w:tcBorders>
              <w:tl2br w:val="nil"/>
              <w:tr2bl w:val="nil"/>
            </w:tcBorders>
            <w:vAlign w:val="center"/>
          </w:tcPr>
          <w:p w14:paraId="02C9C7AE">
            <w:pPr>
              <w:pStyle w:val="68"/>
              <w:widowControl w:val="0"/>
              <w:spacing w:before="0" w:beforeAutospacing="0" w:after="0" w:afterAutospacing="0"/>
              <w:jc w:val="center"/>
              <w:rPr>
                <w:rFonts w:ascii="Times New Roman" w:hAnsi="Times New Roman"/>
                <w:color w:val="000000"/>
                <w:kern w:val="2"/>
                <w:sz w:val="21"/>
                <w:szCs w:val="21"/>
              </w:rPr>
            </w:pPr>
            <w:bookmarkStart w:id="320" w:name="_Toc16387"/>
            <w:bookmarkStart w:id="321" w:name="_Toc27062"/>
            <w:bookmarkStart w:id="322" w:name="_Toc10459"/>
            <w:bookmarkStart w:id="323" w:name="_Toc19566"/>
            <w:r>
              <w:rPr>
                <w:rFonts w:ascii="Times New Roman" w:hAnsi="Times New Roman"/>
                <w:color w:val="000000"/>
                <w:kern w:val="2"/>
                <w:sz w:val="21"/>
                <w:szCs w:val="21"/>
              </w:rPr>
              <w:t>类比法</w:t>
            </w:r>
            <w:bookmarkEnd w:id="320"/>
            <w:bookmarkEnd w:id="321"/>
            <w:bookmarkEnd w:id="322"/>
            <w:bookmarkEnd w:id="323"/>
          </w:p>
        </w:tc>
        <w:tc>
          <w:tcPr>
            <w:tcW w:w="565" w:type="pct"/>
            <w:tcBorders>
              <w:tl2br w:val="nil"/>
              <w:tr2bl w:val="nil"/>
            </w:tcBorders>
            <w:vAlign w:val="center"/>
          </w:tcPr>
          <w:p w14:paraId="1AA21F3A">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55</w:t>
            </w:r>
          </w:p>
        </w:tc>
        <w:tc>
          <w:tcPr>
            <w:tcW w:w="412" w:type="pct"/>
            <w:tcBorders>
              <w:tl2br w:val="nil"/>
              <w:tr2bl w:val="nil"/>
            </w:tcBorders>
            <w:vAlign w:val="center"/>
          </w:tcPr>
          <w:p w14:paraId="44AFB4D4">
            <w:pPr>
              <w:pStyle w:val="68"/>
              <w:widowControl w:val="0"/>
              <w:spacing w:before="0" w:beforeAutospacing="0" w:after="0" w:afterAutospacing="0"/>
              <w:jc w:val="center"/>
              <w:rPr>
                <w:rFonts w:ascii="Times New Roman" w:hAnsi="Times New Roman"/>
                <w:color w:val="000000"/>
                <w:kern w:val="2"/>
                <w:sz w:val="21"/>
                <w:szCs w:val="21"/>
              </w:rPr>
            </w:pPr>
            <w:bookmarkStart w:id="324" w:name="_Toc19872"/>
            <w:bookmarkStart w:id="325" w:name="_Toc26037"/>
            <w:bookmarkStart w:id="326" w:name="_Toc30831"/>
            <w:bookmarkStart w:id="327" w:name="_Toc9214"/>
            <w:r>
              <w:rPr>
                <w:rFonts w:ascii="Times New Roman" w:hAnsi="Times New Roman"/>
                <w:color w:val="000000"/>
                <w:kern w:val="2"/>
                <w:sz w:val="21"/>
                <w:szCs w:val="21"/>
              </w:rPr>
              <w:t>8000</w:t>
            </w:r>
            <w:bookmarkEnd w:id="324"/>
            <w:bookmarkEnd w:id="325"/>
            <w:bookmarkEnd w:id="326"/>
            <w:bookmarkEnd w:id="327"/>
          </w:p>
        </w:tc>
      </w:tr>
      <w:tr w14:paraId="6697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66" w:type="pct"/>
            <w:tcBorders>
              <w:tl2br w:val="nil"/>
              <w:tr2bl w:val="nil"/>
            </w:tcBorders>
            <w:vAlign w:val="center"/>
          </w:tcPr>
          <w:p w14:paraId="35BC1413">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深度脱氢反应器</w:t>
            </w:r>
          </w:p>
        </w:tc>
        <w:tc>
          <w:tcPr>
            <w:tcW w:w="467" w:type="pct"/>
            <w:tcBorders>
              <w:tl2br w:val="nil"/>
              <w:tr2bl w:val="nil"/>
            </w:tcBorders>
            <w:vAlign w:val="center"/>
          </w:tcPr>
          <w:p w14:paraId="727AD377">
            <w:pPr>
              <w:pStyle w:val="68"/>
              <w:widowControl w:val="0"/>
              <w:spacing w:before="0" w:beforeAutospacing="0" w:after="0" w:afterAutospacing="0"/>
              <w:jc w:val="center"/>
              <w:rPr>
                <w:rFonts w:ascii="Times New Roman" w:hAnsi="Times New Roman"/>
                <w:color w:val="000000"/>
                <w:kern w:val="2"/>
                <w:sz w:val="21"/>
                <w:szCs w:val="21"/>
              </w:rPr>
            </w:pPr>
            <w:bookmarkStart w:id="328" w:name="_Toc17673"/>
            <w:bookmarkStart w:id="329" w:name="_Toc3333"/>
            <w:bookmarkStart w:id="330" w:name="_Toc15054"/>
            <w:bookmarkStart w:id="331" w:name="_Toc31559"/>
            <w:r>
              <w:rPr>
                <w:rFonts w:ascii="Times New Roman" w:hAnsi="Times New Roman"/>
                <w:color w:val="000000"/>
                <w:kern w:val="2"/>
                <w:sz w:val="21"/>
                <w:szCs w:val="21"/>
              </w:rPr>
              <w:t>2</w:t>
            </w:r>
            <w:bookmarkEnd w:id="328"/>
            <w:bookmarkEnd w:id="329"/>
            <w:bookmarkEnd w:id="330"/>
            <w:bookmarkEnd w:id="331"/>
          </w:p>
        </w:tc>
        <w:tc>
          <w:tcPr>
            <w:tcW w:w="380" w:type="pct"/>
            <w:tcBorders>
              <w:tl2br w:val="nil"/>
              <w:tr2bl w:val="nil"/>
            </w:tcBorders>
            <w:vAlign w:val="center"/>
          </w:tcPr>
          <w:p w14:paraId="0DE61B36">
            <w:pPr>
              <w:pStyle w:val="68"/>
              <w:widowControl w:val="0"/>
              <w:spacing w:before="0" w:beforeAutospacing="0" w:after="0" w:afterAutospacing="0"/>
              <w:jc w:val="center"/>
              <w:rPr>
                <w:rFonts w:ascii="Times New Roman" w:hAnsi="Times New Roman"/>
                <w:color w:val="000000"/>
                <w:kern w:val="2"/>
                <w:sz w:val="21"/>
                <w:szCs w:val="21"/>
              </w:rPr>
            </w:pPr>
            <w:bookmarkStart w:id="332" w:name="_Toc21943"/>
            <w:bookmarkStart w:id="333" w:name="_Toc20959"/>
            <w:bookmarkStart w:id="334" w:name="_Toc7965"/>
            <w:bookmarkStart w:id="335" w:name="_Toc23202"/>
            <w:r>
              <w:rPr>
                <w:rFonts w:ascii="Times New Roman" w:hAnsi="Times New Roman"/>
                <w:color w:val="000000"/>
                <w:kern w:val="2"/>
                <w:sz w:val="21"/>
                <w:szCs w:val="21"/>
              </w:rPr>
              <w:t>频发</w:t>
            </w:r>
            <w:bookmarkEnd w:id="332"/>
            <w:bookmarkEnd w:id="333"/>
            <w:bookmarkEnd w:id="334"/>
            <w:bookmarkEnd w:id="335"/>
          </w:p>
        </w:tc>
        <w:tc>
          <w:tcPr>
            <w:tcW w:w="501" w:type="pct"/>
            <w:tcBorders>
              <w:tl2br w:val="nil"/>
              <w:tr2bl w:val="nil"/>
            </w:tcBorders>
            <w:vAlign w:val="center"/>
          </w:tcPr>
          <w:p w14:paraId="4AEE4D67">
            <w:pPr>
              <w:pStyle w:val="68"/>
              <w:widowControl w:val="0"/>
              <w:spacing w:before="0" w:beforeAutospacing="0" w:after="0" w:afterAutospacing="0"/>
              <w:jc w:val="center"/>
              <w:rPr>
                <w:rFonts w:ascii="Times New Roman" w:hAnsi="Times New Roman"/>
                <w:color w:val="000000"/>
                <w:kern w:val="2"/>
                <w:sz w:val="21"/>
                <w:szCs w:val="21"/>
              </w:rPr>
            </w:pPr>
            <w:bookmarkStart w:id="336" w:name="_Toc4780"/>
            <w:bookmarkStart w:id="337" w:name="_Toc14201"/>
            <w:bookmarkStart w:id="338" w:name="_Toc21791"/>
            <w:bookmarkStart w:id="339" w:name="_Toc2237"/>
            <w:r>
              <w:rPr>
                <w:rFonts w:ascii="Times New Roman" w:hAnsi="Times New Roman"/>
                <w:color w:val="000000"/>
                <w:kern w:val="2"/>
                <w:sz w:val="21"/>
                <w:szCs w:val="21"/>
              </w:rPr>
              <w:t>类比法</w:t>
            </w:r>
            <w:bookmarkEnd w:id="336"/>
            <w:bookmarkEnd w:id="337"/>
            <w:bookmarkEnd w:id="338"/>
            <w:bookmarkEnd w:id="339"/>
          </w:p>
        </w:tc>
        <w:tc>
          <w:tcPr>
            <w:tcW w:w="547" w:type="pct"/>
            <w:tcBorders>
              <w:tl2br w:val="nil"/>
              <w:tr2bl w:val="nil"/>
            </w:tcBorders>
            <w:vAlign w:val="center"/>
          </w:tcPr>
          <w:p w14:paraId="62AD1593">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75</w:t>
            </w:r>
          </w:p>
        </w:tc>
        <w:tc>
          <w:tcPr>
            <w:tcW w:w="393" w:type="pct"/>
            <w:vMerge w:val="continue"/>
            <w:tcBorders>
              <w:tl2br w:val="nil"/>
              <w:tr2bl w:val="nil"/>
            </w:tcBorders>
            <w:vAlign w:val="center"/>
          </w:tcPr>
          <w:p w14:paraId="3ED47E0F">
            <w:pPr>
              <w:pStyle w:val="68"/>
              <w:widowControl w:val="0"/>
              <w:spacing w:before="0" w:beforeAutospacing="0" w:after="0" w:afterAutospacing="0"/>
              <w:jc w:val="center"/>
              <w:rPr>
                <w:rFonts w:ascii="Times New Roman" w:hAnsi="Times New Roman"/>
                <w:color w:val="000000"/>
                <w:kern w:val="2"/>
                <w:sz w:val="21"/>
                <w:szCs w:val="21"/>
              </w:rPr>
            </w:pPr>
          </w:p>
        </w:tc>
        <w:tc>
          <w:tcPr>
            <w:tcW w:w="547" w:type="pct"/>
            <w:tcBorders>
              <w:tl2br w:val="nil"/>
              <w:tr2bl w:val="nil"/>
            </w:tcBorders>
            <w:vAlign w:val="center"/>
          </w:tcPr>
          <w:p w14:paraId="518969B8">
            <w:pPr>
              <w:pStyle w:val="68"/>
              <w:widowControl w:val="0"/>
              <w:spacing w:before="0" w:beforeAutospacing="0" w:after="0" w:afterAutospacing="0"/>
              <w:jc w:val="center"/>
              <w:rPr>
                <w:rFonts w:ascii="Times New Roman" w:hAnsi="Times New Roman"/>
                <w:color w:val="000000"/>
                <w:kern w:val="2"/>
                <w:sz w:val="21"/>
                <w:szCs w:val="21"/>
              </w:rPr>
            </w:pPr>
            <w:bookmarkStart w:id="340" w:name="_Toc11851"/>
            <w:bookmarkStart w:id="341" w:name="_Toc21720"/>
            <w:bookmarkStart w:id="342" w:name="_Toc1338"/>
            <w:bookmarkStart w:id="343" w:name="_Toc18716"/>
            <w:r>
              <w:rPr>
                <w:rFonts w:ascii="Times New Roman" w:hAnsi="Times New Roman"/>
                <w:color w:val="000000"/>
                <w:kern w:val="2"/>
                <w:sz w:val="21"/>
                <w:szCs w:val="21"/>
              </w:rPr>
              <w:t>20</w:t>
            </w:r>
            <w:bookmarkEnd w:id="340"/>
            <w:bookmarkEnd w:id="341"/>
            <w:bookmarkEnd w:id="342"/>
            <w:bookmarkEnd w:id="343"/>
          </w:p>
        </w:tc>
        <w:tc>
          <w:tcPr>
            <w:tcW w:w="518" w:type="pct"/>
            <w:tcBorders>
              <w:tl2br w:val="nil"/>
              <w:tr2bl w:val="nil"/>
            </w:tcBorders>
            <w:vAlign w:val="center"/>
          </w:tcPr>
          <w:p w14:paraId="13D8C4A9">
            <w:pPr>
              <w:pStyle w:val="68"/>
              <w:widowControl w:val="0"/>
              <w:spacing w:before="0" w:beforeAutospacing="0" w:after="0" w:afterAutospacing="0"/>
              <w:jc w:val="center"/>
              <w:rPr>
                <w:rFonts w:ascii="Times New Roman" w:hAnsi="Times New Roman"/>
                <w:color w:val="000000"/>
                <w:kern w:val="2"/>
                <w:sz w:val="21"/>
                <w:szCs w:val="21"/>
              </w:rPr>
            </w:pPr>
            <w:bookmarkStart w:id="344" w:name="_Toc6790"/>
            <w:bookmarkStart w:id="345" w:name="_Toc12206"/>
            <w:bookmarkStart w:id="346" w:name="_Toc28715"/>
            <w:bookmarkStart w:id="347" w:name="_Toc17780"/>
            <w:r>
              <w:rPr>
                <w:rFonts w:ascii="Times New Roman" w:hAnsi="Times New Roman"/>
                <w:color w:val="000000"/>
                <w:kern w:val="2"/>
                <w:sz w:val="21"/>
                <w:szCs w:val="21"/>
              </w:rPr>
              <w:t>类比法</w:t>
            </w:r>
            <w:bookmarkEnd w:id="344"/>
            <w:bookmarkEnd w:id="345"/>
            <w:bookmarkEnd w:id="346"/>
            <w:bookmarkEnd w:id="347"/>
          </w:p>
        </w:tc>
        <w:tc>
          <w:tcPr>
            <w:tcW w:w="565" w:type="pct"/>
            <w:tcBorders>
              <w:tl2br w:val="nil"/>
              <w:tr2bl w:val="nil"/>
            </w:tcBorders>
            <w:vAlign w:val="center"/>
          </w:tcPr>
          <w:p w14:paraId="7113E848">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55</w:t>
            </w:r>
          </w:p>
        </w:tc>
        <w:tc>
          <w:tcPr>
            <w:tcW w:w="412" w:type="pct"/>
            <w:tcBorders>
              <w:tl2br w:val="nil"/>
              <w:tr2bl w:val="nil"/>
            </w:tcBorders>
            <w:vAlign w:val="center"/>
          </w:tcPr>
          <w:p w14:paraId="7126EA91">
            <w:pPr>
              <w:pStyle w:val="68"/>
              <w:widowControl w:val="0"/>
              <w:spacing w:before="0" w:beforeAutospacing="0" w:after="0" w:afterAutospacing="0"/>
              <w:jc w:val="center"/>
              <w:rPr>
                <w:rFonts w:ascii="Times New Roman" w:hAnsi="Times New Roman"/>
                <w:color w:val="000000"/>
                <w:kern w:val="2"/>
                <w:sz w:val="21"/>
                <w:szCs w:val="21"/>
              </w:rPr>
            </w:pPr>
            <w:bookmarkStart w:id="348" w:name="_Toc23145"/>
            <w:bookmarkStart w:id="349" w:name="_Toc9483"/>
            <w:bookmarkStart w:id="350" w:name="_Toc6941"/>
            <w:bookmarkStart w:id="351" w:name="_Toc12343"/>
            <w:r>
              <w:rPr>
                <w:rFonts w:ascii="Times New Roman" w:hAnsi="Times New Roman"/>
                <w:color w:val="000000"/>
                <w:kern w:val="2"/>
                <w:sz w:val="21"/>
                <w:szCs w:val="21"/>
              </w:rPr>
              <w:t>8000</w:t>
            </w:r>
            <w:bookmarkEnd w:id="348"/>
            <w:bookmarkEnd w:id="349"/>
            <w:bookmarkEnd w:id="350"/>
            <w:bookmarkEnd w:id="351"/>
          </w:p>
        </w:tc>
      </w:tr>
      <w:tr w14:paraId="3FBC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66" w:type="pct"/>
            <w:tcBorders>
              <w:tl2br w:val="nil"/>
              <w:tr2bl w:val="nil"/>
            </w:tcBorders>
            <w:vAlign w:val="center"/>
          </w:tcPr>
          <w:p w14:paraId="04C957A3">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真空泵</w:t>
            </w:r>
          </w:p>
        </w:tc>
        <w:tc>
          <w:tcPr>
            <w:tcW w:w="467" w:type="pct"/>
            <w:tcBorders>
              <w:tl2br w:val="nil"/>
              <w:tr2bl w:val="nil"/>
            </w:tcBorders>
            <w:vAlign w:val="center"/>
          </w:tcPr>
          <w:p w14:paraId="1D72BC51">
            <w:pPr>
              <w:pStyle w:val="68"/>
              <w:widowControl w:val="0"/>
              <w:spacing w:before="0" w:beforeAutospacing="0" w:after="0" w:afterAutospacing="0"/>
              <w:jc w:val="center"/>
              <w:rPr>
                <w:rFonts w:ascii="Times New Roman" w:hAnsi="Times New Roman"/>
                <w:color w:val="000000"/>
                <w:kern w:val="2"/>
                <w:sz w:val="21"/>
                <w:szCs w:val="21"/>
              </w:rPr>
            </w:pPr>
            <w:bookmarkStart w:id="352" w:name="_Toc23322"/>
            <w:bookmarkStart w:id="353" w:name="_Toc32369"/>
            <w:bookmarkStart w:id="354" w:name="_Toc3703"/>
            <w:bookmarkStart w:id="355" w:name="_Toc32042"/>
            <w:r>
              <w:rPr>
                <w:rFonts w:ascii="Times New Roman" w:hAnsi="Times New Roman"/>
                <w:color w:val="000000"/>
                <w:kern w:val="2"/>
                <w:sz w:val="21"/>
                <w:szCs w:val="21"/>
              </w:rPr>
              <w:t>6</w:t>
            </w:r>
            <w:bookmarkEnd w:id="352"/>
            <w:bookmarkEnd w:id="353"/>
            <w:bookmarkEnd w:id="354"/>
            <w:bookmarkEnd w:id="355"/>
          </w:p>
        </w:tc>
        <w:tc>
          <w:tcPr>
            <w:tcW w:w="380" w:type="pct"/>
            <w:tcBorders>
              <w:tl2br w:val="nil"/>
              <w:tr2bl w:val="nil"/>
            </w:tcBorders>
            <w:vAlign w:val="center"/>
          </w:tcPr>
          <w:p w14:paraId="39F40289">
            <w:pPr>
              <w:pStyle w:val="68"/>
              <w:widowControl w:val="0"/>
              <w:spacing w:before="0" w:beforeAutospacing="0" w:after="0" w:afterAutospacing="0"/>
              <w:jc w:val="center"/>
              <w:rPr>
                <w:rFonts w:ascii="Times New Roman" w:hAnsi="Times New Roman"/>
                <w:color w:val="000000"/>
                <w:kern w:val="2"/>
                <w:sz w:val="21"/>
                <w:szCs w:val="21"/>
              </w:rPr>
            </w:pPr>
            <w:bookmarkStart w:id="356" w:name="_Toc20633"/>
            <w:bookmarkStart w:id="357" w:name="_Toc4222"/>
            <w:bookmarkStart w:id="358" w:name="_Toc25564"/>
            <w:bookmarkStart w:id="359" w:name="_Toc26492"/>
            <w:r>
              <w:rPr>
                <w:rFonts w:ascii="Times New Roman" w:hAnsi="Times New Roman"/>
                <w:color w:val="000000"/>
                <w:kern w:val="2"/>
                <w:sz w:val="21"/>
                <w:szCs w:val="21"/>
              </w:rPr>
              <w:t>频发</w:t>
            </w:r>
            <w:bookmarkEnd w:id="356"/>
            <w:bookmarkEnd w:id="357"/>
            <w:bookmarkEnd w:id="358"/>
            <w:bookmarkEnd w:id="359"/>
          </w:p>
        </w:tc>
        <w:tc>
          <w:tcPr>
            <w:tcW w:w="501" w:type="pct"/>
            <w:tcBorders>
              <w:tl2br w:val="nil"/>
              <w:tr2bl w:val="nil"/>
            </w:tcBorders>
            <w:vAlign w:val="center"/>
          </w:tcPr>
          <w:p w14:paraId="1633CCC2">
            <w:pPr>
              <w:pStyle w:val="68"/>
              <w:widowControl w:val="0"/>
              <w:spacing w:before="0" w:beforeAutospacing="0" w:after="0" w:afterAutospacing="0"/>
              <w:jc w:val="center"/>
              <w:rPr>
                <w:rFonts w:ascii="Times New Roman" w:hAnsi="Times New Roman"/>
                <w:color w:val="000000"/>
                <w:kern w:val="2"/>
                <w:sz w:val="21"/>
                <w:szCs w:val="21"/>
              </w:rPr>
            </w:pPr>
            <w:bookmarkStart w:id="360" w:name="_Toc21568"/>
            <w:bookmarkStart w:id="361" w:name="_Toc17540"/>
            <w:bookmarkStart w:id="362" w:name="_Toc16763"/>
            <w:bookmarkStart w:id="363" w:name="_Toc8279"/>
            <w:r>
              <w:rPr>
                <w:rFonts w:ascii="Times New Roman" w:hAnsi="Times New Roman"/>
                <w:color w:val="000000"/>
                <w:kern w:val="2"/>
                <w:sz w:val="21"/>
                <w:szCs w:val="21"/>
              </w:rPr>
              <w:t>类比法</w:t>
            </w:r>
            <w:bookmarkEnd w:id="360"/>
            <w:bookmarkEnd w:id="361"/>
            <w:bookmarkEnd w:id="362"/>
            <w:bookmarkEnd w:id="363"/>
          </w:p>
        </w:tc>
        <w:tc>
          <w:tcPr>
            <w:tcW w:w="547" w:type="pct"/>
            <w:tcBorders>
              <w:tl2br w:val="nil"/>
              <w:tr2bl w:val="nil"/>
            </w:tcBorders>
            <w:vAlign w:val="center"/>
          </w:tcPr>
          <w:p w14:paraId="4A677796">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80</w:t>
            </w:r>
          </w:p>
        </w:tc>
        <w:tc>
          <w:tcPr>
            <w:tcW w:w="393" w:type="pct"/>
            <w:vMerge w:val="continue"/>
            <w:tcBorders>
              <w:tl2br w:val="nil"/>
              <w:tr2bl w:val="nil"/>
            </w:tcBorders>
            <w:vAlign w:val="center"/>
          </w:tcPr>
          <w:p w14:paraId="69E0AB06">
            <w:pPr>
              <w:pStyle w:val="68"/>
              <w:widowControl w:val="0"/>
              <w:spacing w:before="0" w:beforeAutospacing="0" w:after="0" w:afterAutospacing="0"/>
              <w:jc w:val="center"/>
              <w:rPr>
                <w:rFonts w:ascii="Times New Roman" w:hAnsi="Times New Roman"/>
                <w:color w:val="000000"/>
                <w:kern w:val="2"/>
                <w:sz w:val="21"/>
                <w:szCs w:val="21"/>
              </w:rPr>
            </w:pPr>
          </w:p>
        </w:tc>
        <w:tc>
          <w:tcPr>
            <w:tcW w:w="547" w:type="pct"/>
            <w:tcBorders>
              <w:tl2br w:val="nil"/>
              <w:tr2bl w:val="nil"/>
            </w:tcBorders>
            <w:vAlign w:val="center"/>
          </w:tcPr>
          <w:p w14:paraId="48FAC090">
            <w:pPr>
              <w:pStyle w:val="68"/>
              <w:widowControl w:val="0"/>
              <w:spacing w:before="0" w:beforeAutospacing="0" w:after="0" w:afterAutospacing="0"/>
              <w:jc w:val="center"/>
              <w:rPr>
                <w:rFonts w:ascii="Times New Roman" w:hAnsi="Times New Roman"/>
                <w:color w:val="000000"/>
                <w:kern w:val="2"/>
                <w:sz w:val="21"/>
                <w:szCs w:val="21"/>
              </w:rPr>
            </w:pPr>
            <w:bookmarkStart w:id="364" w:name="_Toc10801"/>
            <w:bookmarkStart w:id="365" w:name="_Toc25973"/>
            <w:bookmarkStart w:id="366" w:name="_Toc8069"/>
            <w:bookmarkStart w:id="367" w:name="_Toc16239"/>
            <w:r>
              <w:rPr>
                <w:rFonts w:ascii="Times New Roman" w:hAnsi="Times New Roman"/>
                <w:color w:val="000000"/>
                <w:kern w:val="2"/>
                <w:sz w:val="21"/>
                <w:szCs w:val="21"/>
              </w:rPr>
              <w:t>20</w:t>
            </w:r>
            <w:bookmarkEnd w:id="364"/>
            <w:bookmarkEnd w:id="365"/>
            <w:bookmarkEnd w:id="366"/>
            <w:bookmarkEnd w:id="367"/>
          </w:p>
        </w:tc>
        <w:tc>
          <w:tcPr>
            <w:tcW w:w="518" w:type="pct"/>
            <w:tcBorders>
              <w:tl2br w:val="nil"/>
              <w:tr2bl w:val="nil"/>
            </w:tcBorders>
            <w:vAlign w:val="center"/>
          </w:tcPr>
          <w:p w14:paraId="013EDCBB">
            <w:pPr>
              <w:pStyle w:val="68"/>
              <w:widowControl w:val="0"/>
              <w:spacing w:before="0" w:beforeAutospacing="0" w:after="0" w:afterAutospacing="0"/>
              <w:jc w:val="center"/>
              <w:rPr>
                <w:rFonts w:ascii="Times New Roman" w:hAnsi="Times New Roman"/>
                <w:color w:val="000000"/>
                <w:kern w:val="2"/>
                <w:sz w:val="21"/>
                <w:szCs w:val="21"/>
              </w:rPr>
            </w:pPr>
            <w:bookmarkStart w:id="368" w:name="_Toc11544"/>
            <w:bookmarkStart w:id="369" w:name="_Toc24223"/>
            <w:bookmarkStart w:id="370" w:name="_Toc18571"/>
            <w:bookmarkStart w:id="371" w:name="_Toc17442"/>
            <w:r>
              <w:rPr>
                <w:rFonts w:ascii="Times New Roman" w:hAnsi="Times New Roman"/>
                <w:color w:val="000000"/>
                <w:kern w:val="2"/>
                <w:sz w:val="21"/>
                <w:szCs w:val="21"/>
              </w:rPr>
              <w:t>类比法</w:t>
            </w:r>
            <w:bookmarkEnd w:id="368"/>
            <w:bookmarkEnd w:id="369"/>
            <w:bookmarkEnd w:id="370"/>
            <w:bookmarkEnd w:id="371"/>
          </w:p>
        </w:tc>
        <w:tc>
          <w:tcPr>
            <w:tcW w:w="565" w:type="pct"/>
            <w:tcBorders>
              <w:tl2br w:val="nil"/>
              <w:tr2bl w:val="nil"/>
            </w:tcBorders>
            <w:vAlign w:val="center"/>
          </w:tcPr>
          <w:p w14:paraId="45DA8661">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60</w:t>
            </w:r>
          </w:p>
        </w:tc>
        <w:tc>
          <w:tcPr>
            <w:tcW w:w="412" w:type="pct"/>
            <w:tcBorders>
              <w:tl2br w:val="nil"/>
              <w:tr2bl w:val="nil"/>
            </w:tcBorders>
            <w:vAlign w:val="center"/>
          </w:tcPr>
          <w:p w14:paraId="29A7244D">
            <w:pPr>
              <w:pStyle w:val="68"/>
              <w:widowControl w:val="0"/>
              <w:spacing w:before="0" w:beforeAutospacing="0" w:after="0" w:afterAutospacing="0"/>
              <w:jc w:val="center"/>
              <w:rPr>
                <w:rFonts w:ascii="Times New Roman" w:hAnsi="Times New Roman"/>
                <w:color w:val="000000"/>
                <w:kern w:val="2"/>
                <w:sz w:val="21"/>
                <w:szCs w:val="21"/>
              </w:rPr>
            </w:pPr>
            <w:bookmarkStart w:id="372" w:name="_Toc25790"/>
            <w:bookmarkStart w:id="373" w:name="_Toc16198"/>
            <w:bookmarkStart w:id="374" w:name="_Toc19595"/>
            <w:bookmarkStart w:id="375" w:name="_Toc13607"/>
            <w:r>
              <w:rPr>
                <w:rFonts w:ascii="Times New Roman" w:hAnsi="Times New Roman"/>
                <w:color w:val="000000"/>
                <w:kern w:val="2"/>
                <w:sz w:val="21"/>
                <w:szCs w:val="21"/>
              </w:rPr>
              <w:t>8000</w:t>
            </w:r>
            <w:bookmarkEnd w:id="372"/>
            <w:bookmarkEnd w:id="373"/>
            <w:bookmarkEnd w:id="374"/>
            <w:bookmarkEnd w:id="375"/>
          </w:p>
        </w:tc>
      </w:tr>
      <w:tr w14:paraId="7ABE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66" w:type="pct"/>
            <w:tcBorders>
              <w:tl2br w:val="nil"/>
              <w:tr2bl w:val="nil"/>
            </w:tcBorders>
            <w:vAlign w:val="center"/>
          </w:tcPr>
          <w:p w14:paraId="2F193D02">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增压机（压缩机）</w:t>
            </w:r>
          </w:p>
        </w:tc>
        <w:tc>
          <w:tcPr>
            <w:tcW w:w="467" w:type="pct"/>
            <w:tcBorders>
              <w:tl2br w:val="nil"/>
              <w:tr2bl w:val="nil"/>
            </w:tcBorders>
            <w:vAlign w:val="center"/>
          </w:tcPr>
          <w:p w14:paraId="04574551">
            <w:pPr>
              <w:pStyle w:val="68"/>
              <w:widowControl w:val="0"/>
              <w:spacing w:before="0" w:beforeAutospacing="0" w:after="0" w:afterAutospacing="0"/>
              <w:jc w:val="center"/>
              <w:rPr>
                <w:rFonts w:ascii="Times New Roman" w:hAnsi="Times New Roman"/>
                <w:color w:val="000000"/>
                <w:kern w:val="2"/>
                <w:sz w:val="21"/>
                <w:szCs w:val="21"/>
              </w:rPr>
            </w:pPr>
            <w:bookmarkStart w:id="376" w:name="_Toc21250"/>
            <w:bookmarkStart w:id="377" w:name="_Toc31682"/>
            <w:bookmarkStart w:id="378" w:name="_Toc14542"/>
            <w:bookmarkStart w:id="379" w:name="_Toc346"/>
            <w:r>
              <w:rPr>
                <w:rFonts w:ascii="Times New Roman" w:hAnsi="Times New Roman"/>
                <w:color w:val="000000"/>
                <w:kern w:val="2"/>
                <w:sz w:val="21"/>
                <w:szCs w:val="21"/>
              </w:rPr>
              <w:t>4</w:t>
            </w:r>
            <w:bookmarkEnd w:id="376"/>
            <w:bookmarkEnd w:id="377"/>
            <w:bookmarkEnd w:id="378"/>
            <w:bookmarkEnd w:id="379"/>
          </w:p>
        </w:tc>
        <w:tc>
          <w:tcPr>
            <w:tcW w:w="380" w:type="pct"/>
            <w:tcBorders>
              <w:tl2br w:val="nil"/>
              <w:tr2bl w:val="nil"/>
            </w:tcBorders>
            <w:vAlign w:val="center"/>
          </w:tcPr>
          <w:p w14:paraId="757A5708">
            <w:pPr>
              <w:pStyle w:val="68"/>
              <w:widowControl w:val="0"/>
              <w:spacing w:before="0" w:beforeAutospacing="0" w:after="0" w:afterAutospacing="0"/>
              <w:jc w:val="center"/>
              <w:rPr>
                <w:rFonts w:ascii="Times New Roman" w:hAnsi="Times New Roman"/>
                <w:color w:val="000000"/>
                <w:kern w:val="2"/>
                <w:sz w:val="21"/>
                <w:szCs w:val="21"/>
              </w:rPr>
            </w:pPr>
            <w:bookmarkStart w:id="380" w:name="_Toc21291"/>
            <w:bookmarkStart w:id="381" w:name="_Toc29428"/>
            <w:bookmarkStart w:id="382" w:name="_Toc22369"/>
            <w:bookmarkStart w:id="383" w:name="_Toc7816"/>
            <w:r>
              <w:rPr>
                <w:rFonts w:ascii="Times New Roman" w:hAnsi="Times New Roman"/>
                <w:color w:val="000000"/>
                <w:kern w:val="2"/>
                <w:sz w:val="21"/>
                <w:szCs w:val="21"/>
              </w:rPr>
              <w:t>频发</w:t>
            </w:r>
            <w:bookmarkEnd w:id="380"/>
            <w:bookmarkEnd w:id="381"/>
            <w:bookmarkEnd w:id="382"/>
            <w:bookmarkEnd w:id="383"/>
          </w:p>
        </w:tc>
        <w:tc>
          <w:tcPr>
            <w:tcW w:w="501" w:type="pct"/>
            <w:tcBorders>
              <w:tl2br w:val="nil"/>
              <w:tr2bl w:val="nil"/>
            </w:tcBorders>
            <w:vAlign w:val="center"/>
          </w:tcPr>
          <w:p w14:paraId="29FEB031">
            <w:pPr>
              <w:pStyle w:val="68"/>
              <w:widowControl w:val="0"/>
              <w:spacing w:before="0" w:beforeAutospacing="0" w:after="0" w:afterAutospacing="0"/>
              <w:jc w:val="center"/>
              <w:rPr>
                <w:rFonts w:ascii="Times New Roman" w:hAnsi="Times New Roman"/>
                <w:color w:val="000000"/>
                <w:kern w:val="2"/>
                <w:sz w:val="21"/>
                <w:szCs w:val="21"/>
              </w:rPr>
            </w:pPr>
            <w:bookmarkStart w:id="384" w:name="_Toc6581"/>
            <w:bookmarkStart w:id="385" w:name="_Toc2769"/>
            <w:bookmarkStart w:id="386" w:name="_Toc14111"/>
            <w:bookmarkStart w:id="387" w:name="_Toc13840"/>
            <w:r>
              <w:rPr>
                <w:rFonts w:ascii="Times New Roman" w:hAnsi="Times New Roman"/>
                <w:color w:val="000000"/>
                <w:kern w:val="2"/>
                <w:sz w:val="21"/>
                <w:szCs w:val="21"/>
              </w:rPr>
              <w:t>类比法</w:t>
            </w:r>
            <w:bookmarkEnd w:id="384"/>
            <w:bookmarkEnd w:id="385"/>
            <w:bookmarkEnd w:id="386"/>
            <w:bookmarkEnd w:id="387"/>
          </w:p>
        </w:tc>
        <w:tc>
          <w:tcPr>
            <w:tcW w:w="547" w:type="pct"/>
            <w:tcBorders>
              <w:tl2br w:val="nil"/>
              <w:tr2bl w:val="nil"/>
            </w:tcBorders>
            <w:vAlign w:val="center"/>
          </w:tcPr>
          <w:p w14:paraId="17088DD3">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90</w:t>
            </w:r>
          </w:p>
        </w:tc>
        <w:tc>
          <w:tcPr>
            <w:tcW w:w="393" w:type="pct"/>
            <w:vMerge w:val="continue"/>
            <w:tcBorders>
              <w:tl2br w:val="nil"/>
              <w:tr2bl w:val="nil"/>
            </w:tcBorders>
            <w:vAlign w:val="center"/>
          </w:tcPr>
          <w:p w14:paraId="22B339CD">
            <w:pPr>
              <w:pStyle w:val="68"/>
              <w:widowControl w:val="0"/>
              <w:spacing w:before="0" w:beforeAutospacing="0" w:after="0" w:afterAutospacing="0"/>
              <w:jc w:val="center"/>
              <w:rPr>
                <w:rFonts w:ascii="Times New Roman" w:hAnsi="Times New Roman"/>
                <w:color w:val="000000"/>
                <w:kern w:val="2"/>
                <w:sz w:val="21"/>
                <w:szCs w:val="21"/>
              </w:rPr>
            </w:pPr>
          </w:p>
        </w:tc>
        <w:tc>
          <w:tcPr>
            <w:tcW w:w="547" w:type="pct"/>
            <w:tcBorders>
              <w:tl2br w:val="nil"/>
              <w:tr2bl w:val="nil"/>
            </w:tcBorders>
            <w:vAlign w:val="center"/>
          </w:tcPr>
          <w:p w14:paraId="638482A3">
            <w:pPr>
              <w:pStyle w:val="68"/>
              <w:widowControl w:val="0"/>
              <w:spacing w:before="0" w:beforeAutospacing="0" w:after="0" w:afterAutospacing="0"/>
              <w:jc w:val="center"/>
              <w:rPr>
                <w:rFonts w:ascii="Times New Roman" w:hAnsi="Times New Roman"/>
                <w:color w:val="000000"/>
                <w:kern w:val="2"/>
                <w:sz w:val="21"/>
                <w:szCs w:val="21"/>
              </w:rPr>
            </w:pPr>
            <w:bookmarkStart w:id="388" w:name="_Toc171"/>
            <w:bookmarkStart w:id="389" w:name="_Toc11254"/>
            <w:bookmarkStart w:id="390" w:name="_Toc31890"/>
            <w:bookmarkStart w:id="391" w:name="_Toc2748"/>
            <w:r>
              <w:rPr>
                <w:rFonts w:ascii="Times New Roman" w:hAnsi="Times New Roman"/>
                <w:color w:val="000000"/>
                <w:kern w:val="2"/>
                <w:sz w:val="21"/>
                <w:szCs w:val="21"/>
              </w:rPr>
              <w:t>20</w:t>
            </w:r>
            <w:bookmarkEnd w:id="388"/>
            <w:bookmarkEnd w:id="389"/>
            <w:bookmarkEnd w:id="390"/>
            <w:bookmarkEnd w:id="391"/>
          </w:p>
        </w:tc>
        <w:tc>
          <w:tcPr>
            <w:tcW w:w="518" w:type="pct"/>
            <w:tcBorders>
              <w:tl2br w:val="nil"/>
              <w:tr2bl w:val="nil"/>
            </w:tcBorders>
            <w:vAlign w:val="center"/>
          </w:tcPr>
          <w:p w14:paraId="059DB1E3">
            <w:pPr>
              <w:pStyle w:val="68"/>
              <w:widowControl w:val="0"/>
              <w:spacing w:before="0" w:beforeAutospacing="0" w:after="0" w:afterAutospacing="0"/>
              <w:jc w:val="center"/>
              <w:rPr>
                <w:rFonts w:ascii="Times New Roman" w:hAnsi="Times New Roman"/>
                <w:color w:val="000000"/>
                <w:kern w:val="2"/>
                <w:sz w:val="21"/>
                <w:szCs w:val="21"/>
              </w:rPr>
            </w:pPr>
            <w:bookmarkStart w:id="392" w:name="_Toc6842"/>
            <w:bookmarkStart w:id="393" w:name="_Toc7290"/>
            <w:bookmarkStart w:id="394" w:name="_Toc7939"/>
            <w:bookmarkStart w:id="395" w:name="_Toc15492"/>
            <w:r>
              <w:rPr>
                <w:rFonts w:ascii="Times New Roman" w:hAnsi="Times New Roman"/>
                <w:color w:val="000000"/>
                <w:kern w:val="2"/>
                <w:sz w:val="21"/>
                <w:szCs w:val="21"/>
              </w:rPr>
              <w:t>类比法</w:t>
            </w:r>
            <w:bookmarkEnd w:id="392"/>
            <w:bookmarkEnd w:id="393"/>
            <w:bookmarkEnd w:id="394"/>
            <w:bookmarkEnd w:id="395"/>
          </w:p>
        </w:tc>
        <w:tc>
          <w:tcPr>
            <w:tcW w:w="565" w:type="pct"/>
            <w:tcBorders>
              <w:tl2br w:val="nil"/>
              <w:tr2bl w:val="nil"/>
            </w:tcBorders>
            <w:vAlign w:val="center"/>
          </w:tcPr>
          <w:p w14:paraId="77312F4A">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70</w:t>
            </w:r>
          </w:p>
        </w:tc>
        <w:tc>
          <w:tcPr>
            <w:tcW w:w="412" w:type="pct"/>
            <w:tcBorders>
              <w:tl2br w:val="nil"/>
              <w:tr2bl w:val="nil"/>
            </w:tcBorders>
            <w:vAlign w:val="center"/>
          </w:tcPr>
          <w:p w14:paraId="2016A969">
            <w:pPr>
              <w:pStyle w:val="68"/>
              <w:widowControl w:val="0"/>
              <w:spacing w:before="0" w:beforeAutospacing="0" w:after="0" w:afterAutospacing="0"/>
              <w:jc w:val="center"/>
              <w:rPr>
                <w:rFonts w:ascii="Times New Roman" w:hAnsi="Times New Roman"/>
                <w:color w:val="000000"/>
                <w:kern w:val="2"/>
                <w:sz w:val="21"/>
                <w:szCs w:val="21"/>
              </w:rPr>
            </w:pPr>
            <w:bookmarkStart w:id="396" w:name="_Toc28651"/>
            <w:bookmarkStart w:id="397" w:name="_Toc20986"/>
            <w:bookmarkStart w:id="398" w:name="_Toc30238"/>
            <w:bookmarkStart w:id="399" w:name="_Toc24623"/>
            <w:r>
              <w:rPr>
                <w:rFonts w:ascii="Times New Roman" w:hAnsi="Times New Roman"/>
                <w:color w:val="000000"/>
                <w:kern w:val="2"/>
                <w:sz w:val="21"/>
                <w:szCs w:val="21"/>
              </w:rPr>
              <w:t>8000</w:t>
            </w:r>
            <w:bookmarkEnd w:id="396"/>
            <w:bookmarkEnd w:id="397"/>
            <w:bookmarkEnd w:id="398"/>
            <w:bookmarkEnd w:id="399"/>
          </w:p>
        </w:tc>
      </w:tr>
    </w:tbl>
    <w:p w14:paraId="099C71E9">
      <w:pPr>
        <w:pStyle w:val="785"/>
        <w:rPr>
          <w:color w:val="000000"/>
          <w:szCs w:val="24"/>
          <w:lang w:val="en-US"/>
        </w:rPr>
      </w:pPr>
      <w:r>
        <w:rPr>
          <w:color w:val="000000"/>
          <w:szCs w:val="24"/>
          <w:lang w:val="en-US"/>
        </w:rPr>
        <w:t>3.2.4.4固体废物</w:t>
      </w:r>
    </w:p>
    <w:p w14:paraId="2039AA96">
      <w:pPr>
        <w:widowControl w:val="0"/>
        <w:ind w:firstLine="480" w:firstLineChars="200"/>
        <w:rPr>
          <w:color w:val="000000"/>
        </w:rPr>
      </w:pPr>
      <w:r>
        <w:rPr>
          <w:color w:val="000000"/>
        </w:rPr>
        <w:t>本项目固体废物主要为一般工业固体废物、危险废物和生活垃圾。其中一般工业固体废物包括废干燥剂、废过滤膜、吸附脱氢废催化剂、低温精制废吸附剂、废瓷球等；危险废物为催化脱氢废催化剂等。</w:t>
      </w:r>
    </w:p>
    <w:p w14:paraId="74025DDE">
      <w:pPr>
        <w:widowControl w:val="0"/>
        <w:ind w:firstLine="480" w:firstLineChars="200"/>
        <w:rPr>
          <w:color w:val="000000"/>
        </w:rPr>
      </w:pPr>
      <w:r>
        <w:rPr>
          <w:color w:val="000000"/>
        </w:rPr>
        <w:t>（1）催化脱氢废催化剂S1：根据建设单位提供资料，脱氢催化剂为含Pd、Al催化剂，装填量为827kg/次，2年更换一次。故废催化剂产生量为0.4135t/a，属于</w:t>
      </w:r>
      <w:r>
        <w:rPr>
          <w:color w:val="000000"/>
          <w:kern w:val="0"/>
          <w:szCs w:val="24"/>
        </w:rPr>
        <w:t>HW50 危险废物</w:t>
      </w:r>
      <w:r>
        <w:rPr>
          <w:color w:val="000000"/>
        </w:rPr>
        <w:t>，更换后使用密闭罐暂存LNG工厂现有危废暂存间，委托有资质单位处置。</w:t>
      </w:r>
    </w:p>
    <w:p w14:paraId="658AE0F1">
      <w:pPr>
        <w:widowControl w:val="0"/>
        <w:ind w:firstLine="480" w:firstLineChars="200"/>
        <w:rPr>
          <w:color w:val="000000"/>
        </w:rPr>
      </w:pPr>
      <w:r>
        <w:rPr>
          <w:color w:val="000000"/>
        </w:rPr>
        <w:t>（2）废干燥剂S2：干燥器采用分子筛对催化脱氢反应器中水分离器分离出来的气态水进行吸收，分子筛吸附饱和后进行吹扫再生。根据建设单位提供资料，干燥剂主要成分为Al</w:t>
      </w:r>
      <w:r>
        <w:rPr>
          <w:color w:val="000000"/>
          <w:vertAlign w:val="subscript"/>
        </w:rPr>
        <w:t>2</w:t>
      </w:r>
      <w:r>
        <w:rPr>
          <w:color w:val="000000"/>
        </w:rPr>
        <w:t>O</w:t>
      </w:r>
      <w:r>
        <w:rPr>
          <w:color w:val="000000"/>
          <w:vertAlign w:val="subscript"/>
        </w:rPr>
        <w:t>3</w:t>
      </w:r>
      <w:r>
        <w:rPr>
          <w:color w:val="000000"/>
        </w:rPr>
        <w:t>、SiO2，干燥剂装填量为4522kg/次，4年更换一次。故废干燥剂产生量为1.1305 t/a，属于一般工业固体废物，更换后由回收单位。</w:t>
      </w:r>
    </w:p>
    <w:p w14:paraId="63FC59A2">
      <w:pPr>
        <w:widowControl w:val="0"/>
        <w:ind w:firstLine="480" w:firstLineChars="200"/>
        <w:rPr>
          <w:color w:val="000000"/>
        </w:rPr>
      </w:pPr>
      <w:r>
        <w:rPr>
          <w:color w:val="000000"/>
        </w:rPr>
        <w:t>（3）废过滤膜S3：膜处理工艺采用聚酰亚胺树脂膜，用量为200kg/次，4年更换一次，故废过滤膜产生量为0.05t/a，属于一般工业固体废物，更换后由回收单位。</w:t>
      </w:r>
    </w:p>
    <w:p w14:paraId="434E2973">
      <w:pPr>
        <w:widowControl w:val="0"/>
        <w:ind w:firstLine="480" w:firstLineChars="200"/>
        <w:rPr>
          <w:color w:val="000000"/>
        </w:rPr>
      </w:pPr>
      <w:r>
        <w:rPr>
          <w:color w:val="000000"/>
        </w:rPr>
        <w:t>（4）吸附脱氢废催化剂S4：干燥器采用分子筛对催化脱氢反应器中水分离器分离出来的气态水进行吸收，分子筛吸附饱和后进行吹扫再生。根据建设单位提供资料，催化剂主要成分为Al</w:t>
      </w:r>
      <w:r>
        <w:rPr>
          <w:color w:val="000000"/>
          <w:vertAlign w:val="subscript"/>
        </w:rPr>
        <w:t>2</w:t>
      </w:r>
      <w:r>
        <w:rPr>
          <w:color w:val="000000"/>
        </w:rPr>
        <w:t>O</w:t>
      </w:r>
      <w:r>
        <w:rPr>
          <w:color w:val="000000"/>
          <w:vertAlign w:val="subscript"/>
        </w:rPr>
        <w:t>3</w:t>
      </w:r>
      <w:r>
        <w:rPr>
          <w:color w:val="000000"/>
        </w:rPr>
        <w:t>、SiO</w:t>
      </w:r>
      <w:r>
        <w:rPr>
          <w:color w:val="000000"/>
          <w:vertAlign w:val="subscript"/>
        </w:rPr>
        <w:t>2</w:t>
      </w:r>
      <w:r>
        <w:rPr>
          <w:color w:val="000000"/>
        </w:rPr>
        <w:t>，催化剂装填量为151kg/次，4年更换一次。故废催化剂产生量为0.0378t/a，属于一般工业固体废物，更换后由回收单位。</w:t>
      </w:r>
    </w:p>
    <w:p w14:paraId="6CCE795B">
      <w:pPr>
        <w:pStyle w:val="771"/>
        <w:ind w:firstLine="480" w:firstLineChars="200"/>
        <w:outlineLvl w:val="9"/>
        <w:rPr>
          <w:color w:val="000000"/>
        </w:rPr>
      </w:pPr>
      <w:r>
        <w:rPr>
          <w:color w:val="000000"/>
        </w:rPr>
        <w:t>（5）废干燥剂S5：干燥器采用分子筛对吸附脱氢反应器中水分离器分离出来的气态水进行吸收，分子筛吸附饱和后进行吹扫再生。根据建设单位提供资料，氦气干燥剂主要成分为Al</w:t>
      </w:r>
      <w:r>
        <w:rPr>
          <w:color w:val="000000"/>
          <w:vertAlign w:val="subscript"/>
        </w:rPr>
        <w:t>2</w:t>
      </w:r>
      <w:r>
        <w:rPr>
          <w:color w:val="000000"/>
        </w:rPr>
        <w:t>O</w:t>
      </w:r>
      <w:r>
        <w:rPr>
          <w:color w:val="000000"/>
          <w:vertAlign w:val="subscript"/>
        </w:rPr>
        <w:t>3</w:t>
      </w:r>
      <w:r>
        <w:rPr>
          <w:color w:val="000000"/>
        </w:rPr>
        <w:t>、SiO</w:t>
      </w:r>
      <w:r>
        <w:rPr>
          <w:color w:val="000000"/>
          <w:vertAlign w:val="subscript"/>
        </w:rPr>
        <w:t>2</w:t>
      </w:r>
      <w:r>
        <w:rPr>
          <w:color w:val="000000"/>
        </w:rPr>
        <w:t>，干燥剂装填量为226kg/次，4年更换一次。故废干燥剂产生量为0.0565 t/a，属于一般工业固体废物，更换后由回收单位。</w:t>
      </w:r>
    </w:p>
    <w:p w14:paraId="42750755">
      <w:pPr>
        <w:widowControl w:val="0"/>
        <w:ind w:firstLine="480" w:firstLineChars="200"/>
        <w:rPr>
          <w:color w:val="000000"/>
        </w:rPr>
      </w:pPr>
      <w:r>
        <w:rPr>
          <w:color w:val="000000"/>
        </w:rPr>
        <w:t>（6）低温精制废吸附剂S6：项目安装有脱氮吸附器，该吸附器在低温环境下使用活性炭等对氦气中氮气进行吸附，活性炭吸附饱和后进行解吸再生。固废产生量按照吸附剂装填量计算。根据建设单位提供资料，低温吸附器活性炭装填量为765kg/次，4年更换一次。故脱氮吸附器废活性炭产生量为0.1913t/a，属于一般工业固体废物，更换后由回收单位。</w:t>
      </w:r>
    </w:p>
    <w:p w14:paraId="17B01E38">
      <w:pPr>
        <w:widowControl w:val="0"/>
        <w:ind w:firstLine="480" w:firstLineChars="200"/>
        <w:rPr>
          <w:color w:val="000000"/>
        </w:rPr>
      </w:pPr>
      <w:r>
        <w:rPr>
          <w:color w:val="000000"/>
        </w:rPr>
        <w:t>（7）废瓷球S7：干燥器及反应器里面放有瓷球，瓷球主要成分为Al</w:t>
      </w:r>
      <w:r>
        <w:rPr>
          <w:color w:val="000000"/>
          <w:vertAlign w:val="subscript"/>
        </w:rPr>
        <w:t>2</w:t>
      </w:r>
      <w:r>
        <w:rPr>
          <w:color w:val="000000"/>
        </w:rPr>
        <w:t>O</w:t>
      </w:r>
      <w:r>
        <w:rPr>
          <w:color w:val="000000"/>
          <w:vertAlign w:val="subscript"/>
        </w:rPr>
        <w:t>3</w:t>
      </w:r>
      <w:r>
        <w:rPr>
          <w:color w:val="000000"/>
        </w:rPr>
        <w:t>、SiO</w:t>
      </w:r>
      <w:r>
        <w:rPr>
          <w:color w:val="000000"/>
          <w:vertAlign w:val="subscript"/>
        </w:rPr>
        <w:t>2</w:t>
      </w:r>
      <w:r>
        <w:rPr>
          <w:color w:val="000000"/>
        </w:rPr>
        <w:t>，瓷球装填量为750kg/次，4年更换一次，故废瓷球产生量为0.1875t/a，属于一般工业固体废物，更换后由回收单位。</w:t>
      </w:r>
    </w:p>
    <w:p w14:paraId="248CFDE1">
      <w:pPr>
        <w:widowControl w:val="0"/>
        <w:ind w:firstLine="480" w:firstLineChars="200"/>
        <w:rPr>
          <w:color w:val="000000"/>
        </w:rPr>
      </w:pPr>
      <w:r>
        <w:rPr>
          <w:color w:val="000000"/>
        </w:rPr>
        <w:t>（8）生活垃圾</w:t>
      </w:r>
    </w:p>
    <w:p w14:paraId="7ABB8296">
      <w:pPr>
        <w:widowControl w:val="0"/>
        <w:ind w:firstLine="480" w:firstLineChars="200"/>
        <w:rPr>
          <w:color w:val="000000"/>
        </w:rPr>
      </w:pPr>
      <w:r>
        <w:rPr>
          <w:color w:val="000000"/>
        </w:rPr>
        <w:t>项目劳动定员12人，生活垃圾产生量约为0.5kg/人·d。则项目建成后日产生活垃圾6kg，全年为1.998t。生活垃圾统一收集后交由当地环卫部门处理。</w:t>
      </w:r>
    </w:p>
    <w:p w14:paraId="5028FB73">
      <w:pPr>
        <w:widowControl w:val="0"/>
        <w:ind w:firstLine="480" w:firstLineChars="200"/>
        <w:rPr>
          <w:color w:val="000000"/>
        </w:rPr>
        <w:sectPr>
          <w:pgSz w:w="11905" w:h="16838"/>
          <w:pgMar w:top="1440" w:right="1531" w:bottom="1440" w:left="1531" w:header="850" w:footer="907" w:gutter="0"/>
          <w:cols w:space="720" w:num="1"/>
          <w:docGrid w:type="lines" w:linePitch="332" w:charSpace="0"/>
        </w:sectPr>
      </w:pPr>
      <w:r>
        <w:rPr>
          <w:color w:val="000000"/>
        </w:rPr>
        <w:t>本项目固体废物源强核算详见表3.2.4.4-1。</w:t>
      </w:r>
    </w:p>
    <w:p w14:paraId="6CC990B2">
      <w:pPr>
        <w:ind w:firstLine="480" w:firstLineChars="200"/>
        <w:jc w:val="center"/>
        <w:rPr>
          <w:color w:val="000000"/>
        </w:rPr>
      </w:pPr>
      <w:bookmarkStart w:id="400" w:name="_Hlk39434376"/>
      <w:r>
        <w:rPr>
          <w:color w:val="000000"/>
        </w:rPr>
        <w:t xml:space="preserve">表3.2.4.4-1 </w:t>
      </w:r>
      <w:r>
        <w:rPr>
          <w:bCs/>
          <w:snapToGrid w:val="0"/>
          <w:color w:val="000000"/>
          <w:sz w:val="21"/>
        </w:rPr>
        <w:t>固体废物污染源源强核算结果及相关参数一览表</w:t>
      </w:r>
    </w:p>
    <w:tbl>
      <w:tblPr>
        <w:tblStyle w:val="73"/>
        <w:tblpPr w:leftFromText="180" w:rightFromText="180" w:vertAnchor="text" w:horzAnchor="page" w:tblpXSpec="center" w:tblpY="71"/>
        <w:tblOverlap w:val="never"/>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87"/>
        <w:gridCol w:w="550"/>
        <w:gridCol w:w="1128"/>
        <w:gridCol w:w="1165"/>
        <w:gridCol w:w="695"/>
        <w:gridCol w:w="1219"/>
        <w:gridCol w:w="1658"/>
        <w:gridCol w:w="1505"/>
        <w:gridCol w:w="879"/>
        <w:gridCol w:w="2367"/>
        <w:gridCol w:w="831"/>
        <w:gridCol w:w="1579"/>
      </w:tblGrid>
      <w:tr w14:paraId="02D631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207" w:type="pct"/>
            <w:vMerge w:val="restart"/>
            <w:tcBorders>
              <w:tl2br w:val="nil"/>
              <w:tr2bl w:val="nil"/>
            </w:tcBorders>
            <w:vAlign w:val="center"/>
          </w:tcPr>
          <w:p w14:paraId="75427B33">
            <w:pPr>
              <w:spacing w:line="240" w:lineRule="auto"/>
              <w:jc w:val="center"/>
              <w:rPr>
                <w:color w:val="000000"/>
                <w:sz w:val="21"/>
              </w:rPr>
            </w:pPr>
            <w:r>
              <w:rPr>
                <w:color w:val="000000"/>
                <w:sz w:val="21"/>
              </w:rPr>
              <w:t>污染源</w:t>
            </w:r>
          </w:p>
        </w:tc>
        <w:tc>
          <w:tcPr>
            <w:tcW w:w="194" w:type="pct"/>
            <w:vMerge w:val="restart"/>
            <w:tcBorders>
              <w:tl2br w:val="nil"/>
              <w:tr2bl w:val="nil"/>
            </w:tcBorders>
            <w:vAlign w:val="center"/>
          </w:tcPr>
          <w:p w14:paraId="33B5BDEB">
            <w:pPr>
              <w:spacing w:line="240" w:lineRule="auto"/>
              <w:jc w:val="center"/>
              <w:rPr>
                <w:color w:val="000000"/>
                <w:sz w:val="21"/>
              </w:rPr>
            </w:pPr>
            <w:r>
              <w:rPr>
                <w:color w:val="000000"/>
                <w:sz w:val="21"/>
              </w:rPr>
              <w:t>编号</w:t>
            </w:r>
          </w:p>
        </w:tc>
        <w:tc>
          <w:tcPr>
            <w:tcW w:w="398" w:type="pct"/>
            <w:vMerge w:val="restart"/>
            <w:tcBorders>
              <w:tl2br w:val="nil"/>
              <w:tr2bl w:val="nil"/>
            </w:tcBorders>
            <w:vAlign w:val="center"/>
          </w:tcPr>
          <w:p w14:paraId="13F24358">
            <w:pPr>
              <w:spacing w:line="240" w:lineRule="auto"/>
              <w:jc w:val="center"/>
              <w:rPr>
                <w:color w:val="000000"/>
                <w:sz w:val="21"/>
              </w:rPr>
            </w:pPr>
            <w:r>
              <w:rPr>
                <w:color w:val="000000"/>
                <w:sz w:val="21"/>
              </w:rPr>
              <w:t>产生单元</w:t>
            </w:r>
          </w:p>
        </w:tc>
        <w:tc>
          <w:tcPr>
            <w:tcW w:w="411" w:type="pct"/>
            <w:vMerge w:val="restart"/>
            <w:tcBorders>
              <w:tl2br w:val="nil"/>
              <w:tr2bl w:val="nil"/>
            </w:tcBorders>
            <w:vAlign w:val="center"/>
          </w:tcPr>
          <w:p w14:paraId="556F4FD5">
            <w:pPr>
              <w:spacing w:line="240" w:lineRule="auto"/>
              <w:jc w:val="center"/>
              <w:rPr>
                <w:color w:val="000000"/>
                <w:sz w:val="21"/>
              </w:rPr>
            </w:pPr>
            <w:r>
              <w:rPr>
                <w:color w:val="000000"/>
                <w:sz w:val="21"/>
              </w:rPr>
              <w:t>固体废物名称</w:t>
            </w:r>
          </w:p>
        </w:tc>
        <w:tc>
          <w:tcPr>
            <w:tcW w:w="245" w:type="pct"/>
            <w:vMerge w:val="restart"/>
            <w:tcBorders>
              <w:tl2br w:val="nil"/>
              <w:tr2bl w:val="nil"/>
            </w:tcBorders>
            <w:vAlign w:val="center"/>
          </w:tcPr>
          <w:p w14:paraId="56B732D6">
            <w:pPr>
              <w:spacing w:line="240" w:lineRule="auto"/>
              <w:jc w:val="center"/>
              <w:rPr>
                <w:color w:val="000000"/>
                <w:sz w:val="21"/>
              </w:rPr>
            </w:pPr>
            <w:r>
              <w:rPr>
                <w:color w:val="000000"/>
                <w:sz w:val="21"/>
              </w:rPr>
              <w:t>形态</w:t>
            </w:r>
          </w:p>
        </w:tc>
        <w:tc>
          <w:tcPr>
            <w:tcW w:w="430" w:type="pct"/>
            <w:vMerge w:val="restart"/>
            <w:tcBorders>
              <w:tl2br w:val="nil"/>
              <w:tr2bl w:val="nil"/>
            </w:tcBorders>
            <w:vAlign w:val="center"/>
          </w:tcPr>
          <w:p w14:paraId="64354180">
            <w:pPr>
              <w:spacing w:line="240" w:lineRule="auto"/>
              <w:jc w:val="center"/>
              <w:rPr>
                <w:color w:val="000000"/>
                <w:sz w:val="21"/>
              </w:rPr>
            </w:pPr>
            <w:r>
              <w:rPr>
                <w:color w:val="000000"/>
                <w:sz w:val="21"/>
              </w:rPr>
              <w:t>固废属性</w:t>
            </w:r>
          </w:p>
        </w:tc>
        <w:tc>
          <w:tcPr>
            <w:tcW w:w="585" w:type="pct"/>
            <w:vMerge w:val="restart"/>
            <w:tcBorders>
              <w:tl2br w:val="nil"/>
              <w:tr2bl w:val="nil"/>
            </w:tcBorders>
            <w:vAlign w:val="center"/>
          </w:tcPr>
          <w:p w14:paraId="5EF64D22">
            <w:pPr>
              <w:spacing w:line="240" w:lineRule="auto"/>
              <w:jc w:val="center"/>
              <w:rPr>
                <w:color w:val="000000"/>
                <w:sz w:val="21"/>
              </w:rPr>
            </w:pPr>
            <w:r>
              <w:rPr>
                <w:color w:val="000000"/>
                <w:sz w:val="21"/>
              </w:rPr>
              <w:t>类别</w:t>
            </w:r>
          </w:p>
        </w:tc>
        <w:tc>
          <w:tcPr>
            <w:tcW w:w="531" w:type="pct"/>
            <w:vMerge w:val="restart"/>
            <w:tcBorders>
              <w:tl2br w:val="nil"/>
              <w:tr2bl w:val="nil"/>
            </w:tcBorders>
            <w:vAlign w:val="center"/>
          </w:tcPr>
          <w:p w14:paraId="71143BF3">
            <w:pPr>
              <w:spacing w:line="240" w:lineRule="auto"/>
              <w:jc w:val="center"/>
              <w:rPr>
                <w:color w:val="000000"/>
                <w:sz w:val="21"/>
              </w:rPr>
            </w:pPr>
            <w:r>
              <w:rPr>
                <w:color w:val="000000"/>
                <w:sz w:val="21"/>
              </w:rPr>
              <w:t>代码</w:t>
            </w:r>
          </w:p>
        </w:tc>
        <w:tc>
          <w:tcPr>
            <w:tcW w:w="310" w:type="pct"/>
            <w:vMerge w:val="restart"/>
            <w:tcBorders>
              <w:tl2br w:val="nil"/>
              <w:tr2bl w:val="nil"/>
            </w:tcBorders>
            <w:vAlign w:val="center"/>
          </w:tcPr>
          <w:p w14:paraId="3DFF9B2D">
            <w:pPr>
              <w:spacing w:line="240" w:lineRule="auto"/>
              <w:jc w:val="center"/>
              <w:rPr>
                <w:color w:val="000000"/>
                <w:sz w:val="21"/>
              </w:rPr>
            </w:pPr>
            <w:r>
              <w:rPr>
                <w:color w:val="000000"/>
                <w:sz w:val="21"/>
              </w:rPr>
              <w:t>产生量（t/a）</w:t>
            </w:r>
          </w:p>
        </w:tc>
        <w:tc>
          <w:tcPr>
            <w:tcW w:w="1128" w:type="pct"/>
            <w:gridSpan w:val="2"/>
            <w:tcBorders>
              <w:tl2br w:val="nil"/>
              <w:tr2bl w:val="nil"/>
            </w:tcBorders>
            <w:vAlign w:val="center"/>
          </w:tcPr>
          <w:p w14:paraId="09B659F3">
            <w:pPr>
              <w:spacing w:line="240" w:lineRule="auto"/>
              <w:jc w:val="center"/>
              <w:rPr>
                <w:color w:val="000000"/>
                <w:sz w:val="21"/>
              </w:rPr>
            </w:pPr>
            <w:r>
              <w:rPr>
                <w:color w:val="000000"/>
                <w:sz w:val="21"/>
              </w:rPr>
              <w:t>处理措施</w:t>
            </w:r>
          </w:p>
        </w:tc>
        <w:tc>
          <w:tcPr>
            <w:tcW w:w="557" w:type="pct"/>
            <w:vMerge w:val="restart"/>
            <w:tcBorders>
              <w:tl2br w:val="nil"/>
              <w:tr2bl w:val="nil"/>
            </w:tcBorders>
            <w:vAlign w:val="center"/>
          </w:tcPr>
          <w:p w14:paraId="6EE380AC">
            <w:pPr>
              <w:spacing w:line="240" w:lineRule="auto"/>
              <w:jc w:val="center"/>
              <w:rPr>
                <w:color w:val="000000"/>
                <w:sz w:val="21"/>
              </w:rPr>
            </w:pPr>
            <w:r>
              <w:rPr>
                <w:color w:val="000000"/>
                <w:sz w:val="21"/>
              </w:rPr>
              <w:t>去向</w:t>
            </w:r>
          </w:p>
        </w:tc>
      </w:tr>
      <w:tr w14:paraId="11CB2E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207" w:type="pct"/>
            <w:vMerge w:val="continue"/>
            <w:tcBorders>
              <w:tl2br w:val="nil"/>
              <w:tr2bl w:val="nil"/>
            </w:tcBorders>
            <w:vAlign w:val="center"/>
          </w:tcPr>
          <w:p w14:paraId="3EF692ED">
            <w:pPr>
              <w:spacing w:line="240" w:lineRule="auto"/>
              <w:jc w:val="center"/>
              <w:rPr>
                <w:color w:val="000000"/>
                <w:sz w:val="21"/>
              </w:rPr>
            </w:pPr>
          </w:p>
        </w:tc>
        <w:tc>
          <w:tcPr>
            <w:tcW w:w="194" w:type="pct"/>
            <w:vMerge w:val="continue"/>
            <w:tcBorders>
              <w:tl2br w:val="nil"/>
              <w:tr2bl w:val="nil"/>
            </w:tcBorders>
            <w:vAlign w:val="center"/>
          </w:tcPr>
          <w:p w14:paraId="4EB1A7EB">
            <w:pPr>
              <w:spacing w:line="240" w:lineRule="auto"/>
              <w:jc w:val="center"/>
              <w:rPr>
                <w:color w:val="000000"/>
                <w:sz w:val="21"/>
              </w:rPr>
            </w:pPr>
          </w:p>
        </w:tc>
        <w:tc>
          <w:tcPr>
            <w:tcW w:w="398" w:type="pct"/>
            <w:vMerge w:val="continue"/>
            <w:tcBorders>
              <w:tl2br w:val="nil"/>
              <w:tr2bl w:val="nil"/>
            </w:tcBorders>
            <w:vAlign w:val="center"/>
          </w:tcPr>
          <w:p w14:paraId="1C5ADA01">
            <w:pPr>
              <w:spacing w:line="240" w:lineRule="auto"/>
              <w:jc w:val="center"/>
              <w:rPr>
                <w:color w:val="000000"/>
                <w:sz w:val="21"/>
              </w:rPr>
            </w:pPr>
          </w:p>
        </w:tc>
        <w:tc>
          <w:tcPr>
            <w:tcW w:w="411" w:type="pct"/>
            <w:vMerge w:val="continue"/>
            <w:tcBorders>
              <w:tl2br w:val="nil"/>
              <w:tr2bl w:val="nil"/>
            </w:tcBorders>
            <w:vAlign w:val="center"/>
          </w:tcPr>
          <w:p w14:paraId="4030CFCE">
            <w:pPr>
              <w:spacing w:line="240" w:lineRule="auto"/>
              <w:jc w:val="center"/>
              <w:rPr>
                <w:color w:val="000000"/>
                <w:sz w:val="21"/>
              </w:rPr>
            </w:pPr>
          </w:p>
        </w:tc>
        <w:tc>
          <w:tcPr>
            <w:tcW w:w="245" w:type="pct"/>
            <w:vMerge w:val="continue"/>
            <w:tcBorders>
              <w:tl2br w:val="nil"/>
              <w:tr2bl w:val="nil"/>
            </w:tcBorders>
            <w:vAlign w:val="center"/>
          </w:tcPr>
          <w:p w14:paraId="2F21CF23">
            <w:pPr>
              <w:spacing w:line="240" w:lineRule="auto"/>
              <w:jc w:val="center"/>
              <w:rPr>
                <w:color w:val="000000"/>
                <w:sz w:val="21"/>
              </w:rPr>
            </w:pPr>
          </w:p>
        </w:tc>
        <w:tc>
          <w:tcPr>
            <w:tcW w:w="430" w:type="pct"/>
            <w:vMerge w:val="continue"/>
            <w:tcBorders>
              <w:tl2br w:val="nil"/>
              <w:tr2bl w:val="nil"/>
            </w:tcBorders>
            <w:vAlign w:val="center"/>
          </w:tcPr>
          <w:p w14:paraId="6AB35001">
            <w:pPr>
              <w:spacing w:line="240" w:lineRule="auto"/>
              <w:jc w:val="center"/>
              <w:rPr>
                <w:color w:val="000000"/>
                <w:sz w:val="21"/>
              </w:rPr>
            </w:pPr>
          </w:p>
        </w:tc>
        <w:tc>
          <w:tcPr>
            <w:tcW w:w="585" w:type="pct"/>
            <w:vMerge w:val="continue"/>
            <w:tcBorders>
              <w:tl2br w:val="nil"/>
              <w:tr2bl w:val="nil"/>
            </w:tcBorders>
            <w:vAlign w:val="center"/>
          </w:tcPr>
          <w:p w14:paraId="3DED7EE4">
            <w:pPr>
              <w:spacing w:line="240" w:lineRule="auto"/>
              <w:jc w:val="center"/>
              <w:rPr>
                <w:color w:val="000000"/>
                <w:sz w:val="21"/>
              </w:rPr>
            </w:pPr>
          </w:p>
        </w:tc>
        <w:tc>
          <w:tcPr>
            <w:tcW w:w="531" w:type="pct"/>
            <w:vMerge w:val="continue"/>
            <w:tcBorders>
              <w:tl2br w:val="nil"/>
              <w:tr2bl w:val="nil"/>
            </w:tcBorders>
            <w:vAlign w:val="center"/>
          </w:tcPr>
          <w:p w14:paraId="66A2F8E5">
            <w:pPr>
              <w:spacing w:line="240" w:lineRule="auto"/>
              <w:jc w:val="center"/>
              <w:rPr>
                <w:color w:val="000000"/>
                <w:sz w:val="21"/>
              </w:rPr>
            </w:pPr>
          </w:p>
        </w:tc>
        <w:tc>
          <w:tcPr>
            <w:tcW w:w="310" w:type="pct"/>
            <w:vMerge w:val="continue"/>
            <w:tcBorders>
              <w:tl2br w:val="nil"/>
              <w:tr2bl w:val="nil"/>
            </w:tcBorders>
            <w:vAlign w:val="center"/>
          </w:tcPr>
          <w:p w14:paraId="55E33485">
            <w:pPr>
              <w:spacing w:line="240" w:lineRule="auto"/>
              <w:jc w:val="center"/>
              <w:rPr>
                <w:color w:val="000000"/>
                <w:sz w:val="21"/>
              </w:rPr>
            </w:pPr>
          </w:p>
        </w:tc>
        <w:tc>
          <w:tcPr>
            <w:tcW w:w="835" w:type="pct"/>
            <w:tcBorders>
              <w:tl2br w:val="nil"/>
              <w:tr2bl w:val="nil"/>
            </w:tcBorders>
            <w:vAlign w:val="center"/>
          </w:tcPr>
          <w:p w14:paraId="6CEDF0BA">
            <w:pPr>
              <w:spacing w:line="240" w:lineRule="auto"/>
              <w:jc w:val="center"/>
              <w:rPr>
                <w:color w:val="000000"/>
                <w:sz w:val="21"/>
              </w:rPr>
            </w:pPr>
            <w:r>
              <w:rPr>
                <w:color w:val="000000"/>
                <w:sz w:val="21"/>
              </w:rPr>
              <w:t>处理处置方式</w:t>
            </w:r>
          </w:p>
        </w:tc>
        <w:tc>
          <w:tcPr>
            <w:tcW w:w="293" w:type="pct"/>
            <w:tcBorders>
              <w:tl2br w:val="nil"/>
              <w:tr2bl w:val="nil"/>
            </w:tcBorders>
            <w:vAlign w:val="center"/>
          </w:tcPr>
          <w:p w14:paraId="2DB1D48C">
            <w:pPr>
              <w:spacing w:line="240" w:lineRule="auto"/>
              <w:jc w:val="center"/>
              <w:rPr>
                <w:color w:val="000000"/>
                <w:sz w:val="21"/>
              </w:rPr>
            </w:pPr>
            <w:r>
              <w:rPr>
                <w:color w:val="000000"/>
                <w:sz w:val="21"/>
              </w:rPr>
              <w:t>处置量t/a</w:t>
            </w:r>
          </w:p>
        </w:tc>
        <w:tc>
          <w:tcPr>
            <w:tcW w:w="557" w:type="pct"/>
            <w:vMerge w:val="continue"/>
            <w:tcBorders>
              <w:tl2br w:val="nil"/>
              <w:tr2bl w:val="nil"/>
            </w:tcBorders>
            <w:vAlign w:val="center"/>
          </w:tcPr>
          <w:p w14:paraId="378C7A77">
            <w:pPr>
              <w:spacing w:line="240" w:lineRule="auto"/>
              <w:jc w:val="center"/>
              <w:rPr>
                <w:color w:val="000000"/>
                <w:sz w:val="21"/>
              </w:rPr>
            </w:pPr>
          </w:p>
        </w:tc>
      </w:tr>
      <w:tr w14:paraId="777582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6" w:hRule="atLeast"/>
          <w:jc w:val="center"/>
        </w:trPr>
        <w:tc>
          <w:tcPr>
            <w:tcW w:w="207" w:type="pct"/>
            <w:tcBorders>
              <w:tl2br w:val="nil"/>
              <w:tr2bl w:val="nil"/>
            </w:tcBorders>
            <w:vAlign w:val="center"/>
          </w:tcPr>
          <w:p w14:paraId="6E2C6286">
            <w:pPr>
              <w:spacing w:line="240" w:lineRule="auto"/>
              <w:jc w:val="center"/>
              <w:rPr>
                <w:color w:val="000000"/>
                <w:sz w:val="21"/>
              </w:rPr>
            </w:pPr>
            <w:r>
              <w:rPr>
                <w:color w:val="000000"/>
                <w:sz w:val="21"/>
              </w:rPr>
              <w:t>危险废物</w:t>
            </w:r>
          </w:p>
        </w:tc>
        <w:tc>
          <w:tcPr>
            <w:tcW w:w="194" w:type="pct"/>
            <w:tcBorders>
              <w:tl2br w:val="nil"/>
              <w:tr2bl w:val="nil"/>
            </w:tcBorders>
            <w:vAlign w:val="center"/>
          </w:tcPr>
          <w:p w14:paraId="4F0884F8">
            <w:pPr>
              <w:spacing w:line="240" w:lineRule="auto"/>
              <w:jc w:val="center"/>
              <w:rPr>
                <w:color w:val="000000"/>
                <w:sz w:val="21"/>
              </w:rPr>
            </w:pPr>
            <w:r>
              <w:rPr>
                <w:color w:val="000000"/>
                <w:sz w:val="21"/>
              </w:rPr>
              <w:t>S1</w:t>
            </w:r>
          </w:p>
        </w:tc>
        <w:tc>
          <w:tcPr>
            <w:tcW w:w="398" w:type="pct"/>
            <w:tcBorders>
              <w:tl2br w:val="nil"/>
              <w:tr2bl w:val="nil"/>
            </w:tcBorders>
            <w:vAlign w:val="center"/>
          </w:tcPr>
          <w:p w14:paraId="65A2C738">
            <w:pPr>
              <w:pStyle w:val="2186"/>
              <w:spacing w:line="240" w:lineRule="auto"/>
              <w:rPr>
                <w:color w:val="000000"/>
                <w:sz w:val="21"/>
                <w:szCs w:val="21"/>
              </w:rPr>
            </w:pPr>
            <w:r>
              <w:rPr>
                <w:color w:val="000000"/>
                <w:sz w:val="21"/>
                <w:szCs w:val="21"/>
              </w:rPr>
              <w:t>催化燃烧脱氢</w:t>
            </w:r>
          </w:p>
        </w:tc>
        <w:tc>
          <w:tcPr>
            <w:tcW w:w="411" w:type="pct"/>
            <w:tcBorders>
              <w:tl2br w:val="nil"/>
              <w:tr2bl w:val="nil"/>
            </w:tcBorders>
            <w:vAlign w:val="center"/>
          </w:tcPr>
          <w:p w14:paraId="3B0E7B71">
            <w:pPr>
              <w:spacing w:line="240" w:lineRule="auto"/>
              <w:jc w:val="center"/>
              <w:rPr>
                <w:color w:val="000000"/>
                <w:sz w:val="21"/>
              </w:rPr>
            </w:pPr>
            <w:r>
              <w:rPr>
                <w:color w:val="000000"/>
                <w:sz w:val="21"/>
              </w:rPr>
              <w:t>催化脱氢废催化剂</w:t>
            </w:r>
          </w:p>
        </w:tc>
        <w:tc>
          <w:tcPr>
            <w:tcW w:w="245" w:type="pct"/>
            <w:tcBorders>
              <w:tl2br w:val="nil"/>
              <w:tr2bl w:val="nil"/>
            </w:tcBorders>
            <w:vAlign w:val="center"/>
          </w:tcPr>
          <w:p w14:paraId="260C4450">
            <w:pPr>
              <w:spacing w:line="240" w:lineRule="auto"/>
              <w:jc w:val="center"/>
              <w:rPr>
                <w:color w:val="000000"/>
                <w:sz w:val="21"/>
              </w:rPr>
            </w:pPr>
            <w:r>
              <w:rPr>
                <w:color w:val="000000"/>
                <w:sz w:val="21"/>
              </w:rPr>
              <w:t>固态</w:t>
            </w:r>
          </w:p>
        </w:tc>
        <w:tc>
          <w:tcPr>
            <w:tcW w:w="430" w:type="pct"/>
            <w:tcBorders>
              <w:tl2br w:val="nil"/>
              <w:tr2bl w:val="nil"/>
            </w:tcBorders>
            <w:vAlign w:val="center"/>
          </w:tcPr>
          <w:p w14:paraId="5D7A66E3">
            <w:pPr>
              <w:spacing w:line="240" w:lineRule="auto"/>
              <w:jc w:val="center"/>
              <w:rPr>
                <w:color w:val="000000"/>
                <w:sz w:val="21"/>
              </w:rPr>
            </w:pPr>
            <w:r>
              <w:rPr>
                <w:color w:val="000000"/>
                <w:sz w:val="21"/>
              </w:rPr>
              <w:t>危险废物</w:t>
            </w:r>
          </w:p>
        </w:tc>
        <w:tc>
          <w:tcPr>
            <w:tcW w:w="585" w:type="pct"/>
            <w:tcBorders>
              <w:tl2br w:val="nil"/>
              <w:tr2bl w:val="nil"/>
            </w:tcBorders>
            <w:vAlign w:val="center"/>
          </w:tcPr>
          <w:p w14:paraId="4D91EC91">
            <w:pPr>
              <w:spacing w:line="240" w:lineRule="auto"/>
              <w:jc w:val="center"/>
              <w:rPr>
                <w:color w:val="000000"/>
                <w:sz w:val="21"/>
              </w:rPr>
            </w:pPr>
            <w:r>
              <w:rPr>
                <w:color w:val="000000"/>
                <w:sz w:val="21"/>
              </w:rPr>
              <w:t>HW50</w:t>
            </w:r>
          </w:p>
        </w:tc>
        <w:tc>
          <w:tcPr>
            <w:tcW w:w="531" w:type="pct"/>
            <w:tcBorders>
              <w:tl2br w:val="nil"/>
              <w:tr2bl w:val="nil"/>
            </w:tcBorders>
            <w:vAlign w:val="center"/>
          </w:tcPr>
          <w:p w14:paraId="23A97637">
            <w:pPr>
              <w:spacing w:line="240" w:lineRule="auto"/>
              <w:jc w:val="center"/>
              <w:rPr>
                <w:color w:val="000000"/>
                <w:sz w:val="21"/>
              </w:rPr>
            </w:pPr>
            <w:r>
              <w:rPr>
                <w:color w:val="000000"/>
                <w:sz w:val="21"/>
              </w:rPr>
              <w:t>261-156-50</w:t>
            </w:r>
          </w:p>
        </w:tc>
        <w:tc>
          <w:tcPr>
            <w:tcW w:w="310" w:type="pct"/>
            <w:tcBorders>
              <w:tl2br w:val="nil"/>
              <w:tr2bl w:val="nil"/>
            </w:tcBorders>
            <w:vAlign w:val="center"/>
          </w:tcPr>
          <w:p w14:paraId="3E3B16D3">
            <w:pPr>
              <w:spacing w:line="240" w:lineRule="auto"/>
              <w:jc w:val="center"/>
              <w:rPr>
                <w:color w:val="000000"/>
                <w:sz w:val="21"/>
              </w:rPr>
            </w:pPr>
            <w:r>
              <w:rPr>
                <w:color w:val="000000"/>
                <w:sz w:val="21"/>
              </w:rPr>
              <w:t>0.4135</w:t>
            </w:r>
          </w:p>
        </w:tc>
        <w:tc>
          <w:tcPr>
            <w:tcW w:w="835" w:type="pct"/>
            <w:tcBorders>
              <w:tl2br w:val="nil"/>
              <w:tr2bl w:val="nil"/>
            </w:tcBorders>
            <w:vAlign w:val="center"/>
          </w:tcPr>
          <w:p w14:paraId="60668407">
            <w:pPr>
              <w:spacing w:line="240" w:lineRule="auto"/>
              <w:jc w:val="center"/>
              <w:rPr>
                <w:color w:val="000000"/>
                <w:sz w:val="21"/>
              </w:rPr>
            </w:pPr>
            <w:r>
              <w:rPr>
                <w:color w:val="000000"/>
                <w:spacing w:val="-10"/>
                <w:sz w:val="21"/>
              </w:rPr>
              <w:t>收集于专用包装桶内后暂存在</w:t>
            </w:r>
            <w:r>
              <w:rPr>
                <w:color w:val="000000"/>
                <w:sz w:val="21"/>
              </w:rPr>
              <w:t>LNG工厂现有危废暂存间，委托有资质单位处置</w:t>
            </w:r>
          </w:p>
        </w:tc>
        <w:tc>
          <w:tcPr>
            <w:tcW w:w="293" w:type="pct"/>
            <w:tcBorders>
              <w:tl2br w:val="nil"/>
              <w:tr2bl w:val="nil"/>
            </w:tcBorders>
            <w:vAlign w:val="center"/>
          </w:tcPr>
          <w:p w14:paraId="2FA365C8">
            <w:pPr>
              <w:spacing w:line="240" w:lineRule="auto"/>
              <w:jc w:val="center"/>
              <w:rPr>
                <w:color w:val="000000"/>
                <w:sz w:val="21"/>
              </w:rPr>
            </w:pPr>
            <w:r>
              <w:rPr>
                <w:color w:val="000000"/>
                <w:sz w:val="21"/>
              </w:rPr>
              <w:t>0.4135</w:t>
            </w:r>
          </w:p>
        </w:tc>
        <w:tc>
          <w:tcPr>
            <w:tcW w:w="557" w:type="pct"/>
            <w:tcBorders>
              <w:tl2br w:val="nil"/>
              <w:tr2bl w:val="nil"/>
            </w:tcBorders>
            <w:vAlign w:val="center"/>
          </w:tcPr>
          <w:p w14:paraId="3377C163">
            <w:pPr>
              <w:spacing w:line="240" w:lineRule="auto"/>
              <w:jc w:val="center"/>
              <w:rPr>
                <w:color w:val="000000"/>
                <w:sz w:val="21"/>
              </w:rPr>
            </w:pPr>
            <w:r>
              <w:rPr>
                <w:color w:val="000000"/>
                <w:sz w:val="21"/>
              </w:rPr>
              <w:t>危废资质单位</w:t>
            </w:r>
          </w:p>
        </w:tc>
      </w:tr>
      <w:tr w14:paraId="70203D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6" w:hRule="atLeast"/>
          <w:jc w:val="center"/>
        </w:trPr>
        <w:tc>
          <w:tcPr>
            <w:tcW w:w="207" w:type="pct"/>
            <w:vMerge w:val="restart"/>
            <w:tcBorders>
              <w:tl2br w:val="nil"/>
              <w:tr2bl w:val="nil"/>
            </w:tcBorders>
            <w:vAlign w:val="center"/>
          </w:tcPr>
          <w:p w14:paraId="35F55B37">
            <w:pPr>
              <w:spacing w:line="240" w:lineRule="auto"/>
              <w:jc w:val="center"/>
              <w:rPr>
                <w:color w:val="000000"/>
                <w:sz w:val="21"/>
              </w:rPr>
            </w:pPr>
            <w:r>
              <w:rPr>
                <w:color w:val="000000"/>
                <w:sz w:val="21"/>
              </w:rPr>
              <w:t>一般固废</w:t>
            </w:r>
          </w:p>
        </w:tc>
        <w:tc>
          <w:tcPr>
            <w:tcW w:w="194" w:type="pct"/>
            <w:tcBorders>
              <w:tl2br w:val="nil"/>
              <w:tr2bl w:val="nil"/>
            </w:tcBorders>
            <w:vAlign w:val="center"/>
          </w:tcPr>
          <w:p w14:paraId="35C5DE54">
            <w:pPr>
              <w:spacing w:line="240" w:lineRule="auto"/>
              <w:jc w:val="center"/>
              <w:rPr>
                <w:color w:val="000000"/>
                <w:sz w:val="21"/>
              </w:rPr>
            </w:pPr>
            <w:r>
              <w:rPr>
                <w:color w:val="000000"/>
                <w:sz w:val="21"/>
              </w:rPr>
              <w:t>S2</w:t>
            </w:r>
          </w:p>
        </w:tc>
        <w:tc>
          <w:tcPr>
            <w:tcW w:w="398" w:type="pct"/>
            <w:tcBorders>
              <w:tl2br w:val="nil"/>
              <w:tr2bl w:val="nil"/>
            </w:tcBorders>
            <w:vAlign w:val="center"/>
          </w:tcPr>
          <w:p w14:paraId="49278376">
            <w:pPr>
              <w:spacing w:line="240" w:lineRule="auto"/>
              <w:jc w:val="center"/>
              <w:rPr>
                <w:color w:val="000000"/>
                <w:sz w:val="21"/>
              </w:rPr>
            </w:pPr>
            <w:r>
              <w:rPr>
                <w:color w:val="000000"/>
                <w:sz w:val="21"/>
              </w:rPr>
              <w:t>压缩脱碳干燥</w:t>
            </w:r>
          </w:p>
        </w:tc>
        <w:tc>
          <w:tcPr>
            <w:tcW w:w="411" w:type="pct"/>
            <w:tcBorders>
              <w:tl2br w:val="nil"/>
              <w:tr2bl w:val="nil"/>
            </w:tcBorders>
            <w:vAlign w:val="center"/>
          </w:tcPr>
          <w:p w14:paraId="7D1183F6">
            <w:pPr>
              <w:spacing w:line="240" w:lineRule="auto"/>
              <w:jc w:val="center"/>
              <w:rPr>
                <w:color w:val="000000"/>
                <w:sz w:val="21"/>
              </w:rPr>
            </w:pPr>
            <w:r>
              <w:rPr>
                <w:color w:val="000000"/>
                <w:sz w:val="21"/>
              </w:rPr>
              <w:t>废干燥剂</w:t>
            </w:r>
          </w:p>
        </w:tc>
        <w:tc>
          <w:tcPr>
            <w:tcW w:w="245" w:type="pct"/>
            <w:tcBorders>
              <w:tl2br w:val="nil"/>
              <w:tr2bl w:val="nil"/>
            </w:tcBorders>
            <w:vAlign w:val="center"/>
          </w:tcPr>
          <w:p w14:paraId="2E0E09AD">
            <w:pPr>
              <w:spacing w:line="240" w:lineRule="auto"/>
              <w:jc w:val="center"/>
              <w:rPr>
                <w:color w:val="000000"/>
                <w:sz w:val="21"/>
              </w:rPr>
            </w:pPr>
            <w:r>
              <w:rPr>
                <w:color w:val="000000"/>
                <w:sz w:val="21"/>
              </w:rPr>
              <w:t>固态</w:t>
            </w:r>
          </w:p>
        </w:tc>
        <w:tc>
          <w:tcPr>
            <w:tcW w:w="430" w:type="pct"/>
            <w:tcBorders>
              <w:tl2br w:val="nil"/>
              <w:tr2bl w:val="nil"/>
            </w:tcBorders>
            <w:vAlign w:val="center"/>
          </w:tcPr>
          <w:p w14:paraId="3F1A0E8B">
            <w:pPr>
              <w:spacing w:line="240" w:lineRule="auto"/>
              <w:jc w:val="center"/>
              <w:rPr>
                <w:color w:val="000000"/>
                <w:sz w:val="21"/>
              </w:rPr>
            </w:pPr>
            <w:r>
              <w:rPr>
                <w:color w:val="000000"/>
                <w:sz w:val="21"/>
              </w:rPr>
              <w:t>一般工业固体废物</w:t>
            </w:r>
          </w:p>
        </w:tc>
        <w:tc>
          <w:tcPr>
            <w:tcW w:w="585" w:type="pct"/>
            <w:tcBorders>
              <w:tl2br w:val="nil"/>
              <w:tr2bl w:val="nil"/>
            </w:tcBorders>
            <w:vAlign w:val="center"/>
          </w:tcPr>
          <w:p w14:paraId="5AB7E134">
            <w:pPr>
              <w:spacing w:line="240" w:lineRule="auto"/>
              <w:jc w:val="center"/>
              <w:rPr>
                <w:color w:val="000000"/>
                <w:sz w:val="21"/>
              </w:rPr>
            </w:pPr>
            <w:r>
              <w:rPr>
                <w:color w:val="000000"/>
                <w:sz w:val="21"/>
              </w:rPr>
              <w:t>49</w:t>
            </w:r>
          </w:p>
        </w:tc>
        <w:tc>
          <w:tcPr>
            <w:tcW w:w="531" w:type="pct"/>
            <w:tcBorders>
              <w:tl2br w:val="nil"/>
              <w:tr2bl w:val="nil"/>
            </w:tcBorders>
            <w:vAlign w:val="center"/>
          </w:tcPr>
          <w:p w14:paraId="291868DC">
            <w:pPr>
              <w:spacing w:line="240" w:lineRule="auto"/>
              <w:jc w:val="center"/>
              <w:rPr>
                <w:color w:val="000000"/>
                <w:sz w:val="21"/>
              </w:rPr>
            </w:pPr>
            <w:r>
              <w:rPr>
                <w:color w:val="000000"/>
                <w:sz w:val="21"/>
              </w:rPr>
              <w:t>261-999-99</w:t>
            </w:r>
          </w:p>
        </w:tc>
        <w:tc>
          <w:tcPr>
            <w:tcW w:w="310" w:type="pct"/>
            <w:tcBorders>
              <w:tl2br w:val="nil"/>
              <w:tr2bl w:val="nil"/>
            </w:tcBorders>
            <w:vAlign w:val="center"/>
          </w:tcPr>
          <w:p w14:paraId="3AD15670">
            <w:pPr>
              <w:spacing w:line="240" w:lineRule="auto"/>
              <w:jc w:val="center"/>
              <w:rPr>
                <w:color w:val="000000"/>
                <w:sz w:val="21"/>
              </w:rPr>
            </w:pPr>
            <w:r>
              <w:rPr>
                <w:color w:val="000000"/>
                <w:sz w:val="21"/>
              </w:rPr>
              <w:t>1.1305</w:t>
            </w:r>
          </w:p>
        </w:tc>
        <w:tc>
          <w:tcPr>
            <w:tcW w:w="835" w:type="pct"/>
            <w:vMerge w:val="restart"/>
            <w:tcBorders>
              <w:tl2br w:val="nil"/>
              <w:tr2bl w:val="nil"/>
            </w:tcBorders>
            <w:vAlign w:val="center"/>
          </w:tcPr>
          <w:p w14:paraId="4FE1020A">
            <w:pPr>
              <w:spacing w:line="240" w:lineRule="auto"/>
              <w:jc w:val="center"/>
              <w:rPr>
                <w:color w:val="000000"/>
                <w:sz w:val="21"/>
              </w:rPr>
            </w:pPr>
            <w:r>
              <w:rPr>
                <w:color w:val="000000"/>
                <w:sz w:val="21"/>
              </w:rPr>
              <w:t>更换时交由回收单位</w:t>
            </w:r>
          </w:p>
        </w:tc>
        <w:tc>
          <w:tcPr>
            <w:tcW w:w="293" w:type="pct"/>
            <w:tcBorders>
              <w:tl2br w:val="nil"/>
              <w:tr2bl w:val="nil"/>
            </w:tcBorders>
            <w:vAlign w:val="center"/>
          </w:tcPr>
          <w:p w14:paraId="35EB910F">
            <w:pPr>
              <w:spacing w:line="240" w:lineRule="auto"/>
              <w:jc w:val="center"/>
              <w:rPr>
                <w:color w:val="000000"/>
                <w:kern w:val="0"/>
                <w:sz w:val="21"/>
              </w:rPr>
            </w:pPr>
            <w:r>
              <w:rPr>
                <w:color w:val="000000"/>
                <w:sz w:val="21"/>
              </w:rPr>
              <w:t>1.1305</w:t>
            </w:r>
          </w:p>
        </w:tc>
        <w:tc>
          <w:tcPr>
            <w:tcW w:w="557" w:type="pct"/>
            <w:vMerge w:val="restart"/>
            <w:tcBorders>
              <w:tl2br w:val="nil"/>
              <w:tr2bl w:val="nil"/>
            </w:tcBorders>
            <w:vAlign w:val="center"/>
          </w:tcPr>
          <w:p w14:paraId="79684C8A">
            <w:pPr>
              <w:spacing w:line="240" w:lineRule="auto"/>
              <w:jc w:val="center"/>
              <w:rPr>
                <w:color w:val="000000"/>
                <w:kern w:val="0"/>
                <w:sz w:val="21"/>
              </w:rPr>
            </w:pPr>
            <w:r>
              <w:rPr>
                <w:color w:val="000000"/>
                <w:sz w:val="21"/>
              </w:rPr>
              <w:t>回收单位</w:t>
            </w:r>
          </w:p>
        </w:tc>
      </w:tr>
      <w:tr w14:paraId="191A7F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6" w:hRule="atLeast"/>
          <w:jc w:val="center"/>
        </w:trPr>
        <w:tc>
          <w:tcPr>
            <w:tcW w:w="207" w:type="pct"/>
            <w:vMerge w:val="continue"/>
            <w:tcBorders>
              <w:tl2br w:val="nil"/>
              <w:tr2bl w:val="nil"/>
            </w:tcBorders>
            <w:vAlign w:val="center"/>
          </w:tcPr>
          <w:p w14:paraId="5498BF54">
            <w:pPr>
              <w:spacing w:line="240" w:lineRule="auto"/>
              <w:jc w:val="center"/>
              <w:rPr>
                <w:color w:val="000000"/>
                <w:sz w:val="21"/>
              </w:rPr>
            </w:pPr>
          </w:p>
        </w:tc>
        <w:tc>
          <w:tcPr>
            <w:tcW w:w="194" w:type="pct"/>
            <w:tcBorders>
              <w:tl2br w:val="nil"/>
              <w:tr2bl w:val="nil"/>
            </w:tcBorders>
            <w:vAlign w:val="center"/>
          </w:tcPr>
          <w:p w14:paraId="45884905">
            <w:pPr>
              <w:spacing w:line="240" w:lineRule="auto"/>
              <w:jc w:val="center"/>
              <w:rPr>
                <w:color w:val="000000"/>
                <w:sz w:val="21"/>
              </w:rPr>
            </w:pPr>
            <w:r>
              <w:rPr>
                <w:color w:val="000000"/>
                <w:sz w:val="21"/>
              </w:rPr>
              <w:t>S3</w:t>
            </w:r>
          </w:p>
        </w:tc>
        <w:tc>
          <w:tcPr>
            <w:tcW w:w="398" w:type="pct"/>
            <w:tcBorders>
              <w:tl2br w:val="nil"/>
              <w:tr2bl w:val="nil"/>
            </w:tcBorders>
            <w:vAlign w:val="center"/>
          </w:tcPr>
          <w:p w14:paraId="49AD5C8B">
            <w:pPr>
              <w:spacing w:line="240" w:lineRule="auto"/>
              <w:jc w:val="center"/>
              <w:rPr>
                <w:color w:val="000000"/>
                <w:sz w:val="21"/>
              </w:rPr>
            </w:pPr>
            <w:r>
              <w:rPr>
                <w:color w:val="000000"/>
                <w:sz w:val="21"/>
              </w:rPr>
              <w:t>膜分离</w:t>
            </w:r>
          </w:p>
        </w:tc>
        <w:tc>
          <w:tcPr>
            <w:tcW w:w="411" w:type="pct"/>
            <w:tcBorders>
              <w:tl2br w:val="nil"/>
              <w:tr2bl w:val="nil"/>
            </w:tcBorders>
            <w:vAlign w:val="center"/>
          </w:tcPr>
          <w:p w14:paraId="288FC0C3">
            <w:pPr>
              <w:spacing w:line="240" w:lineRule="auto"/>
              <w:jc w:val="center"/>
              <w:rPr>
                <w:color w:val="000000"/>
                <w:sz w:val="21"/>
              </w:rPr>
            </w:pPr>
            <w:r>
              <w:rPr>
                <w:color w:val="000000"/>
                <w:sz w:val="21"/>
              </w:rPr>
              <w:t>废滤膜</w:t>
            </w:r>
          </w:p>
        </w:tc>
        <w:tc>
          <w:tcPr>
            <w:tcW w:w="245" w:type="pct"/>
            <w:tcBorders>
              <w:tl2br w:val="nil"/>
              <w:tr2bl w:val="nil"/>
            </w:tcBorders>
            <w:vAlign w:val="center"/>
          </w:tcPr>
          <w:p w14:paraId="59794D9B">
            <w:pPr>
              <w:spacing w:line="240" w:lineRule="auto"/>
              <w:jc w:val="center"/>
              <w:rPr>
                <w:color w:val="000000"/>
                <w:sz w:val="21"/>
              </w:rPr>
            </w:pPr>
            <w:r>
              <w:rPr>
                <w:color w:val="000000"/>
                <w:sz w:val="21"/>
              </w:rPr>
              <w:t>固态</w:t>
            </w:r>
          </w:p>
        </w:tc>
        <w:tc>
          <w:tcPr>
            <w:tcW w:w="430" w:type="pct"/>
            <w:tcBorders>
              <w:tl2br w:val="nil"/>
              <w:tr2bl w:val="nil"/>
            </w:tcBorders>
            <w:vAlign w:val="center"/>
          </w:tcPr>
          <w:p w14:paraId="09907C4B">
            <w:pPr>
              <w:spacing w:line="240" w:lineRule="auto"/>
              <w:jc w:val="center"/>
              <w:rPr>
                <w:color w:val="000000"/>
                <w:sz w:val="21"/>
              </w:rPr>
            </w:pPr>
            <w:r>
              <w:rPr>
                <w:color w:val="000000"/>
                <w:sz w:val="21"/>
              </w:rPr>
              <w:t>一般工业固体废物</w:t>
            </w:r>
          </w:p>
        </w:tc>
        <w:tc>
          <w:tcPr>
            <w:tcW w:w="585" w:type="pct"/>
            <w:tcBorders>
              <w:tl2br w:val="nil"/>
              <w:tr2bl w:val="nil"/>
            </w:tcBorders>
            <w:vAlign w:val="center"/>
          </w:tcPr>
          <w:p w14:paraId="3D1A81C3">
            <w:pPr>
              <w:spacing w:line="240" w:lineRule="auto"/>
              <w:jc w:val="center"/>
              <w:rPr>
                <w:color w:val="000000"/>
                <w:sz w:val="21"/>
              </w:rPr>
            </w:pPr>
            <w:r>
              <w:rPr>
                <w:color w:val="000000"/>
                <w:sz w:val="21"/>
              </w:rPr>
              <w:t>49</w:t>
            </w:r>
          </w:p>
        </w:tc>
        <w:tc>
          <w:tcPr>
            <w:tcW w:w="531" w:type="pct"/>
            <w:tcBorders>
              <w:tl2br w:val="nil"/>
              <w:tr2bl w:val="nil"/>
            </w:tcBorders>
            <w:vAlign w:val="center"/>
          </w:tcPr>
          <w:p w14:paraId="77575895">
            <w:pPr>
              <w:spacing w:line="240" w:lineRule="auto"/>
              <w:jc w:val="center"/>
              <w:rPr>
                <w:color w:val="000000"/>
                <w:sz w:val="21"/>
              </w:rPr>
            </w:pPr>
            <w:r>
              <w:rPr>
                <w:color w:val="000000"/>
                <w:sz w:val="21"/>
              </w:rPr>
              <w:t>261-999-99</w:t>
            </w:r>
          </w:p>
        </w:tc>
        <w:tc>
          <w:tcPr>
            <w:tcW w:w="310" w:type="pct"/>
            <w:tcBorders>
              <w:tl2br w:val="nil"/>
              <w:tr2bl w:val="nil"/>
            </w:tcBorders>
            <w:vAlign w:val="center"/>
          </w:tcPr>
          <w:p w14:paraId="74B534C6">
            <w:pPr>
              <w:spacing w:line="240" w:lineRule="auto"/>
              <w:jc w:val="center"/>
              <w:rPr>
                <w:color w:val="000000"/>
                <w:sz w:val="21"/>
              </w:rPr>
            </w:pPr>
            <w:r>
              <w:rPr>
                <w:color w:val="000000"/>
                <w:sz w:val="21"/>
              </w:rPr>
              <w:t>0.05</w:t>
            </w:r>
          </w:p>
        </w:tc>
        <w:tc>
          <w:tcPr>
            <w:tcW w:w="835" w:type="pct"/>
            <w:vMerge w:val="continue"/>
            <w:tcBorders>
              <w:tl2br w:val="nil"/>
              <w:tr2bl w:val="nil"/>
            </w:tcBorders>
            <w:vAlign w:val="center"/>
          </w:tcPr>
          <w:p w14:paraId="73D951CF">
            <w:pPr>
              <w:spacing w:line="240" w:lineRule="auto"/>
              <w:jc w:val="center"/>
              <w:rPr>
                <w:color w:val="000000"/>
                <w:sz w:val="21"/>
              </w:rPr>
            </w:pPr>
          </w:p>
        </w:tc>
        <w:tc>
          <w:tcPr>
            <w:tcW w:w="293" w:type="pct"/>
            <w:tcBorders>
              <w:tl2br w:val="nil"/>
              <w:tr2bl w:val="nil"/>
            </w:tcBorders>
            <w:vAlign w:val="center"/>
          </w:tcPr>
          <w:p w14:paraId="6C31881F">
            <w:pPr>
              <w:spacing w:line="240" w:lineRule="auto"/>
              <w:jc w:val="center"/>
              <w:rPr>
                <w:color w:val="000000"/>
                <w:sz w:val="21"/>
              </w:rPr>
            </w:pPr>
            <w:r>
              <w:rPr>
                <w:color w:val="000000"/>
                <w:sz w:val="21"/>
              </w:rPr>
              <w:t>0.05</w:t>
            </w:r>
          </w:p>
        </w:tc>
        <w:tc>
          <w:tcPr>
            <w:tcW w:w="557" w:type="pct"/>
            <w:vMerge w:val="continue"/>
            <w:tcBorders>
              <w:tl2br w:val="nil"/>
              <w:tr2bl w:val="nil"/>
            </w:tcBorders>
            <w:vAlign w:val="center"/>
          </w:tcPr>
          <w:p w14:paraId="13600AEC">
            <w:pPr>
              <w:spacing w:line="240" w:lineRule="auto"/>
              <w:jc w:val="center"/>
              <w:rPr>
                <w:color w:val="000000"/>
                <w:sz w:val="21"/>
              </w:rPr>
            </w:pPr>
          </w:p>
        </w:tc>
      </w:tr>
      <w:tr w14:paraId="220A57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6" w:hRule="atLeast"/>
          <w:jc w:val="center"/>
        </w:trPr>
        <w:tc>
          <w:tcPr>
            <w:tcW w:w="207" w:type="pct"/>
            <w:vMerge w:val="continue"/>
            <w:tcBorders>
              <w:tl2br w:val="nil"/>
              <w:tr2bl w:val="nil"/>
            </w:tcBorders>
            <w:vAlign w:val="center"/>
          </w:tcPr>
          <w:p w14:paraId="66E6AD4E">
            <w:pPr>
              <w:spacing w:line="240" w:lineRule="auto"/>
              <w:jc w:val="center"/>
              <w:rPr>
                <w:color w:val="000000"/>
                <w:sz w:val="21"/>
              </w:rPr>
            </w:pPr>
          </w:p>
        </w:tc>
        <w:tc>
          <w:tcPr>
            <w:tcW w:w="194" w:type="pct"/>
            <w:tcBorders>
              <w:tl2br w:val="nil"/>
              <w:tr2bl w:val="nil"/>
            </w:tcBorders>
            <w:vAlign w:val="center"/>
          </w:tcPr>
          <w:p w14:paraId="22348ECF">
            <w:pPr>
              <w:spacing w:line="240" w:lineRule="auto"/>
              <w:jc w:val="center"/>
              <w:rPr>
                <w:color w:val="000000"/>
                <w:sz w:val="21"/>
              </w:rPr>
            </w:pPr>
            <w:r>
              <w:rPr>
                <w:color w:val="000000"/>
                <w:sz w:val="21"/>
              </w:rPr>
              <w:t>S4</w:t>
            </w:r>
          </w:p>
        </w:tc>
        <w:tc>
          <w:tcPr>
            <w:tcW w:w="398" w:type="pct"/>
            <w:tcBorders>
              <w:tl2br w:val="nil"/>
              <w:tr2bl w:val="nil"/>
            </w:tcBorders>
            <w:vAlign w:val="center"/>
          </w:tcPr>
          <w:p w14:paraId="6C36FFE3">
            <w:pPr>
              <w:spacing w:line="240" w:lineRule="auto"/>
              <w:jc w:val="center"/>
              <w:rPr>
                <w:color w:val="000000"/>
                <w:sz w:val="21"/>
              </w:rPr>
            </w:pPr>
            <w:r>
              <w:rPr>
                <w:color w:val="000000"/>
                <w:sz w:val="21"/>
              </w:rPr>
              <w:t>吸附脱氢</w:t>
            </w:r>
          </w:p>
        </w:tc>
        <w:tc>
          <w:tcPr>
            <w:tcW w:w="411" w:type="pct"/>
            <w:tcBorders>
              <w:tl2br w:val="nil"/>
              <w:tr2bl w:val="nil"/>
            </w:tcBorders>
            <w:vAlign w:val="center"/>
          </w:tcPr>
          <w:p w14:paraId="779DEAA4">
            <w:pPr>
              <w:spacing w:line="240" w:lineRule="auto"/>
              <w:jc w:val="center"/>
              <w:rPr>
                <w:color w:val="000000"/>
                <w:sz w:val="21"/>
              </w:rPr>
            </w:pPr>
            <w:r>
              <w:rPr>
                <w:color w:val="000000"/>
                <w:sz w:val="21"/>
              </w:rPr>
              <w:t>吸附脱氢废催化剂</w:t>
            </w:r>
          </w:p>
        </w:tc>
        <w:tc>
          <w:tcPr>
            <w:tcW w:w="245" w:type="pct"/>
            <w:tcBorders>
              <w:tl2br w:val="nil"/>
              <w:tr2bl w:val="nil"/>
            </w:tcBorders>
            <w:vAlign w:val="center"/>
          </w:tcPr>
          <w:p w14:paraId="0E3DC0CC">
            <w:pPr>
              <w:spacing w:line="240" w:lineRule="auto"/>
              <w:jc w:val="center"/>
              <w:rPr>
                <w:color w:val="000000"/>
                <w:sz w:val="21"/>
              </w:rPr>
            </w:pPr>
            <w:r>
              <w:rPr>
                <w:color w:val="000000"/>
                <w:sz w:val="21"/>
              </w:rPr>
              <w:t>固态</w:t>
            </w:r>
          </w:p>
        </w:tc>
        <w:tc>
          <w:tcPr>
            <w:tcW w:w="430" w:type="pct"/>
            <w:tcBorders>
              <w:tl2br w:val="nil"/>
              <w:tr2bl w:val="nil"/>
            </w:tcBorders>
            <w:vAlign w:val="center"/>
          </w:tcPr>
          <w:p w14:paraId="03CAF6A5">
            <w:pPr>
              <w:spacing w:line="240" w:lineRule="auto"/>
              <w:jc w:val="center"/>
              <w:rPr>
                <w:color w:val="000000"/>
                <w:sz w:val="21"/>
              </w:rPr>
            </w:pPr>
            <w:r>
              <w:rPr>
                <w:color w:val="000000"/>
                <w:sz w:val="21"/>
              </w:rPr>
              <w:t>一般工业固体废物</w:t>
            </w:r>
          </w:p>
        </w:tc>
        <w:tc>
          <w:tcPr>
            <w:tcW w:w="585" w:type="pct"/>
            <w:tcBorders>
              <w:tl2br w:val="nil"/>
              <w:tr2bl w:val="nil"/>
            </w:tcBorders>
            <w:vAlign w:val="center"/>
          </w:tcPr>
          <w:p w14:paraId="1D46E2D5">
            <w:pPr>
              <w:spacing w:line="240" w:lineRule="auto"/>
              <w:jc w:val="center"/>
              <w:rPr>
                <w:color w:val="000000"/>
                <w:sz w:val="21"/>
              </w:rPr>
            </w:pPr>
            <w:r>
              <w:rPr>
                <w:color w:val="000000"/>
                <w:sz w:val="21"/>
              </w:rPr>
              <w:t>49</w:t>
            </w:r>
          </w:p>
        </w:tc>
        <w:tc>
          <w:tcPr>
            <w:tcW w:w="531" w:type="pct"/>
            <w:tcBorders>
              <w:tl2br w:val="nil"/>
              <w:tr2bl w:val="nil"/>
            </w:tcBorders>
            <w:vAlign w:val="center"/>
          </w:tcPr>
          <w:p w14:paraId="17599A41">
            <w:pPr>
              <w:spacing w:line="240" w:lineRule="auto"/>
              <w:jc w:val="center"/>
              <w:rPr>
                <w:color w:val="000000"/>
                <w:sz w:val="21"/>
              </w:rPr>
            </w:pPr>
            <w:r>
              <w:rPr>
                <w:color w:val="000000"/>
                <w:sz w:val="21"/>
              </w:rPr>
              <w:t>261-999-99</w:t>
            </w:r>
          </w:p>
        </w:tc>
        <w:tc>
          <w:tcPr>
            <w:tcW w:w="310" w:type="pct"/>
            <w:tcBorders>
              <w:tl2br w:val="nil"/>
              <w:tr2bl w:val="nil"/>
            </w:tcBorders>
            <w:vAlign w:val="center"/>
          </w:tcPr>
          <w:p w14:paraId="0AB83A9B">
            <w:pPr>
              <w:spacing w:line="240" w:lineRule="auto"/>
              <w:jc w:val="center"/>
              <w:rPr>
                <w:color w:val="000000"/>
                <w:sz w:val="21"/>
              </w:rPr>
            </w:pPr>
            <w:r>
              <w:rPr>
                <w:color w:val="000000"/>
                <w:sz w:val="21"/>
              </w:rPr>
              <w:t>0.0378</w:t>
            </w:r>
          </w:p>
        </w:tc>
        <w:tc>
          <w:tcPr>
            <w:tcW w:w="835" w:type="pct"/>
            <w:vMerge w:val="continue"/>
            <w:tcBorders>
              <w:tl2br w:val="nil"/>
              <w:tr2bl w:val="nil"/>
            </w:tcBorders>
            <w:vAlign w:val="center"/>
          </w:tcPr>
          <w:p w14:paraId="1DC49598">
            <w:pPr>
              <w:spacing w:line="240" w:lineRule="auto"/>
              <w:jc w:val="center"/>
              <w:rPr>
                <w:color w:val="000000"/>
                <w:sz w:val="21"/>
              </w:rPr>
            </w:pPr>
          </w:p>
        </w:tc>
        <w:tc>
          <w:tcPr>
            <w:tcW w:w="293" w:type="pct"/>
            <w:tcBorders>
              <w:tl2br w:val="nil"/>
              <w:tr2bl w:val="nil"/>
            </w:tcBorders>
            <w:vAlign w:val="center"/>
          </w:tcPr>
          <w:p w14:paraId="75998924">
            <w:pPr>
              <w:spacing w:line="240" w:lineRule="auto"/>
              <w:jc w:val="center"/>
              <w:rPr>
                <w:color w:val="000000"/>
                <w:sz w:val="21"/>
              </w:rPr>
            </w:pPr>
            <w:r>
              <w:rPr>
                <w:color w:val="000000"/>
                <w:sz w:val="21"/>
              </w:rPr>
              <w:t>0.0378</w:t>
            </w:r>
          </w:p>
        </w:tc>
        <w:tc>
          <w:tcPr>
            <w:tcW w:w="557" w:type="pct"/>
            <w:vMerge w:val="continue"/>
            <w:tcBorders>
              <w:tl2br w:val="nil"/>
              <w:tr2bl w:val="nil"/>
            </w:tcBorders>
            <w:vAlign w:val="center"/>
          </w:tcPr>
          <w:p w14:paraId="1DBACEBC">
            <w:pPr>
              <w:spacing w:line="240" w:lineRule="auto"/>
              <w:jc w:val="center"/>
              <w:rPr>
                <w:color w:val="000000"/>
                <w:sz w:val="21"/>
              </w:rPr>
            </w:pPr>
          </w:p>
        </w:tc>
      </w:tr>
      <w:tr w14:paraId="7FE919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7" w:type="pct"/>
            <w:vMerge w:val="continue"/>
            <w:tcBorders>
              <w:tl2br w:val="nil"/>
              <w:tr2bl w:val="nil"/>
            </w:tcBorders>
            <w:vAlign w:val="center"/>
          </w:tcPr>
          <w:p w14:paraId="1D585872">
            <w:pPr>
              <w:spacing w:line="240" w:lineRule="auto"/>
              <w:jc w:val="center"/>
              <w:rPr>
                <w:color w:val="000000"/>
                <w:sz w:val="21"/>
              </w:rPr>
            </w:pPr>
          </w:p>
        </w:tc>
        <w:tc>
          <w:tcPr>
            <w:tcW w:w="194" w:type="pct"/>
            <w:tcBorders>
              <w:tl2br w:val="nil"/>
              <w:tr2bl w:val="nil"/>
            </w:tcBorders>
            <w:vAlign w:val="center"/>
          </w:tcPr>
          <w:p w14:paraId="3764CB2E">
            <w:pPr>
              <w:spacing w:line="240" w:lineRule="auto"/>
              <w:jc w:val="center"/>
              <w:rPr>
                <w:color w:val="000000"/>
                <w:sz w:val="21"/>
              </w:rPr>
            </w:pPr>
            <w:r>
              <w:rPr>
                <w:color w:val="000000"/>
                <w:sz w:val="21"/>
              </w:rPr>
              <w:t>S5</w:t>
            </w:r>
          </w:p>
        </w:tc>
        <w:tc>
          <w:tcPr>
            <w:tcW w:w="398" w:type="pct"/>
            <w:tcBorders>
              <w:tl2br w:val="nil"/>
              <w:tr2bl w:val="nil"/>
            </w:tcBorders>
            <w:vAlign w:val="center"/>
          </w:tcPr>
          <w:p w14:paraId="24A5C31C">
            <w:pPr>
              <w:spacing w:line="240" w:lineRule="auto"/>
              <w:jc w:val="center"/>
              <w:rPr>
                <w:color w:val="000000"/>
                <w:sz w:val="21"/>
              </w:rPr>
            </w:pPr>
            <w:r>
              <w:rPr>
                <w:color w:val="000000"/>
                <w:sz w:val="21"/>
              </w:rPr>
              <w:t>脱碳干燥</w:t>
            </w:r>
          </w:p>
        </w:tc>
        <w:tc>
          <w:tcPr>
            <w:tcW w:w="411" w:type="pct"/>
            <w:tcBorders>
              <w:tl2br w:val="nil"/>
              <w:tr2bl w:val="nil"/>
            </w:tcBorders>
            <w:vAlign w:val="center"/>
          </w:tcPr>
          <w:p w14:paraId="658B2984">
            <w:pPr>
              <w:spacing w:line="240" w:lineRule="auto"/>
              <w:jc w:val="center"/>
              <w:rPr>
                <w:color w:val="000000"/>
                <w:sz w:val="21"/>
              </w:rPr>
            </w:pPr>
            <w:r>
              <w:rPr>
                <w:color w:val="000000"/>
                <w:sz w:val="21"/>
              </w:rPr>
              <w:t>废干燥剂</w:t>
            </w:r>
          </w:p>
        </w:tc>
        <w:tc>
          <w:tcPr>
            <w:tcW w:w="245" w:type="pct"/>
            <w:tcBorders>
              <w:tl2br w:val="nil"/>
              <w:tr2bl w:val="nil"/>
            </w:tcBorders>
            <w:vAlign w:val="center"/>
          </w:tcPr>
          <w:p w14:paraId="3D909145">
            <w:pPr>
              <w:spacing w:line="240" w:lineRule="auto"/>
              <w:jc w:val="center"/>
              <w:rPr>
                <w:color w:val="000000"/>
                <w:sz w:val="21"/>
              </w:rPr>
            </w:pPr>
            <w:r>
              <w:rPr>
                <w:color w:val="000000"/>
                <w:sz w:val="21"/>
              </w:rPr>
              <w:t>固态</w:t>
            </w:r>
          </w:p>
        </w:tc>
        <w:tc>
          <w:tcPr>
            <w:tcW w:w="430" w:type="pct"/>
            <w:tcBorders>
              <w:tl2br w:val="nil"/>
              <w:tr2bl w:val="nil"/>
            </w:tcBorders>
            <w:vAlign w:val="center"/>
          </w:tcPr>
          <w:p w14:paraId="163BD0D7">
            <w:pPr>
              <w:spacing w:line="240" w:lineRule="auto"/>
              <w:jc w:val="center"/>
              <w:rPr>
                <w:color w:val="000000"/>
                <w:sz w:val="21"/>
              </w:rPr>
            </w:pPr>
            <w:r>
              <w:rPr>
                <w:color w:val="000000"/>
                <w:sz w:val="21"/>
              </w:rPr>
              <w:t>一般工业固体废物</w:t>
            </w:r>
          </w:p>
        </w:tc>
        <w:tc>
          <w:tcPr>
            <w:tcW w:w="585" w:type="pct"/>
            <w:tcBorders>
              <w:tl2br w:val="nil"/>
              <w:tr2bl w:val="nil"/>
            </w:tcBorders>
            <w:vAlign w:val="center"/>
          </w:tcPr>
          <w:p w14:paraId="22309124">
            <w:pPr>
              <w:spacing w:line="240" w:lineRule="auto"/>
              <w:jc w:val="center"/>
              <w:rPr>
                <w:color w:val="000000"/>
                <w:sz w:val="21"/>
              </w:rPr>
            </w:pPr>
            <w:r>
              <w:rPr>
                <w:color w:val="000000"/>
                <w:sz w:val="21"/>
              </w:rPr>
              <w:t>49</w:t>
            </w:r>
          </w:p>
        </w:tc>
        <w:tc>
          <w:tcPr>
            <w:tcW w:w="531" w:type="pct"/>
            <w:tcBorders>
              <w:tl2br w:val="nil"/>
              <w:tr2bl w:val="nil"/>
            </w:tcBorders>
            <w:vAlign w:val="center"/>
          </w:tcPr>
          <w:p w14:paraId="7DF371C5">
            <w:pPr>
              <w:spacing w:line="240" w:lineRule="auto"/>
              <w:jc w:val="center"/>
              <w:rPr>
                <w:color w:val="000000"/>
                <w:sz w:val="21"/>
              </w:rPr>
            </w:pPr>
            <w:r>
              <w:rPr>
                <w:color w:val="000000"/>
                <w:sz w:val="21"/>
              </w:rPr>
              <w:t>261-999-99</w:t>
            </w:r>
          </w:p>
        </w:tc>
        <w:tc>
          <w:tcPr>
            <w:tcW w:w="310" w:type="pct"/>
            <w:tcBorders>
              <w:tl2br w:val="nil"/>
              <w:tr2bl w:val="nil"/>
            </w:tcBorders>
            <w:vAlign w:val="center"/>
          </w:tcPr>
          <w:p w14:paraId="1DA95C55">
            <w:pPr>
              <w:spacing w:line="240" w:lineRule="auto"/>
              <w:jc w:val="center"/>
              <w:rPr>
                <w:color w:val="000000"/>
                <w:sz w:val="21"/>
              </w:rPr>
            </w:pPr>
            <w:r>
              <w:rPr>
                <w:color w:val="000000"/>
                <w:sz w:val="21"/>
              </w:rPr>
              <w:t>0.0565</w:t>
            </w:r>
          </w:p>
        </w:tc>
        <w:tc>
          <w:tcPr>
            <w:tcW w:w="835" w:type="pct"/>
            <w:vMerge w:val="continue"/>
            <w:tcBorders>
              <w:tl2br w:val="nil"/>
              <w:tr2bl w:val="nil"/>
            </w:tcBorders>
            <w:vAlign w:val="center"/>
          </w:tcPr>
          <w:p w14:paraId="7DAF557F">
            <w:pPr>
              <w:spacing w:line="240" w:lineRule="auto"/>
              <w:jc w:val="center"/>
              <w:rPr>
                <w:color w:val="000000"/>
                <w:sz w:val="21"/>
              </w:rPr>
            </w:pPr>
          </w:p>
        </w:tc>
        <w:tc>
          <w:tcPr>
            <w:tcW w:w="293" w:type="pct"/>
            <w:tcBorders>
              <w:tl2br w:val="nil"/>
              <w:tr2bl w:val="nil"/>
            </w:tcBorders>
            <w:vAlign w:val="center"/>
          </w:tcPr>
          <w:p w14:paraId="70122297">
            <w:pPr>
              <w:spacing w:line="240" w:lineRule="auto"/>
              <w:jc w:val="center"/>
              <w:rPr>
                <w:color w:val="000000"/>
                <w:sz w:val="21"/>
              </w:rPr>
            </w:pPr>
            <w:r>
              <w:rPr>
                <w:color w:val="000000"/>
                <w:sz w:val="21"/>
              </w:rPr>
              <w:t>0.0565</w:t>
            </w:r>
          </w:p>
        </w:tc>
        <w:tc>
          <w:tcPr>
            <w:tcW w:w="557" w:type="pct"/>
            <w:vMerge w:val="continue"/>
            <w:tcBorders>
              <w:tl2br w:val="nil"/>
              <w:tr2bl w:val="nil"/>
            </w:tcBorders>
            <w:vAlign w:val="center"/>
          </w:tcPr>
          <w:p w14:paraId="0349AA63">
            <w:pPr>
              <w:spacing w:line="240" w:lineRule="auto"/>
              <w:jc w:val="center"/>
              <w:rPr>
                <w:color w:val="000000"/>
                <w:kern w:val="0"/>
                <w:sz w:val="21"/>
              </w:rPr>
            </w:pPr>
          </w:p>
        </w:tc>
      </w:tr>
      <w:tr w14:paraId="6BE2C1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7" w:type="pct"/>
            <w:vMerge w:val="continue"/>
            <w:tcBorders>
              <w:tl2br w:val="nil"/>
              <w:tr2bl w:val="nil"/>
            </w:tcBorders>
            <w:vAlign w:val="center"/>
          </w:tcPr>
          <w:p w14:paraId="54CCC8F6">
            <w:pPr>
              <w:spacing w:line="240" w:lineRule="auto"/>
              <w:jc w:val="center"/>
              <w:rPr>
                <w:color w:val="000000"/>
                <w:sz w:val="21"/>
              </w:rPr>
            </w:pPr>
          </w:p>
        </w:tc>
        <w:tc>
          <w:tcPr>
            <w:tcW w:w="194" w:type="pct"/>
            <w:tcBorders>
              <w:tl2br w:val="nil"/>
              <w:tr2bl w:val="nil"/>
            </w:tcBorders>
            <w:vAlign w:val="center"/>
          </w:tcPr>
          <w:p w14:paraId="05C1AE95">
            <w:pPr>
              <w:spacing w:line="240" w:lineRule="auto"/>
              <w:jc w:val="center"/>
              <w:rPr>
                <w:color w:val="000000"/>
                <w:sz w:val="21"/>
              </w:rPr>
            </w:pPr>
            <w:r>
              <w:rPr>
                <w:color w:val="000000"/>
                <w:sz w:val="21"/>
              </w:rPr>
              <w:t>S6</w:t>
            </w:r>
          </w:p>
        </w:tc>
        <w:tc>
          <w:tcPr>
            <w:tcW w:w="398" w:type="pct"/>
            <w:tcBorders>
              <w:tl2br w:val="nil"/>
              <w:tr2bl w:val="nil"/>
            </w:tcBorders>
            <w:vAlign w:val="center"/>
          </w:tcPr>
          <w:p w14:paraId="56152453">
            <w:pPr>
              <w:spacing w:line="240" w:lineRule="auto"/>
              <w:jc w:val="center"/>
              <w:rPr>
                <w:color w:val="000000"/>
                <w:sz w:val="21"/>
              </w:rPr>
            </w:pPr>
            <w:r>
              <w:rPr>
                <w:color w:val="000000"/>
                <w:sz w:val="21"/>
              </w:rPr>
              <w:t>低温精制</w:t>
            </w:r>
          </w:p>
        </w:tc>
        <w:tc>
          <w:tcPr>
            <w:tcW w:w="411" w:type="pct"/>
            <w:tcBorders>
              <w:tl2br w:val="nil"/>
              <w:tr2bl w:val="nil"/>
            </w:tcBorders>
            <w:vAlign w:val="center"/>
          </w:tcPr>
          <w:p w14:paraId="3D627FF7">
            <w:pPr>
              <w:spacing w:line="240" w:lineRule="auto"/>
              <w:jc w:val="center"/>
              <w:rPr>
                <w:color w:val="000000"/>
                <w:sz w:val="21"/>
              </w:rPr>
            </w:pPr>
            <w:r>
              <w:rPr>
                <w:color w:val="000000"/>
                <w:sz w:val="21"/>
              </w:rPr>
              <w:t>低温精制废吸附剂</w:t>
            </w:r>
          </w:p>
        </w:tc>
        <w:tc>
          <w:tcPr>
            <w:tcW w:w="245" w:type="pct"/>
            <w:tcBorders>
              <w:tl2br w:val="nil"/>
              <w:tr2bl w:val="nil"/>
            </w:tcBorders>
            <w:vAlign w:val="center"/>
          </w:tcPr>
          <w:p w14:paraId="51FAAEAC">
            <w:pPr>
              <w:spacing w:line="240" w:lineRule="auto"/>
              <w:jc w:val="center"/>
              <w:rPr>
                <w:color w:val="000000"/>
                <w:sz w:val="21"/>
              </w:rPr>
            </w:pPr>
            <w:r>
              <w:rPr>
                <w:color w:val="000000"/>
                <w:sz w:val="21"/>
              </w:rPr>
              <w:t>固态</w:t>
            </w:r>
          </w:p>
        </w:tc>
        <w:tc>
          <w:tcPr>
            <w:tcW w:w="430" w:type="pct"/>
            <w:tcBorders>
              <w:tl2br w:val="nil"/>
              <w:tr2bl w:val="nil"/>
            </w:tcBorders>
            <w:vAlign w:val="center"/>
          </w:tcPr>
          <w:p w14:paraId="0812A272">
            <w:pPr>
              <w:spacing w:line="240" w:lineRule="auto"/>
              <w:jc w:val="center"/>
              <w:rPr>
                <w:color w:val="000000"/>
                <w:sz w:val="21"/>
              </w:rPr>
            </w:pPr>
            <w:r>
              <w:rPr>
                <w:color w:val="000000"/>
                <w:sz w:val="21"/>
              </w:rPr>
              <w:t>一般工业固体废物</w:t>
            </w:r>
          </w:p>
        </w:tc>
        <w:tc>
          <w:tcPr>
            <w:tcW w:w="585" w:type="pct"/>
            <w:tcBorders>
              <w:tl2br w:val="nil"/>
              <w:tr2bl w:val="nil"/>
            </w:tcBorders>
            <w:vAlign w:val="center"/>
          </w:tcPr>
          <w:p w14:paraId="5A661475">
            <w:pPr>
              <w:spacing w:line="240" w:lineRule="auto"/>
              <w:jc w:val="center"/>
              <w:rPr>
                <w:color w:val="000000"/>
                <w:sz w:val="21"/>
              </w:rPr>
            </w:pPr>
            <w:r>
              <w:rPr>
                <w:color w:val="000000"/>
                <w:sz w:val="21"/>
              </w:rPr>
              <w:t>49</w:t>
            </w:r>
          </w:p>
        </w:tc>
        <w:tc>
          <w:tcPr>
            <w:tcW w:w="531" w:type="pct"/>
            <w:tcBorders>
              <w:tl2br w:val="nil"/>
              <w:tr2bl w:val="nil"/>
            </w:tcBorders>
            <w:vAlign w:val="center"/>
          </w:tcPr>
          <w:p w14:paraId="78C90021">
            <w:pPr>
              <w:spacing w:line="240" w:lineRule="auto"/>
              <w:jc w:val="center"/>
              <w:rPr>
                <w:color w:val="000000"/>
                <w:sz w:val="21"/>
              </w:rPr>
            </w:pPr>
            <w:r>
              <w:rPr>
                <w:color w:val="000000"/>
                <w:sz w:val="21"/>
              </w:rPr>
              <w:t>261-999-99</w:t>
            </w:r>
          </w:p>
        </w:tc>
        <w:tc>
          <w:tcPr>
            <w:tcW w:w="310" w:type="pct"/>
            <w:tcBorders>
              <w:tl2br w:val="nil"/>
              <w:tr2bl w:val="nil"/>
            </w:tcBorders>
            <w:vAlign w:val="center"/>
          </w:tcPr>
          <w:p w14:paraId="6AA9759F">
            <w:pPr>
              <w:spacing w:line="240" w:lineRule="auto"/>
              <w:jc w:val="center"/>
              <w:rPr>
                <w:color w:val="000000"/>
                <w:sz w:val="21"/>
              </w:rPr>
            </w:pPr>
            <w:r>
              <w:rPr>
                <w:color w:val="000000"/>
                <w:sz w:val="21"/>
              </w:rPr>
              <w:t>0.1913</w:t>
            </w:r>
          </w:p>
        </w:tc>
        <w:tc>
          <w:tcPr>
            <w:tcW w:w="835" w:type="pct"/>
            <w:vMerge w:val="continue"/>
            <w:tcBorders>
              <w:tl2br w:val="nil"/>
              <w:tr2bl w:val="nil"/>
            </w:tcBorders>
            <w:vAlign w:val="center"/>
          </w:tcPr>
          <w:p w14:paraId="176206EE">
            <w:pPr>
              <w:spacing w:line="240" w:lineRule="auto"/>
              <w:jc w:val="center"/>
              <w:rPr>
                <w:color w:val="000000"/>
                <w:sz w:val="21"/>
              </w:rPr>
            </w:pPr>
          </w:p>
        </w:tc>
        <w:tc>
          <w:tcPr>
            <w:tcW w:w="293" w:type="pct"/>
            <w:tcBorders>
              <w:tl2br w:val="nil"/>
              <w:tr2bl w:val="nil"/>
            </w:tcBorders>
            <w:vAlign w:val="center"/>
          </w:tcPr>
          <w:p w14:paraId="12F005EC">
            <w:pPr>
              <w:spacing w:line="240" w:lineRule="auto"/>
              <w:jc w:val="center"/>
              <w:rPr>
                <w:color w:val="000000"/>
                <w:sz w:val="21"/>
              </w:rPr>
            </w:pPr>
            <w:r>
              <w:rPr>
                <w:color w:val="000000"/>
                <w:sz w:val="21"/>
              </w:rPr>
              <w:t>0.1913</w:t>
            </w:r>
          </w:p>
        </w:tc>
        <w:tc>
          <w:tcPr>
            <w:tcW w:w="557" w:type="pct"/>
            <w:vMerge w:val="continue"/>
            <w:tcBorders>
              <w:tl2br w:val="nil"/>
              <w:tr2bl w:val="nil"/>
            </w:tcBorders>
            <w:vAlign w:val="center"/>
          </w:tcPr>
          <w:p w14:paraId="5C22DF1C">
            <w:pPr>
              <w:spacing w:line="240" w:lineRule="auto"/>
              <w:jc w:val="center"/>
              <w:rPr>
                <w:color w:val="000000"/>
                <w:kern w:val="0"/>
                <w:sz w:val="21"/>
              </w:rPr>
            </w:pPr>
          </w:p>
        </w:tc>
      </w:tr>
      <w:tr w14:paraId="65B7AD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8" w:hRule="atLeast"/>
          <w:jc w:val="center"/>
        </w:trPr>
        <w:tc>
          <w:tcPr>
            <w:tcW w:w="207" w:type="pct"/>
            <w:vMerge w:val="continue"/>
            <w:tcBorders>
              <w:tl2br w:val="nil"/>
              <w:tr2bl w:val="nil"/>
            </w:tcBorders>
            <w:vAlign w:val="center"/>
          </w:tcPr>
          <w:p w14:paraId="27B59FB0">
            <w:pPr>
              <w:spacing w:line="240" w:lineRule="auto"/>
              <w:jc w:val="center"/>
              <w:rPr>
                <w:color w:val="000000"/>
                <w:sz w:val="21"/>
              </w:rPr>
            </w:pPr>
          </w:p>
        </w:tc>
        <w:tc>
          <w:tcPr>
            <w:tcW w:w="194" w:type="pct"/>
            <w:tcBorders>
              <w:tl2br w:val="nil"/>
              <w:tr2bl w:val="nil"/>
            </w:tcBorders>
            <w:vAlign w:val="center"/>
          </w:tcPr>
          <w:p w14:paraId="2C90D5AA">
            <w:pPr>
              <w:spacing w:line="240" w:lineRule="auto"/>
              <w:jc w:val="center"/>
              <w:rPr>
                <w:color w:val="000000"/>
                <w:sz w:val="21"/>
              </w:rPr>
            </w:pPr>
            <w:r>
              <w:rPr>
                <w:color w:val="000000"/>
                <w:sz w:val="21"/>
              </w:rPr>
              <w:t>S7</w:t>
            </w:r>
          </w:p>
        </w:tc>
        <w:tc>
          <w:tcPr>
            <w:tcW w:w="398" w:type="pct"/>
            <w:tcBorders>
              <w:tl2br w:val="nil"/>
              <w:tr2bl w:val="nil"/>
            </w:tcBorders>
            <w:vAlign w:val="center"/>
          </w:tcPr>
          <w:p w14:paraId="437C83E3">
            <w:pPr>
              <w:spacing w:line="240" w:lineRule="auto"/>
              <w:jc w:val="center"/>
              <w:rPr>
                <w:color w:val="000000"/>
                <w:sz w:val="21"/>
              </w:rPr>
            </w:pPr>
            <w:r>
              <w:rPr>
                <w:color w:val="000000"/>
                <w:sz w:val="21"/>
              </w:rPr>
              <w:t>/</w:t>
            </w:r>
          </w:p>
        </w:tc>
        <w:tc>
          <w:tcPr>
            <w:tcW w:w="411" w:type="pct"/>
            <w:tcBorders>
              <w:tl2br w:val="nil"/>
              <w:tr2bl w:val="nil"/>
            </w:tcBorders>
            <w:vAlign w:val="center"/>
          </w:tcPr>
          <w:p w14:paraId="76127817">
            <w:pPr>
              <w:spacing w:line="240" w:lineRule="auto"/>
              <w:jc w:val="center"/>
              <w:rPr>
                <w:color w:val="000000"/>
                <w:sz w:val="21"/>
              </w:rPr>
            </w:pPr>
            <w:r>
              <w:rPr>
                <w:color w:val="000000"/>
                <w:sz w:val="21"/>
              </w:rPr>
              <w:t>废瓷球</w:t>
            </w:r>
          </w:p>
        </w:tc>
        <w:tc>
          <w:tcPr>
            <w:tcW w:w="245" w:type="pct"/>
            <w:tcBorders>
              <w:tl2br w:val="nil"/>
              <w:tr2bl w:val="nil"/>
            </w:tcBorders>
            <w:vAlign w:val="center"/>
          </w:tcPr>
          <w:p w14:paraId="4229BCAC">
            <w:pPr>
              <w:spacing w:line="240" w:lineRule="auto"/>
              <w:jc w:val="center"/>
              <w:rPr>
                <w:color w:val="000000"/>
                <w:sz w:val="21"/>
              </w:rPr>
            </w:pPr>
            <w:r>
              <w:rPr>
                <w:color w:val="000000"/>
                <w:sz w:val="21"/>
              </w:rPr>
              <w:t>固态</w:t>
            </w:r>
          </w:p>
        </w:tc>
        <w:tc>
          <w:tcPr>
            <w:tcW w:w="430" w:type="pct"/>
            <w:tcBorders>
              <w:tl2br w:val="nil"/>
              <w:tr2bl w:val="nil"/>
            </w:tcBorders>
            <w:vAlign w:val="center"/>
          </w:tcPr>
          <w:p w14:paraId="582C3C24">
            <w:pPr>
              <w:spacing w:line="240" w:lineRule="auto"/>
              <w:jc w:val="center"/>
              <w:rPr>
                <w:color w:val="000000"/>
                <w:sz w:val="21"/>
              </w:rPr>
            </w:pPr>
            <w:r>
              <w:rPr>
                <w:color w:val="000000"/>
                <w:sz w:val="21"/>
              </w:rPr>
              <w:t>一般工业固体废物</w:t>
            </w:r>
          </w:p>
        </w:tc>
        <w:tc>
          <w:tcPr>
            <w:tcW w:w="585" w:type="pct"/>
            <w:tcBorders>
              <w:tl2br w:val="nil"/>
              <w:tr2bl w:val="nil"/>
            </w:tcBorders>
            <w:vAlign w:val="center"/>
          </w:tcPr>
          <w:p w14:paraId="29E55C41">
            <w:pPr>
              <w:spacing w:line="240" w:lineRule="auto"/>
              <w:jc w:val="center"/>
              <w:rPr>
                <w:color w:val="000000"/>
                <w:sz w:val="21"/>
              </w:rPr>
            </w:pPr>
            <w:r>
              <w:rPr>
                <w:color w:val="000000"/>
                <w:sz w:val="21"/>
              </w:rPr>
              <w:t>49</w:t>
            </w:r>
          </w:p>
        </w:tc>
        <w:tc>
          <w:tcPr>
            <w:tcW w:w="531" w:type="pct"/>
            <w:tcBorders>
              <w:tl2br w:val="nil"/>
              <w:tr2bl w:val="nil"/>
            </w:tcBorders>
            <w:vAlign w:val="center"/>
          </w:tcPr>
          <w:p w14:paraId="4EABFD62">
            <w:pPr>
              <w:spacing w:line="240" w:lineRule="auto"/>
              <w:jc w:val="center"/>
              <w:rPr>
                <w:color w:val="000000"/>
                <w:sz w:val="21"/>
              </w:rPr>
            </w:pPr>
            <w:r>
              <w:rPr>
                <w:color w:val="000000"/>
                <w:sz w:val="21"/>
              </w:rPr>
              <w:t>261-999-99</w:t>
            </w:r>
          </w:p>
        </w:tc>
        <w:tc>
          <w:tcPr>
            <w:tcW w:w="310" w:type="pct"/>
            <w:tcBorders>
              <w:tl2br w:val="nil"/>
              <w:tr2bl w:val="nil"/>
            </w:tcBorders>
            <w:vAlign w:val="center"/>
          </w:tcPr>
          <w:p w14:paraId="7E582208">
            <w:pPr>
              <w:spacing w:line="240" w:lineRule="auto"/>
              <w:jc w:val="center"/>
              <w:rPr>
                <w:color w:val="000000"/>
                <w:sz w:val="21"/>
              </w:rPr>
            </w:pPr>
            <w:r>
              <w:rPr>
                <w:color w:val="000000"/>
                <w:sz w:val="21"/>
              </w:rPr>
              <w:t>0.1875</w:t>
            </w:r>
          </w:p>
        </w:tc>
        <w:tc>
          <w:tcPr>
            <w:tcW w:w="835" w:type="pct"/>
            <w:vMerge w:val="continue"/>
            <w:tcBorders>
              <w:tl2br w:val="nil"/>
              <w:tr2bl w:val="nil"/>
            </w:tcBorders>
            <w:vAlign w:val="center"/>
          </w:tcPr>
          <w:p w14:paraId="4607A9AE">
            <w:pPr>
              <w:spacing w:line="240" w:lineRule="auto"/>
              <w:jc w:val="center"/>
              <w:rPr>
                <w:color w:val="000000"/>
                <w:sz w:val="21"/>
              </w:rPr>
            </w:pPr>
          </w:p>
        </w:tc>
        <w:tc>
          <w:tcPr>
            <w:tcW w:w="293" w:type="pct"/>
            <w:tcBorders>
              <w:tl2br w:val="nil"/>
              <w:tr2bl w:val="nil"/>
            </w:tcBorders>
            <w:vAlign w:val="center"/>
          </w:tcPr>
          <w:p w14:paraId="02F18187">
            <w:pPr>
              <w:spacing w:line="240" w:lineRule="auto"/>
              <w:jc w:val="center"/>
              <w:rPr>
                <w:color w:val="000000"/>
                <w:sz w:val="21"/>
              </w:rPr>
            </w:pPr>
            <w:r>
              <w:rPr>
                <w:color w:val="000000"/>
                <w:sz w:val="21"/>
              </w:rPr>
              <w:t>0.1875</w:t>
            </w:r>
          </w:p>
        </w:tc>
        <w:tc>
          <w:tcPr>
            <w:tcW w:w="557" w:type="pct"/>
            <w:vMerge w:val="continue"/>
            <w:tcBorders>
              <w:tl2br w:val="nil"/>
              <w:tr2bl w:val="nil"/>
            </w:tcBorders>
            <w:vAlign w:val="center"/>
          </w:tcPr>
          <w:p w14:paraId="01017CDE">
            <w:pPr>
              <w:spacing w:line="240" w:lineRule="auto"/>
              <w:jc w:val="center"/>
              <w:rPr>
                <w:color w:val="000000"/>
                <w:kern w:val="0"/>
                <w:sz w:val="21"/>
              </w:rPr>
            </w:pPr>
          </w:p>
        </w:tc>
      </w:tr>
    </w:tbl>
    <w:p w14:paraId="79987DF9">
      <w:pPr>
        <w:pStyle w:val="12"/>
        <w:ind w:firstLine="480"/>
        <w:jc w:val="left"/>
        <w:rPr>
          <w:color w:val="000000"/>
        </w:rPr>
        <w:sectPr>
          <w:pgSz w:w="16838" w:h="11905" w:orient="landscape"/>
          <w:pgMar w:top="1531" w:right="1440" w:bottom="1531" w:left="1440" w:header="850" w:footer="907" w:gutter="0"/>
          <w:cols w:space="720" w:num="1"/>
          <w:docGrid w:type="lines" w:linePitch="340" w:charSpace="0"/>
        </w:sectPr>
      </w:pPr>
    </w:p>
    <w:bookmarkEnd w:id="400"/>
    <w:p w14:paraId="51861204">
      <w:pPr>
        <w:pStyle w:val="771"/>
        <w:rPr>
          <w:b/>
          <w:bCs w:val="0"/>
          <w:color w:val="000000"/>
        </w:rPr>
      </w:pPr>
      <w:r>
        <w:rPr>
          <w:b/>
          <w:bCs w:val="0"/>
          <w:color w:val="000000"/>
        </w:rPr>
        <w:t>3.2.5污染物产排污情况汇总</w:t>
      </w:r>
    </w:p>
    <w:p w14:paraId="4D3D81C4">
      <w:pPr>
        <w:ind w:firstLine="480"/>
        <w:rPr>
          <w:color w:val="000000"/>
        </w:rPr>
      </w:pPr>
      <w:r>
        <w:rPr>
          <w:color w:val="000000"/>
        </w:rPr>
        <w:t>本项目运营后污染物</w:t>
      </w:r>
      <w:r>
        <w:rPr>
          <w:bCs/>
          <w:color w:val="000000"/>
        </w:rPr>
        <w:t>产排污情况</w:t>
      </w:r>
      <w:r>
        <w:rPr>
          <w:color w:val="000000"/>
        </w:rPr>
        <w:t>见表3.2.5-1。</w:t>
      </w:r>
    </w:p>
    <w:p w14:paraId="06CD4050">
      <w:pPr>
        <w:pStyle w:val="133"/>
        <w:outlineLvl w:val="9"/>
        <w:rPr>
          <w:rFonts w:ascii="Times New Roman" w:hAnsi="Times New Roman"/>
          <w:color w:val="000000"/>
          <w:lang w:val="en-US"/>
        </w:rPr>
      </w:pPr>
      <w:r>
        <w:rPr>
          <w:rFonts w:ascii="Times New Roman" w:hAnsi="Times New Roman"/>
          <w:color w:val="000000"/>
        </w:rPr>
        <w:t>表</w:t>
      </w:r>
      <w:r>
        <w:rPr>
          <w:rFonts w:ascii="Times New Roman" w:hAnsi="Times New Roman"/>
          <w:color w:val="000000"/>
          <w:lang w:val="en-US"/>
        </w:rPr>
        <w:t>3.2.5-1</w:t>
      </w:r>
      <w:r>
        <w:rPr>
          <w:rFonts w:ascii="Times New Roman" w:hAnsi="Times New Roman"/>
          <w:color w:val="000000"/>
        </w:rPr>
        <w:t xml:space="preserve">  本项目污染物排放</w:t>
      </w:r>
      <w:r>
        <w:rPr>
          <w:rFonts w:ascii="Times New Roman" w:hAnsi="Times New Roman"/>
          <w:color w:val="000000"/>
          <w:lang w:val="en-US"/>
        </w:rPr>
        <w:t>物情况统计表</w:t>
      </w:r>
    </w:p>
    <w:tbl>
      <w:tblPr>
        <w:tblStyle w:val="73"/>
        <w:tblW w:w="14163" w:type="dxa"/>
        <w:tblInd w:w="0"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108" w:type="dxa"/>
          <w:bottom w:w="0" w:type="dxa"/>
          <w:right w:w="108" w:type="dxa"/>
        </w:tblCellMar>
      </w:tblPr>
      <w:tblGrid>
        <w:gridCol w:w="418"/>
        <w:gridCol w:w="1450"/>
        <w:gridCol w:w="645"/>
        <w:gridCol w:w="1125"/>
        <w:gridCol w:w="1280"/>
        <w:gridCol w:w="1353"/>
        <w:gridCol w:w="5010"/>
        <w:gridCol w:w="1357"/>
        <w:gridCol w:w="1525"/>
      </w:tblGrid>
      <w:tr w14:paraId="1ADD080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1868" w:type="dxa"/>
            <w:gridSpan w:val="2"/>
            <w:vMerge w:val="restart"/>
            <w:tcBorders>
              <w:tl2br w:val="nil"/>
              <w:tr2bl w:val="nil"/>
            </w:tcBorders>
            <w:vAlign w:val="center"/>
          </w:tcPr>
          <w:p w14:paraId="0181EA7E">
            <w:pPr>
              <w:pStyle w:val="2191"/>
              <w:rPr>
                <w:color w:val="000000"/>
                <w:szCs w:val="21"/>
              </w:rPr>
            </w:pPr>
            <w:r>
              <w:rPr>
                <w:color w:val="000000"/>
                <w:szCs w:val="21"/>
              </w:rPr>
              <w:t>污染源</w:t>
            </w:r>
          </w:p>
        </w:tc>
        <w:tc>
          <w:tcPr>
            <w:tcW w:w="645" w:type="dxa"/>
            <w:vMerge w:val="restart"/>
            <w:tcBorders>
              <w:tl2br w:val="nil"/>
              <w:tr2bl w:val="nil"/>
            </w:tcBorders>
            <w:vAlign w:val="center"/>
          </w:tcPr>
          <w:p w14:paraId="346D7AA5">
            <w:pPr>
              <w:pStyle w:val="2191"/>
              <w:rPr>
                <w:color w:val="000000"/>
                <w:szCs w:val="21"/>
              </w:rPr>
            </w:pPr>
            <w:r>
              <w:rPr>
                <w:color w:val="000000"/>
                <w:szCs w:val="21"/>
              </w:rPr>
              <w:t>类型</w:t>
            </w:r>
          </w:p>
        </w:tc>
        <w:tc>
          <w:tcPr>
            <w:tcW w:w="1125" w:type="dxa"/>
            <w:vMerge w:val="restart"/>
            <w:tcBorders>
              <w:tl2br w:val="nil"/>
              <w:tr2bl w:val="nil"/>
            </w:tcBorders>
            <w:vAlign w:val="center"/>
          </w:tcPr>
          <w:p w14:paraId="1D52BA12">
            <w:pPr>
              <w:pStyle w:val="2191"/>
              <w:rPr>
                <w:color w:val="000000"/>
                <w:szCs w:val="21"/>
              </w:rPr>
            </w:pPr>
            <w:r>
              <w:rPr>
                <w:color w:val="000000"/>
                <w:szCs w:val="21"/>
              </w:rPr>
              <w:t>污染物</w:t>
            </w:r>
          </w:p>
        </w:tc>
        <w:tc>
          <w:tcPr>
            <w:tcW w:w="2633" w:type="dxa"/>
            <w:gridSpan w:val="2"/>
            <w:tcBorders>
              <w:tl2br w:val="nil"/>
              <w:tr2bl w:val="nil"/>
            </w:tcBorders>
            <w:vAlign w:val="center"/>
          </w:tcPr>
          <w:p w14:paraId="7B8EC57F">
            <w:pPr>
              <w:pStyle w:val="2191"/>
              <w:rPr>
                <w:color w:val="000000"/>
                <w:szCs w:val="21"/>
              </w:rPr>
            </w:pPr>
            <w:r>
              <w:rPr>
                <w:color w:val="000000"/>
                <w:szCs w:val="21"/>
              </w:rPr>
              <w:t>产生情况</w:t>
            </w:r>
          </w:p>
        </w:tc>
        <w:tc>
          <w:tcPr>
            <w:tcW w:w="5010" w:type="dxa"/>
            <w:vMerge w:val="restart"/>
            <w:tcBorders>
              <w:tl2br w:val="nil"/>
              <w:tr2bl w:val="nil"/>
            </w:tcBorders>
            <w:vAlign w:val="center"/>
          </w:tcPr>
          <w:p w14:paraId="40EEE775">
            <w:pPr>
              <w:pStyle w:val="2191"/>
              <w:rPr>
                <w:color w:val="000000"/>
                <w:szCs w:val="21"/>
              </w:rPr>
            </w:pPr>
            <w:r>
              <w:rPr>
                <w:color w:val="000000"/>
                <w:szCs w:val="21"/>
              </w:rPr>
              <w:t>污染防治措施</w:t>
            </w:r>
          </w:p>
        </w:tc>
        <w:tc>
          <w:tcPr>
            <w:tcW w:w="2882" w:type="dxa"/>
            <w:gridSpan w:val="2"/>
            <w:tcBorders>
              <w:tl2br w:val="nil"/>
              <w:tr2bl w:val="nil"/>
            </w:tcBorders>
            <w:vAlign w:val="center"/>
          </w:tcPr>
          <w:p w14:paraId="67D4ED8E">
            <w:pPr>
              <w:pStyle w:val="2191"/>
              <w:rPr>
                <w:color w:val="000000"/>
                <w:szCs w:val="21"/>
              </w:rPr>
            </w:pPr>
            <w:r>
              <w:rPr>
                <w:color w:val="000000"/>
                <w:szCs w:val="21"/>
              </w:rPr>
              <w:t>处理后排放情况</w:t>
            </w:r>
          </w:p>
        </w:tc>
      </w:tr>
      <w:tr w14:paraId="57282FF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868" w:type="dxa"/>
            <w:gridSpan w:val="2"/>
            <w:vMerge w:val="continue"/>
            <w:tcBorders>
              <w:tl2br w:val="nil"/>
              <w:tr2bl w:val="nil"/>
            </w:tcBorders>
            <w:vAlign w:val="center"/>
          </w:tcPr>
          <w:p w14:paraId="364EE099">
            <w:pPr>
              <w:pStyle w:val="2191"/>
              <w:rPr>
                <w:color w:val="000000"/>
                <w:szCs w:val="21"/>
              </w:rPr>
            </w:pPr>
          </w:p>
        </w:tc>
        <w:tc>
          <w:tcPr>
            <w:tcW w:w="645" w:type="dxa"/>
            <w:vMerge w:val="continue"/>
            <w:tcBorders>
              <w:tl2br w:val="nil"/>
              <w:tr2bl w:val="nil"/>
            </w:tcBorders>
            <w:vAlign w:val="center"/>
          </w:tcPr>
          <w:p w14:paraId="7EF5DFB6">
            <w:pPr>
              <w:pStyle w:val="2191"/>
              <w:rPr>
                <w:color w:val="000000"/>
                <w:szCs w:val="21"/>
              </w:rPr>
            </w:pPr>
          </w:p>
        </w:tc>
        <w:tc>
          <w:tcPr>
            <w:tcW w:w="1125" w:type="dxa"/>
            <w:vMerge w:val="continue"/>
            <w:tcBorders>
              <w:tl2br w:val="nil"/>
              <w:tr2bl w:val="nil"/>
            </w:tcBorders>
            <w:vAlign w:val="center"/>
          </w:tcPr>
          <w:p w14:paraId="056EA5B7">
            <w:pPr>
              <w:pStyle w:val="2191"/>
              <w:rPr>
                <w:color w:val="000000"/>
                <w:szCs w:val="21"/>
              </w:rPr>
            </w:pPr>
          </w:p>
        </w:tc>
        <w:tc>
          <w:tcPr>
            <w:tcW w:w="1280" w:type="dxa"/>
            <w:tcBorders>
              <w:tl2br w:val="nil"/>
              <w:tr2bl w:val="nil"/>
            </w:tcBorders>
            <w:vAlign w:val="center"/>
          </w:tcPr>
          <w:p w14:paraId="79131E47">
            <w:pPr>
              <w:pStyle w:val="2191"/>
              <w:rPr>
                <w:color w:val="000000"/>
                <w:szCs w:val="21"/>
              </w:rPr>
            </w:pPr>
            <w:r>
              <w:rPr>
                <w:color w:val="000000"/>
                <w:szCs w:val="21"/>
              </w:rPr>
              <w:t>产生浓度</w:t>
            </w:r>
          </w:p>
        </w:tc>
        <w:tc>
          <w:tcPr>
            <w:tcW w:w="1353" w:type="dxa"/>
            <w:tcBorders>
              <w:tl2br w:val="nil"/>
              <w:tr2bl w:val="nil"/>
            </w:tcBorders>
            <w:vAlign w:val="center"/>
          </w:tcPr>
          <w:p w14:paraId="79966FAE">
            <w:pPr>
              <w:pStyle w:val="2191"/>
              <w:rPr>
                <w:color w:val="000000"/>
                <w:szCs w:val="21"/>
              </w:rPr>
            </w:pPr>
            <w:r>
              <w:rPr>
                <w:color w:val="000000"/>
                <w:szCs w:val="21"/>
              </w:rPr>
              <w:t>产生量</w:t>
            </w:r>
          </w:p>
        </w:tc>
        <w:tc>
          <w:tcPr>
            <w:tcW w:w="5010" w:type="dxa"/>
            <w:vMerge w:val="continue"/>
            <w:tcBorders>
              <w:tl2br w:val="nil"/>
              <w:tr2bl w:val="nil"/>
            </w:tcBorders>
            <w:vAlign w:val="center"/>
          </w:tcPr>
          <w:p w14:paraId="05AA2EEE">
            <w:pPr>
              <w:pStyle w:val="2191"/>
              <w:rPr>
                <w:color w:val="000000"/>
                <w:szCs w:val="21"/>
              </w:rPr>
            </w:pPr>
          </w:p>
        </w:tc>
        <w:tc>
          <w:tcPr>
            <w:tcW w:w="1357" w:type="dxa"/>
            <w:tcBorders>
              <w:tl2br w:val="nil"/>
              <w:tr2bl w:val="nil"/>
            </w:tcBorders>
            <w:vAlign w:val="center"/>
          </w:tcPr>
          <w:p w14:paraId="3078A023">
            <w:pPr>
              <w:pStyle w:val="2191"/>
              <w:rPr>
                <w:color w:val="000000"/>
                <w:szCs w:val="21"/>
              </w:rPr>
            </w:pPr>
            <w:r>
              <w:rPr>
                <w:color w:val="000000"/>
                <w:szCs w:val="21"/>
              </w:rPr>
              <w:t>排放浓度</w:t>
            </w:r>
          </w:p>
        </w:tc>
        <w:tc>
          <w:tcPr>
            <w:tcW w:w="1525" w:type="dxa"/>
            <w:tcBorders>
              <w:tl2br w:val="nil"/>
              <w:tr2bl w:val="nil"/>
            </w:tcBorders>
            <w:vAlign w:val="center"/>
          </w:tcPr>
          <w:p w14:paraId="548D8327">
            <w:pPr>
              <w:pStyle w:val="2191"/>
              <w:rPr>
                <w:color w:val="000000"/>
                <w:szCs w:val="21"/>
              </w:rPr>
            </w:pPr>
            <w:r>
              <w:rPr>
                <w:color w:val="000000"/>
                <w:szCs w:val="21"/>
              </w:rPr>
              <w:t>排放量</w:t>
            </w:r>
          </w:p>
        </w:tc>
      </w:tr>
      <w:tr w14:paraId="04F74AA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18" w:type="dxa"/>
            <w:vMerge w:val="restart"/>
            <w:tcBorders>
              <w:tl2br w:val="nil"/>
              <w:tr2bl w:val="nil"/>
            </w:tcBorders>
            <w:vAlign w:val="center"/>
          </w:tcPr>
          <w:p w14:paraId="69F897B8">
            <w:pPr>
              <w:pStyle w:val="2191"/>
              <w:rPr>
                <w:color w:val="000000"/>
                <w:szCs w:val="21"/>
              </w:rPr>
            </w:pPr>
            <w:r>
              <w:rPr>
                <w:color w:val="000000"/>
                <w:szCs w:val="21"/>
              </w:rPr>
              <w:t>废气</w:t>
            </w:r>
          </w:p>
        </w:tc>
        <w:tc>
          <w:tcPr>
            <w:tcW w:w="1450" w:type="dxa"/>
            <w:vMerge w:val="restart"/>
            <w:tcBorders>
              <w:tl2br w:val="nil"/>
              <w:tr2bl w:val="nil"/>
            </w:tcBorders>
            <w:vAlign w:val="center"/>
          </w:tcPr>
          <w:p w14:paraId="22536572">
            <w:pPr>
              <w:pStyle w:val="2191"/>
              <w:rPr>
                <w:color w:val="000000"/>
                <w:szCs w:val="21"/>
              </w:rPr>
            </w:pPr>
            <w:r>
              <w:rPr>
                <w:color w:val="000000"/>
                <w:szCs w:val="21"/>
              </w:rPr>
              <w:t>LNG工厂火炬装置废气</w:t>
            </w:r>
            <w:r>
              <w:rPr>
                <w:rFonts w:hint="eastAsia"/>
                <w:color w:val="000000"/>
                <w:szCs w:val="21"/>
              </w:rPr>
              <w:t>*</w:t>
            </w:r>
          </w:p>
        </w:tc>
        <w:tc>
          <w:tcPr>
            <w:tcW w:w="645" w:type="dxa"/>
            <w:vMerge w:val="restart"/>
            <w:tcBorders>
              <w:tl2br w:val="nil"/>
              <w:tr2bl w:val="nil"/>
            </w:tcBorders>
            <w:vAlign w:val="center"/>
          </w:tcPr>
          <w:p w14:paraId="21E0A6EC">
            <w:pPr>
              <w:pStyle w:val="2191"/>
              <w:rPr>
                <w:color w:val="000000"/>
                <w:szCs w:val="21"/>
              </w:rPr>
            </w:pPr>
            <w:r>
              <w:rPr>
                <w:color w:val="000000"/>
                <w:szCs w:val="21"/>
              </w:rPr>
              <w:t>有组织</w:t>
            </w:r>
          </w:p>
        </w:tc>
        <w:tc>
          <w:tcPr>
            <w:tcW w:w="1125" w:type="dxa"/>
            <w:tcBorders>
              <w:tl2br w:val="nil"/>
              <w:tr2bl w:val="nil"/>
            </w:tcBorders>
            <w:vAlign w:val="center"/>
          </w:tcPr>
          <w:p w14:paraId="17551DC1">
            <w:pPr>
              <w:pStyle w:val="12"/>
              <w:spacing w:line="240" w:lineRule="auto"/>
              <w:rPr>
                <w:color w:val="000000"/>
                <w:sz w:val="21"/>
                <w:szCs w:val="21"/>
              </w:rPr>
            </w:pPr>
            <w:r>
              <w:rPr>
                <w:color w:val="000000"/>
                <w:sz w:val="21"/>
                <w:szCs w:val="21"/>
              </w:rPr>
              <w:t>颗粒物</w:t>
            </w:r>
          </w:p>
        </w:tc>
        <w:tc>
          <w:tcPr>
            <w:tcW w:w="1280" w:type="dxa"/>
            <w:tcBorders>
              <w:tl2br w:val="nil"/>
              <w:tr2bl w:val="nil"/>
            </w:tcBorders>
            <w:vAlign w:val="center"/>
          </w:tcPr>
          <w:p w14:paraId="20BDDB3F">
            <w:pPr>
              <w:jc w:val="center"/>
              <w:textAlignment w:val="center"/>
              <w:rPr>
                <w:color w:val="000000"/>
                <w:sz w:val="21"/>
              </w:rPr>
            </w:pPr>
            <w:r>
              <w:rPr>
                <w:color w:val="000000"/>
                <w:sz w:val="21"/>
              </w:rPr>
              <w:t>20mg/m</w:t>
            </w:r>
            <w:r>
              <w:rPr>
                <w:color w:val="000000"/>
                <w:sz w:val="21"/>
                <w:vertAlign w:val="superscript"/>
              </w:rPr>
              <w:t>3</w:t>
            </w:r>
          </w:p>
        </w:tc>
        <w:tc>
          <w:tcPr>
            <w:tcW w:w="1353" w:type="dxa"/>
            <w:tcBorders>
              <w:tl2br w:val="nil"/>
              <w:tr2bl w:val="nil"/>
            </w:tcBorders>
            <w:vAlign w:val="center"/>
          </w:tcPr>
          <w:p w14:paraId="27E4DDFF">
            <w:pPr>
              <w:jc w:val="center"/>
              <w:textAlignment w:val="center"/>
              <w:rPr>
                <w:color w:val="000000"/>
                <w:sz w:val="21"/>
              </w:rPr>
            </w:pPr>
            <w:r>
              <w:rPr>
                <w:color w:val="000000"/>
                <w:kern w:val="0"/>
                <w:sz w:val="21"/>
              </w:rPr>
              <w:t>0.06</w:t>
            </w:r>
            <w:r>
              <w:rPr>
                <w:color w:val="000000"/>
                <w:sz w:val="21"/>
              </w:rPr>
              <w:t>t/a</w:t>
            </w:r>
          </w:p>
        </w:tc>
        <w:tc>
          <w:tcPr>
            <w:tcW w:w="5010" w:type="dxa"/>
            <w:vMerge w:val="restart"/>
            <w:tcBorders>
              <w:tl2br w:val="nil"/>
              <w:tr2bl w:val="nil"/>
            </w:tcBorders>
            <w:vAlign w:val="center"/>
          </w:tcPr>
          <w:p w14:paraId="695B37D4">
            <w:pPr>
              <w:pStyle w:val="2193"/>
              <w:adjustRightInd w:val="0"/>
              <w:snapToGrid w:val="0"/>
              <w:spacing w:line="320" w:lineRule="exact"/>
              <w:jc w:val="center"/>
              <w:rPr>
                <w:rFonts w:ascii="Times New Roman" w:hAnsi="Times New Roman" w:cs="Times New Roman"/>
                <w:color w:val="000000"/>
                <w:lang w:val="zh-CN"/>
              </w:rPr>
            </w:pPr>
            <w:r>
              <w:rPr>
                <w:rFonts w:ascii="Times New Roman" w:hAnsi="Times New Roman" w:cs="Times New Roman"/>
                <w:color w:val="000000"/>
              </w:rPr>
              <w:t>依托LNG工厂</w:t>
            </w:r>
            <w:r>
              <w:rPr>
                <w:rFonts w:ascii="Times New Roman" w:hAnsi="Times New Roman" w:cs="Times New Roman"/>
                <w:color w:val="000000"/>
                <w:lang w:val="zh-CN"/>
              </w:rPr>
              <w:t>80m高的</w:t>
            </w:r>
          </w:p>
          <w:p w14:paraId="15940560">
            <w:pPr>
              <w:pStyle w:val="2191"/>
              <w:rPr>
                <w:color w:val="000000"/>
                <w:szCs w:val="21"/>
              </w:rPr>
            </w:pPr>
            <w:r>
              <w:rPr>
                <w:color w:val="000000"/>
                <w:szCs w:val="21"/>
                <w:lang w:val="zh-CN"/>
              </w:rPr>
              <w:t>高架火炬</w:t>
            </w:r>
            <w:r>
              <w:rPr>
                <w:color w:val="000000"/>
                <w:szCs w:val="21"/>
              </w:rPr>
              <w:t>燃烧排放</w:t>
            </w:r>
          </w:p>
        </w:tc>
        <w:tc>
          <w:tcPr>
            <w:tcW w:w="1357" w:type="dxa"/>
            <w:tcBorders>
              <w:tl2br w:val="nil"/>
              <w:tr2bl w:val="nil"/>
            </w:tcBorders>
            <w:vAlign w:val="center"/>
          </w:tcPr>
          <w:p w14:paraId="3ED95636">
            <w:pPr>
              <w:jc w:val="center"/>
              <w:textAlignment w:val="center"/>
              <w:rPr>
                <w:color w:val="000000"/>
                <w:sz w:val="21"/>
              </w:rPr>
            </w:pPr>
            <w:r>
              <w:rPr>
                <w:color w:val="000000"/>
                <w:sz w:val="21"/>
              </w:rPr>
              <w:t>20mg/m</w:t>
            </w:r>
            <w:r>
              <w:rPr>
                <w:color w:val="000000"/>
                <w:sz w:val="21"/>
                <w:vertAlign w:val="superscript"/>
              </w:rPr>
              <w:t>3</w:t>
            </w:r>
          </w:p>
        </w:tc>
        <w:tc>
          <w:tcPr>
            <w:tcW w:w="1525" w:type="dxa"/>
            <w:tcBorders>
              <w:tl2br w:val="nil"/>
              <w:tr2bl w:val="nil"/>
            </w:tcBorders>
            <w:vAlign w:val="center"/>
          </w:tcPr>
          <w:p w14:paraId="03423CBE">
            <w:pPr>
              <w:jc w:val="center"/>
              <w:textAlignment w:val="center"/>
              <w:rPr>
                <w:color w:val="000000"/>
                <w:kern w:val="0"/>
                <w:sz w:val="21"/>
              </w:rPr>
            </w:pPr>
            <w:r>
              <w:rPr>
                <w:color w:val="000000"/>
                <w:kern w:val="0"/>
                <w:sz w:val="21"/>
              </w:rPr>
              <w:t>0.06</w:t>
            </w:r>
            <w:r>
              <w:rPr>
                <w:color w:val="000000"/>
                <w:sz w:val="21"/>
              </w:rPr>
              <w:t>t/a</w:t>
            </w:r>
          </w:p>
        </w:tc>
      </w:tr>
      <w:tr w14:paraId="418672F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418" w:type="dxa"/>
            <w:vMerge w:val="continue"/>
            <w:tcBorders>
              <w:tl2br w:val="nil"/>
              <w:tr2bl w:val="nil"/>
            </w:tcBorders>
            <w:vAlign w:val="center"/>
          </w:tcPr>
          <w:p w14:paraId="0329FCF6">
            <w:pPr>
              <w:pStyle w:val="2191"/>
              <w:rPr>
                <w:color w:val="000000"/>
                <w:szCs w:val="21"/>
              </w:rPr>
            </w:pPr>
          </w:p>
        </w:tc>
        <w:tc>
          <w:tcPr>
            <w:tcW w:w="1450" w:type="dxa"/>
            <w:vMerge w:val="continue"/>
            <w:tcBorders>
              <w:tl2br w:val="nil"/>
              <w:tr2bl w:val="nil"/>
            </w:tcBorders>
            <w:vAlign w:val="center"/>
          </w:tcPr>
          <w:p w14:paraId="64B37BF1">
            <w:pPr>
              <w:pStyle w:val="2191"/>
              <w:rPr>
                <w:color w:val="000000"/>
                <w:szCs w:val="21"/>
              </w:rPr>
            </w:pPr>
          </w:p>
        </w:tc>
        <w:tc>
          <w:tcPr>
            <w:tcW w:w="645" w:type="dxa"/>
            <w:vMerge w:val="continue"/>
            <w:tcBorders>
              <w:tl2br w:val="nil"/>
              <w:tr2bl w:val="nil"/>
            </w:tcBorders>
            <w:vAlign w:val="center"/>
          </w:tcPr>
          <w:p w14:paraId="7E3E9685">
            <w:pPr>
              <w:jc w:val="center"/>
              <w:rPr>
                <w:color w:val="000000"/>
                <w:sz w:val="21"/>
              </w:rPr>
            </w:pPr>
          </w:p>
        </w:tc>
        <w:tc>
          <w:tcPr>
            <w:tcW w:w="1125" w:type="dxa"/>
            <w:tcBorders>
              <w:tl2br w:val="nil"/>
              <w:tr2bl w:val="nil"/>
            </w:tcBorders>
            <w:vAlign w:val="center"/>
          </w:tcPr>
          <w:p w14:paraId="25CA2F8A">
            <w:pPr>
              <w:pStyle w:val="12"/>
              <w:spacing w:line="240" w:lineRule="auto"/>
              <w:rPr>
                <w:color w:val="000000"/>
                <w:sz w:val="21"/>
                <w:szCs w:val="21"/>
              </w:rPr>
            </w:pPr>
            <w:r>
              <w:rPr>
                <w:color w:val="000000"/>
                <w:sz w:val="21"/>
                <w:szCs w:val="21"/>
              </w:rPr>
              <w:t>SO</w:t>
            </w:r>
            <w:r>
              <w:rPr>
                <w:color w:val="000000"/>
                <w:sz w:val="21"/>
                <w:szCs w:val="21"/>
                <w:vertAlign w:val="subscript"/>
              </w:rPr>
              <w:t>2</w:t>
            </w:r>
          </w:p>
        </w:tc>
        <w:tc>
          <w:tcPr>
            <w:tcW w:w="1280" w:type="dxa"/>
            <w:tcBorders>
              <w:tl2br w:val="nil"/>
              <w:tr2bl w:val="nil"/>
            </w:tcBorders>
            <w:vAlign w:val="center"/>
          </w:tcPr>
          <w:p w14:paraId="2B82AD4E">
            <w:pPr>
              <w:jc w:val="center"/>
              <w:textAlignment w:val="center"/>
              <w:rPr>
                <w:color w:val="000000"/>
                <w:sz w:val="21"/>
              </w:rPr>
            </w:pPr>
            <w:r>
              <w:rPr>
                <w:color w:val="000000"/>
                <w:kern w:val="0"/>
                <w:sz w:val="21"/>
              </w:rPr>
              <w:t>8.79</w:t>
            </w:r>
            <w:r>
              <w:rPr>
                <w:color w:val="000000"/>
                <w:sz w:val="21"/>
              </w:rPr>
              <w:t>mg/m</w:t>
            </w:r>
            <w:r>
              <w:rPr>
                <w:color w:val="000000"/>
                <w:sz w:val="21"/>
                <w:vertAlign w:val="superscript"/>
              </w:rPr>
              <w:t>3</w:t>
            </w:r>
          </w:p>
        </w:tc>
        <w:tc>
          <w:tcPr>
            <w:tcW w:w="1353" w:type="dxa"/>
            <w:tcBorders>
              <w:tl2br w:val="nil"/>
              <w:tr2bl w:val="nil"/>
            </w:tcBorders>
            <w:vAlign w:val="center"/>
          </w:tcPr>
          <w:p w14:paraId="40DE99EC">
            <w:pPr>
              <w:jc w:val="center"/>
              <w:textAlignment w:val="center"/>
              <w:rPr>
                <w:color w:val="000000"/>
                <w:sz w:val="21"/>
              </w:rPr>
            </w:pPr>
            <w:r>
              <w:rPr>
                <w:color w:val="000000"/>
                <w:kern w:val="0"/>
                <w:sz w:val="21"/>
              </w:rPr>
              <w:t>0.03</w:t>
            </w:r>
            <w:r>
              <w:rPr>
                <w:color w:val="000000"/>
                <w:sz w:val="21"/>
              </w:rPr>
              <w:t>t/a</w:t>
            </w:r>
          </w:p>
        </w:tc>
        <w:tc>
          <w:tcPr>
            <w:tcW w:w="5010" w:type="dxa"/>
            <w:vMerge w:val="continue"/>
            <w:tcBorders>
              <w:tl2br w:val="nil"/>
              <w:tr2bl w:val="nil"/>
            </w:tcBorders>
            <w:vAlign w:val="center"/>
          </w:tcPr>
          <w:p w14:paraId="206ECE0B">
            <w:pPr>
              <w:pStyle w:val="2191"/>
              <w:rPr>
                <w:color w:val="000000"/>
                <w:szCs w:val="21"/>
              </w:rPr>
            </w:pPr>
          </w:p>
        </w:tc>
        <w:tc>
          <w:tcPr>
            <w:tcW w:w="1357" w:type="dxa"/>
            <w:tcBorders>
              <w:tl2br w:val="nil"/>
              <w:tr2bl w:val="nil"/>
            </w:tcBorders>
            <w:vAlign w:val="center"/>
          </w:tcPr>
          <w:p w14:paraId="58265FAA">
            <w:pPr>
              <w:jc w:val="center"/>
              <w:textAlignment w:val="center"/>
              <w:rPr>
                <w:color w:val="000000"/>
                <w:sz w:val="21"/>
              </w:rPr>
            </w:pPr>
            <w:r>
              <w:rPr>
                <w:color w:val="000000"/>
                <w:kern w:val="0"/>
                <w:sz w:val="21"/>
              </w:rPr>
              <w:t>8.79</w:t>
            </w:r>
            <w:r>
              <w:rPr>
                <w:color w:val="000000"/>
                <w:sz w:val="21"/>
              </w:rPr>
              <w:t>mg/m</w:t>
            </w:r>
            <w:r>
              <w:rPr>
                <w:color w:val="000000"/>
                <w:sz w:val="21"/>
                <w:vertAlign w:val="superscript"/>
              </w:rPr>
              <w:t>3</w:t>
            </w:r>
          </w:p>
        </w:tc>
        <w:tc>
          <w:tcPr>
            <w:tcW w:w="1525" w:type="dxa"/>
            <w:tcBorders>
              <w:tl2br w:val="nil"/>
              <w:tr2bl w:val="nil"/>
            </w:tcBorders>
            <w:vAlign w:val="center"/>
          </w:tcPr>
          <w:p w14:paraId="2D798EAD">
            <w:pPr>
              <w:jc w:val="center"/>
              <w:textAlignment w:val="center"/>
              <w:rPr>
                <w:color w:val="000000"/>
                <w:kern w:val="0"/>
                <w:sz w:val="21"/>
              </w:rPr>
            </w:pPr>
            <w:r>
              <w:rPr>
                <w:color w:val="000000"/>
                <w:kern w:val="0"/>
                <w:sz w:val="21"/>
              </w:rPr>
              <w:t>0.03</w:t>
            </w:r>
            <w:r>
              <w:rPr>
                <w:color w:val="000000"/>
                <w:sz w:val="21"/>
              </w:rPr>
              <w:t>t/a</w:t>
            </w:r>
          </w:p>
        </w:tc>
      </w:tr>
      <w:tr w14:paraId="6EDE97B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418" w:type="dxa"/>
            <w:vMerge w:val="continue"/>
            <w:tcBorders>
              <w:tl2br w:val="nil"/>
              <w:tr2bl w:val="nil"/>
            </w:tcBorders>
            <w:vAlign w:val="center"/>
          </w:tcPr>
          <w:p w14:paraId="2B35D051">
            <w:pPr>
              <w:pStyle w:val="2191"/>
              <w:rPr>
                <w:color w:val="000000"/>
                <w:szCs w:val="21"/>
              </w:rPr>
            </w:pPr>
          </w:p>
        </w:tc>
        <w:tc>
          <w:tcPr>
            <w:tcW w:w="1450" w:type="dxa"/>
            <w:vMerge w:val="continue"/>
            <w:tcBorders>
              <w:tl2br w:val="nil"/>
              <w:tr2bl w:val="nil"/>
            </w:tcBorders>
            <w:vAlign w:val="center"/>
          </w:tcPr>
          <w:p w14:paraId="45841053">
            <w:pPr>
              <w:pStyle w:val="2191"/>
              <w:rPr>
                <w:color w:val="000000"/>
                <w:szCs w:val="21"/>
              </w:rPr>
            </w:pPr>
          </w:p>
        </w:tc>
        <w:tc>
          <w:tcPr>
            <w:tcW w:w="645" w:type="dxa"/>
            <w:vMerge w:val="continue"/>
            <w:tcBorders>
              <w:tl2br w:val="nil"/>
              <w:tr2bl w:val="nil"/>
            </w:tcBorders>
            <w:vAlign w:val="center"/>
          </w:tcPr>
          <w:p w14:paraId="616DA8FC">
            <w:pPr>
              <w:jc w:val="center"/>
              <w:rPr>
                <w:color w:val="000000"/>
                <w:sz w:val="21"/>
              </w:rPr>
            </w:pPr>
          </w:p>
        </w:tc>
        <w:tc>
          <w:tcPr>
            <w:tcW w:w="1125" w:type="dxa"/>
            <w:tcBorders>
              <w:tl2br w:val="nil"/>
              <w:tr2bl w:val="nil"/>
            </w:tcBorders>
            <w:vAlign w:val="center"/>
          </w:tcPr>
          <w:p w14:paraId="4BEF79A8">
            <w:pPr>
              <w:pStyle w:val="12"/>
              <w:spacing w:line="240" w:lineRule="auto"/>
              <w:rPr>
                <w:color w:val="000000"/>
                <w:sz w:val="21"/>
                <w:szCs w:val="21"/>
              </w:rPr>
            </w:pPr>
            <w:r>
              <w:rPr>
                <w:color w:val="000000"/>
                <w:sz w:val="21"/>
                <w:szCs w:val="21"/>
              </w:rPr>
              <w:t>NO</w:t>
            </w:r>
            <w:r>
              <w:rPr>
                <w:rFonts w:hint="eastAsia"/>
                <w:color w:val="000000"/>
                <w:sz w:val="21"/>
                <w:szCs w:val="21"/>
                <w:vertAlign w:val="subscript"/>
              </w:rPr>
              <w:t>x</w:t>
            </w:r>
          </w:p>
        </w:tc>
        <w:tc>
          <w:tcPr>
            <w:tcW w:w="1280" w:type="dxa"/>
            <w:tcBorders>
              <w:tl2br w:val="nil"/>
              <w:tr2bl w:val="nil"/>
            </w:tcBorders>
            <w:vAlign w:val="center"/>
          </w:tcPr>
          <w:p w14:paraId="26DF0D1A">
            <w:pPr>
              <w:jc w:val="center"/>
              <w:textAlignment w:val="center"/>
              <w:rPr>
                <w:color w:val="000000"/>
                <w:sz w:val="21"/>
              </w:rPr>
            </w:pPr>
            <w:r>
              <w:rPr>
                <w:color w:val="000000"/>
                <w:kern w:val="0"/>
                <w:sz w:val="21"/>
              </w:rPr>
              <w:t>59.2</w:t>
            </w:r>
            <w:r>
              <w:rPr>
                <w:color w:val="000000"/>
                <w:sz w:val="21"/>
              </w:rPr>
              <w:t>mg/m</w:t>
            </w:r>
            <w:r>
              <w:rPr>
                <w:color w:val="000000"/>
                <w:sz w:val="21"/>
                <w:vertAlign w:val="superscript"/>
              </w:rPr>
              <w:t>3</w:t>
            </w:r>
          </w:p>
        </w:tc>
        <w:tc>
          <w:tcPr>
            <w:tcW w:w="1353" w:type="dxa"/>
            <w:tcBorders>
              <w:tl2br w:val="nil"/>
              <w:tr2bl w:val="nil"/>
            </w:tcBorders>
            <w:vAlign w:val="center"/>
          </w:tcPr>
          <w:p w14:paraId="4133D360">
            <w:pPr>
              <w:jc w:val="center"/>
              <w:textAlignment w:val="center"/>
              <w:rPr>
                <w:color w:val="000000"/>
                <w:sz w:val="21"/>
              </w:rPr>
            </w:pPr>
            <w:r>
              <w:rPr>
                <w:color w:val="000000"/>
                <w:kern w:val="0"/>
                <w:sz w:val="21"/>
              </w:rPr>
              <w:t>0.18</w:t>
            </w:r>
            <w:r>
              <w:rPr>
                <w:color w:val="000000"/>
                <w:sz w:val="21"/>
              </w:rPr>
              <w:t>t/a</w:t>
            </w:r>
          </w:p>
        </w:tc>
        <w:tc>
          <w:tcPr>
            <w:tcW w:w="5010" w:type="dxa"/>
            <w:vMerge w:val="continue"/>
            <w:tcBorders>
              <w:tl2br w:val="nil"/>
              <w:tr2bl w:val="nil"/>
            </w:tcBorders>
            <w:vAlign w:val="center"/>
          </w:tcPr>
          <w:p w14:paraId="29420BDA">
            <w:pPr>
              <w:pStyle w:val="2191"/>
              <w:rPr>
                <w:color w:val="000000"/>
                <w:szCs w:val="21"/>
              </w:rPr>
            </w:pPr>
          </w:p>
        </w:tc>
        <w:tc>
          <w:tcPr>
            <w:tcW w:w="1357" w:type="dxa"/>
            <w:tcBorders>
              <w:tl2br w:val="nil"/>
              <w:tr2bl w:val="nil"/>
            </w:tcBorders>
            <w:vAlign w:val="center"/>
          </w:tcPr>
          <w:p w14:paraId="30407BEB">
            <w:pPr>
              <w:jc w:val="center"/>
              <w:textAlignment w:val="center"/>
              <w:rPr>
                <w:color w:val="000000"/>
                <w:sz w:val="21"/>
              </w:rPr>
            </w:pPr>
            <w:r>
              <w:rPr>
                <w:color w:val="000000"/>
                <w:kern w:val="0"/>
                <w:sz w:val="21"/>
              </w:rPr>
              <w:t>59.2</w:t>
            </w:r>
            <w:r>
              <w:rPr>
                <w:color w:val="000000"/>
                <w:sz w:val="21"/>
              </w:rPr>
              <w:t>mg/m</w:t>
            </w:r>
            <w:r>
              <w:rPr>
                <w:color w:val="000000"/>
                <w:sz w:val="21"/>
                <w:vertAlign w:val="superscript"/>
              </w:rPr>
              <w:t>3</w:t>
            </w:r>
          </w:p>
        </w:tc>
        <w:tc>
          <w:tcPr>
            <w:tcW w:w="1525" w:type="dxa"/>
            <w:tcBorders>
              <w:tl2br w:val="nil"/>
              <w:tr2bl w:val="nil"/>
            </w:tcBorders>
            <w:vAlign w:val="center"/>
          </w:tcPr>
          <w:p w14:paraId="2914D8C5">
            <w:pPr>
              <w:jc w:val="center"/>
              <w:textAlignment w:val="center"/>
              <w:rPr>
                <w:color w:val="000000"/>
                <w:kern w:val="0"/>
                <w:sz w:val="21"/>
              </w:rPr>
            </w:pPr>
            <w:r>
              <w:rPr>
                <w:color w:val="000000"/>
                <w:kern w:val="0"/>
                <w:sz w:val="21"/>
              </w:rPr>
              <w:t>0.18</w:t>
            </w:r>
            <w:r>
              <w:rPr>
                <w:color w:val="000000"/>
                <w:sz w:val="21"/>
              </w:rPr>
              <w:t>t/a</w:t>
            </w:r>
          </w:p>
        </w:tc>
      </w:tr>
      <w:tr w14:paraId="4A3AC52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418" w:type="dxa"/>
            <w:vMerge w:val="continue"/>
            <w:tcBorders>
              <w:tl2br w:val="nil"/>
              <w:tr2bl w:val="nil"/>
            </w:tcBorders>
            <w:vAlign w:val="center"/>
          </w:tcPr>
          <w:p w14:paraId="7BBC208C">
            <w:pPr>
              <w:pStyle w:val="2191"/>
              <w:rPr>
                <w:color w:val="000000"/>
                <w:szCs w:val="21"/>
              </w:rPr>
            </w:pPr>
          </w:p>
        </w:tc>
        <w:tc>
          <w:tcPr>
            <w:tcW w:w="1450" w:type="dxa"/>
            <w:vMerge w:val="restart"/>
            <w:tcBorders>
              <w:tl2br w:val="nil"/>
              <w:tr2bl w:val="nil"/>
            </w:tcBorders>
            <w:vAlign w:val="center"/>
          </w:tcPr>
          <w:p w14:paraId="40E717B2">
            <w:pPr>
              <w:pStyle w:val="12"/>
              <w:spacing w:line="240" w:lineRule="auto"/>
              <w:rPr>
                <w:color w:val="000000"/>
                <w:sz w:val="21"/>
                <w:szCs w:val="21"/>
              </w:rPr>
            </w:pPr>
            <w:r>
              <w:rPr>
                <w:color w:val="000000"/>
                <w:sz w:val="21"/>
                <w:szCs w:val="21"/>
              </w:rPr>
              <w:t>吸附脱氢再生尾气G3</w:t>
            </w:r>
          </w:p>
        </w:tc>
        <w:tc>
          <w:tcPr>
            <w:tcW w:w="645" w:type="dxa"/>
            <w:vMerge w:val="restart"/>
            <w:tcBorders>
              <w:tl2br w:val="nil"/>
              <w:tr2bl w:val="nil"/>
            </w:tcBorders>
            <w:vAlign w:val="center"/>
          </w:tcPr>
          <w:p w14:paraId="5AFF4553">
            <w:pPr>
              <w:pStyle w:val="12"/>
              <w:spacing w:line="240" w:lineRule="auto"/>
              <w:rPr>
                <w:color w:val="000000"/>
                <w:sz w:val="21"/>
                <w:szCs w:val="21"/>
              </w:rPr>
            </w:pPr>
            <w:r>
              <w:rPr>
                <w:color w:val="000000"/>
                <w:sz w:val="21"/>
                <w:szCs w:val="21"/>
              </w:rPr>
              <w:t>无组织</w:t>
            </w:r>
          </w:p>
        </w:tc>
        <w:tc>
          <w:tcPr>
            <w:tcW w:w="1125" w:type="dxa"/>
            <w:tcBorders>
              <w:tl2br w:val="nil"/>
              <w:tr2bl w:val="nil"/>
            </w:tcBorders>
            <w:vAlign w:val="center"/>
          </w:tcPr>
          <w:p w14:paraId="73D978F4">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氮气</w:t>
            </w:r>
          </w:p>
        </w:tc>
        <w:tc>
          <w:tcPr>
            <w:tcW w:w="1280" w:type="dxa"/>
            <w:vMerge w:val="restart"/>
            <w:tcBorders>
              <w:tl2br w:val="nil"/>
              <w:tr2bl w:val="nil"/>
            </w:tcBorders>
            <w:vAlign w:val="center"/>
          </w:tcPr>
          <w:p w14:paraId="15300A3E">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w:t>
            </w:r>
          </w:p>
        </w:tc>
        <w:tc>
          <w:tcPr>
            <w:tcW w:w="1353" w:type="dxa"/>
            <w:tcBorders>
              <w:tl2br w:val="nil"/>
              <w:tr2bl w:val="nil"/>
            </w:tcBorders>
            <w:vAlign w:val="center"/>
          </w:tcPr>
          <w:p w14:paraId="4256C0E5">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32</w:t>
            </w:r>
            <w:r>
              <w:rPr>
                <w:rFonts w:ascii="Times New Roman" w:hAnsi="Times New Roman"/>
                <w:color w:val="000000"/>
                <w:sz w:val="21"/>
                <w:szCs w:val="21"/>
              </w:rPr>
              <w:t>t/a</w:t>
            </w:r>
          </w:p>
        </w:tc>
        <w:tc>
          <w:tcPr>
            <w:tcW w:w="5010" w:type="dxa"/>
            <w:vMerge w:val="restart"/>
            <w:tcBorders>
              <w:tl2br w:val="nil"/>
              <w:tr2bl w:val="nil"/>
            </w:tcBorders>
            <w:vAlign w:val="center"/>
          </w:tcPr>
          <w:p w14:paraId="7D1FC26A">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直接放空</w:t>
            </w:r>
          </w:p>
        </w:tc>
        <w:tc>
          <w:tcPr>
            <w:tcW w:w="1357" w:type="dxa"/>
            <w:vMerge w:val="restart"/>
            <w:tcBorders>
              <w:tl2br w:val="nil"/>
              <w:tr2bl w:val="nil"/>
            </w:tcBorders>
            <w:vAlign w:val="center"/>
          </w:tcPr>
          <w:p w14:paraId="2579F705">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w:t>
            </w:r>
          </w:p>
        </w:tc>
        <w:tc>
          <w:tcPr>
            <w:tcW w:w="1525" w:type="dxa"/>
            <w:tcBorders>
              <w:tl2br w:val="nil"/>
              <w:tr2bl w:val="nil"/>
            </w:tcBorders>
            <w:vAlign w:val="center"/>
          </w:tcPr>
          <w:p w14:paraId="2D526E78">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32</w:t>
            </w:r>
            <w:r>
              <w:rPr>
                <w:rFonts w:ascii="Times New Roman" w:hAnsi="Times New Roman"/>
                <w:color w:val="000000"/>
                <w:sz w:val="21"/>
                <w:szCs w:val="21"/>
              </w:rPr>
              <w:t>t/a</w:t>
            </w:r>
          </w:p>
        </w:tc>
      </w:tr>
      <w:tr w14:paraId="6AFA39C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18" w:type="dxa"/>
            <w:vMerge w:val="continue"/>
            <w:tcBorders>
              <w:tl2br w:val="nil"/>
              <w:tr2bl w:val="nil"/>
            </w:tcBorders>
            <w:vAlign w:val="center"/>
          </w:tcPr>
          <w:p w14:paraId="5D41AFB3">
            <w:pPr>
              <w:pStyle w:val="2191"/>
              <w:rPr>
                <w:color w:val="000000"/>
                <w:szCs w:val="21"/>
              </w:rPr>
            </w:pPr>
          </w:p>
        </w:tc>
        <w:tc>
          <w:tcPr>
            <w:tcW w:w="1450" w:type="dxa"/>
            <w:vMerge w:val="continue"/>
            <w:tcBorders>
              <w:tl2br w:val="nil"/>
              <w:tr2bl w:val="nil"/>
            </w:tcBorders>
            <w:vAlign w:val="center"/>
          </w:tcPr>
          <w:p w14:paraId="0896E1BB">
            <w:pPr>
              <w:pStyle w:val="12"/>
              <w:spacing w:line="240" w:lineRule="auto"/>
              <w:rPr>
                <w:color w:val="000000"/>
                <w:sz w:val="21"/>
                <w:szCs w:val="21"/>
              </w:rPr>
            </w:pPr>
          </w:p>
        </w:tc>
        <w:tc>
          <w:tcPr>
            <w:tcW w:w="645" w:type="dxa"/>
            <w:vMerge w:val="continue"/>
            <w:tcBorders>
              <w:tl2br w:val="nil"/>
              <w:tr2bl w:val="nil"/>
            </w:tcBorders>
            <w:vAlign w:val="center"/>
          </w:tcPr>
          <w:p w14:paraId="114CF28B">
            <w:pPr>
              <w:pStyle w:val="12"/>
              <w:spacing w:line="240" w:lineRule="auto"/>
              <w:rPr>
                <w:color w:val="000000"/>
                <w:sz w:val="21"/>
                <w:szCs w:val="21"/>
              </w:rPr>
            </w:pPr>
          </w:p>
        </w:tc>
        <w:tc>
          <w:tcPr>
            <w:tcW w:w="1125" w:type="dxa"/>
            <w:tcBorders>
              <w:tl2br w:val="nil"/>
              <w:tr2bl w:val="nil"/>
            </w:tcBorders>
            <w:vAlign w:val="center"/>
          </w:tcPr>
          <w:p w14:paraId="70351445">
            <w:pPr>
              <w:pStyle w:val="68"/>
              <w:widowControl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rPr>
              <w:t>少量</w:t>
            </w:r>
            <w:r>
              <w:rPr>
                <w:rFonts w:ascii="Times New Roman" w:hAnsi="Times New Roman"/>
                <w:color w:val="000000"/>
                <w:kern w:val="2"/>
                <w:sz w:val="21"/>
                <w:szCs w:val="21"/>
              </w:rPr>
              <w:t>氧气</w:t>
            </w:r>
          </w:p>
        </w:tc>
        <w:tc>
          <w:tcPr>
            <w:tcW w:w="1280" w:type="dxa"/>
            <w:vMerge w:val="continue"/>
            <w:tcBorders>
              <w:tl2br w:val="nil"/>
              <w:tr2bl w:val="nil"/>
            </w:tcBorders>
            <w:vAlign w:val="center"/>
          </w:tcPr>
          <w:p w14:paraId="34802D04">
            <w:pPr>
              <w:pStyle w:val="68"/>
              <w:widowControl w:val="0"/>
              <w:spacing w:before="0" w:beforeAutospacing="0" w:after="0" w:afterAutospacing="0"/>
              <w:jc w:val="center"/>
              <w:rPr>
                <w:rFonts w:ascii="Times New Roman" w:hAnsi="Times New Roman"/>
                <w:color w:val="000000"/>
                <w:kern w:val="2"/>
                <w:sz w:val="21"/>
                <w:szCs w:val="21"/>
              </w:rPr>
            </w:pPr>
          </w:p>
        </w:tc>
        <w:tc>
          <w:tcPr>
            <w:tcW w:w="1353" w:type="dxa"/>
            <w:tcBorders>
              <w:tl2br w:val="nil"/>
              <w:tr2bl w:val="nil"/>
            </w:tcBorders>
            <w:vAlign w:val="center"/>
          </w:tcPr>
          <w:p w14:paraId="50AED288">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0.24</w:t>
            </w:r>
            <w:r>
              <w:rPr>
                <w:rFonts w:ascii="Times New Roman" w:hAnsi="Times New Roman"/>
                <w:color w:val="000000"/>
                <w:sz w:val="21"/>
                <w:szCs w:val="21"/>
              </w:rPr>
              <w:t>t/a</w:t>
            </w:r>
          </w:p>
        </w:tc>
        <w:tc>
          <w:tcPr>
            <w:tcW w:w="5010" w:type="dxa"/>
            <w:vMerge w:val="continue"/>
            <w:tcBorders>
              <w:tl2br w:val="nil"/>
              <w:tr2bl w:val="nil"/>
            </w:tcBorders>
            <w:vAlign w:val="center"/>
          </w:tcPr>
          <w:p w14:paraId="0B441182">
            <w:pPr>
              <w:pStyle w:val="68"/>
              <w:widowControl w:val="0"/>
              <w:spacing w:before="0" w:beforeAutospacing="0" w:after="0" w:afterAutospacing="0"/>
              <w:jc w:val="center"/>
              <w:rPr>
                <w:rFonts w:ascii="Times New Roman" w:hAnsi="Times New Roman"/>
                <w:color w:val="000000"/>
                <w:kern w:val="2"/>
                <w:sz w:val="21"/>
                <w:szCs w:val="21"/>
              </w:rPr>
            </w:pPr>
          </w:p>
        </w:tc>
        <w:tc>
          <w:tcPr>
            <w:tcW w:w="1357" w:type="dxa"/>
            <w:vMerge w:val="continue"/>
            <w:tcBorders>
              <w:tl2br w:val="nil"/>
              <w:tr2bl w:val="nil"/>
            </w:tcBorders>
            <w:vAlign w:val="center"/>
          </w:tcPr>
          <w:p w14:paraId="7A5618F4">
            <w:pPr>
              <w:pStyle w:val="68"/>
              <w:widowControl w:val="0"/>
              <w:spacing w:before="0" w:beforeAutospacing="0" w:after="0" w:afterAutospacing="0"/>
              <w:jc w:val="center"/>
              <w:rPr>
                <w:rFonts w:ascii="Times New Roman" w:hAnsi="Times New Roman"/>
                <w:color w:val="000000"/>
                <w:kern w:val="2"/>
                <w:sz w:val="21"/>
                <w:szCs w:val="21"/>
              </w:rPr>
            </w:pPr>
          </w:p>
        </w:tc>
        <w:tc>
          <w:tcPr>
            <w:tcW w:w="1525" w:type="dxa"/>
            <w:tcBorders>
              <w:tl2br w:val="nil"/>
              <w:tr2bl w:val="nil"/>
            </w:tcBorders>
            <w:vAlign w:val="center"/>
          </w:tcPr>
          <w:p w14:paraId="494D61DF">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0.24</w:t>
            </w:r>
            <w:r>
              <w:rPr>
                <w:rFonts w:ascii="Times New Roman" w:hAnsi="Times New Roman"/>
                <w:color w:val="000000"/>
                <w:sz w:val="21"/>
                <w:szCs w:val="21"/>
              </w:rPr>
              <w:t>t/a</w:t>
            </w:r>
          </w:p>
        </w:tc>
      </w:tr>
      <w:tr w14:paraId="0988C09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418" w:type="dxa"/>
            <w:vMerge w:val="continue"/>
            <w:tcBorders>
              <w:tl2br w:val="nil"/>
              <w:tr2bl w:val="nil"/>
            </w:tcBorders>
            <w:vAlign w:val="center"/>
          </w:tcPr>
          <w:p w14:paraId="4F797C6F">
            <w:pPr>
              <w:pStyle w:val="2191"/>
              <w:rPr>
                <w:color w:val="000000"/>
                <w:szCs w:val="21"/>
              </w:rPr>
            </w:pPr>
          </w:p>
        </w:tc>
        <w:tc>
          <w:tcPr>
            <w:tcW w:w="1450" w:type="dxa"/>
            <w:vMerge w:val="restart"/>
            <w:tcBorders>
              <w:tl2br w:val="nil"/>
              <w:tr2bl w:val="nil"/>
            </w:tcBorders>
            <w:vAlign w:val="center"/>
          </w:tcPr>
          <w:p w14:paraId="5E4716ED">
            <w:pPr>
              <w:pStyle w:val="12"/>
              <w:spacing w:line="240" w:lineRule="auto"/>
              <w:rPr>
                <w:color w:val="000000"/>
                <w:sz w:val="21"/>
                <w:szCs w:val="21"/>
              </w:rPr>
            </w:pPr>
            <w:r>
              <w:rPr>
                <w:color w:val="000000"/>
                <w:sz w:val="21"/>
                <w:szCs w:val="21"/>
              </w:rPr>
              <w:t>脱碳干燥再生尾气G4</w:t>
            </w:r>
          </w:p>
        </w:tc>
        <w:tc>
          <w:tcPr>
            <w:tcW w:w="645" w:type="dxa"/>
            <w:vMerge w:val="restart"/>
            <w:tcBorders>
              <w:tl2br w:val="nil"/>
              <w:tr2bl w:val="nil"/>
            </w:tcBorders>
            <w:vAlign w:val="center"/>
          </w:tcPr>
          <w:p w14:paraId="1D2B7536">
            <w:pPr>
              <w:pStyle w:val="12"/>
              <w:spacing w:line="240" w:lineRule="auto"/>
              <w:rPr>
                <w:color w:val="000000"/>
                <w:sz w:val="21"/>
                <w:szCs w:val="21"/>
              </w:rPr>
            </w:pPr>
            <w:r>
              <w:rPr>
                <w:color w:val="000000"/>
                <w:sz w:val="21"/>
                <w:szCs w:val="21"/>
              </w:rPr>
              <w:t>无组织</w:t>
            </w:r>
          </w:p>
        </w:tc>
        <w:tc>
          <w:tcPr>
            <w:tcW w:w="1125" w:type="dxa"/>
            <w:tcBorders>
              <w:tl2br w:val="nil"/>
              <w:tr2bl w:val="nil"/>
            </w:tcBorders>
            <w:vAlign w:val="center"/>
          </w:tcPr>
          <w:p w14:paraId="190275C2">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氮气</w:t>
            </w:r>
          </w:p>
        </w:tc>
        <w:tc>
          <w:tcPr>
            <w:tcW w:w="1280" w:type="dxa"/>
            <w:vMerge w:val="restart"/>
            <w:tcBorders>
              <w:tl2br w:val="nil"/>
              <w:tr2bl w:val="nil"/>
            </w:tcBorders>
            <w:vAlign w:val="center"/>
          </w:tcPr>
          <w:p w14:paraId="0B621592">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w:t>
            </w:r>
          </w:p>
        </w:tc>
        <w:tc>
          <w:tcPr>
            <w:tcW w:w="1353" w:type="dxa"/>
            <w:tcBorders>
              <w:tl2br w:val="nil"/>
              <w:tr2bl w:val="nil"/>
            </w:tcBorders>
            <w:vAlign w:val="center"/>
          </w:tcPr>
          <w:p w14:paraId="560B0974">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66.64</w:t>
            </w:r>
            <w:r>
              <w:rPr>
                <w:rFonts w:ascii="Times New Roman" w:hAnsi="Times New Roman"/>
                <w:color w:val="000000"/>
                <w:sz w:val="21"/>
                <w:szCs w:val="21"/>
              </w:rPr>
              <w:t>t/a</w:t>
            </w:r>
          </w:p>
        </w:tc>
        <w:tc>
          <w:tcPr>
            <w:tcW w:w="5010" w:type="dxa"/>
            <w:vMerge w:val="restart"/>
            <w:tcBorders>
              <w:tl2br w:val="nil"/>
              <w:tr2bl w:val="nil"/>
            </w:tcBorders>
            <w:vAlign w:val="center"/>
          </w:tcPr>
          <w:p w14:paraId="7BC082F6">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直接放空</w:t>
            </w:r>
          </w:p>
        </w:tc>
        <w:tc>
          <w:tcPr>
            <w:tcW w:w="1357" w:type="dxa"/>
            <w:vMerge w:val="restart"/>
            <w:tcBorders>
              <w:tl2br w:val="nil"/>
              <w:tr2bl w:val="nil"/>
            </w:tcBorders>
            <w:vAlign w:val="center"/>
          </w:tcPr>
          <w:p w14:paraId="5F02D4A1">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w:t>
            </w:r>
          </w:p>
        </w:tc>
        <w:tc>
          <w:tcPr>
            <w:tcW w:w="1525" w:type="dxa"/>
            <w:tcBorders>
              <w:tl2br w:val="nil"/>
              <w:tr2bl w:val="nil"/>
            </w:tcBorders>
            <w:vAlign w:val="center"/>
          </w:tcPr>
          <w:p w14:paraId="193B9498">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66.64</w:t>
            </w:r>
            <w:r>
              <w:rPr>
                <w:rFonts w:ascii="Times New Roman" w:hAnsi="Times New Roman"/>
                <w:color w:val="000000"/>
                <w:sz w:val="21"/>
                <w:szCs w:val="21"/>
              </w:rPr>
              <w:t>t/a</w:t>
            </w:r>
          </w:p>
        </w:tc>
      </w:tr>
      <w:tr w14:paraId="1CE791C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418" w:type="dxa"/>
            <w:vMerge w:val="continue"/>
            <w:tcBorders>
              <w:tl2br w:val="nil"/>
              <w:tr2bl w:val="nil"/>
            </w:tcBorders>
            <w:vAlign w:val="center"/>
          </w:tcPr>
          <w:p w14:paraId="13BADE69">
            <w:pPr>
              <w:pStyle w:val="68"/>
              <w:widowControl w:val="0"/>
              <w:spacing w:before="0" w:beforeAutospacing="0" w:after="0" w:afterAutospacing="0"/>
              <w:jc w:val="center"/>
              <w:rPr>
                <w:rFonts w:ascii="Times New Roman" w:hAnsi="Times New Roman"/>
                <w:color w:val="000000"/>
              </w:rPr>
            </w:pPr>
          </w:p>
        </w:tc>
        <w:tc>
          <w:tcPr>
            <w:tcW w:w="1450" w:type="dxa"/>
            <w:vMerge w:val="continue"/>
            <w:tcBorders>
              <w:tl2br w:val="nil"/>
              <w:tr2bl w:val="nil"/>
            </w:tcBorders>
            <w:vAlign w:val="center"/>
          </w:tcPr>
          <w:p w14:paraId="02DBBC82">
            <w:pPr>
              <w:pStyle w:val="68"/>
              <w:widowControl w:val="0"/>
              <w:spacing w:before="0" w:beforeAutospacing="0" w:after="0" w:afterAutospacing="0"/>
              <w:jc w:val="center"/>
              <w:rPr>
                <w:rFonts w:ascii="Times New Roman" w:hAnsi="Times New Roman"/>
                <w:color w:val="000000"/>
              </w:rPr>
            </w:pPr>
          </w:p>
        </w:tc>
        <w:tc>
          <w:tcPr>
            <w:tcW w:w="645" w:type="dxa"/>
            <w:vMerge w:val="continue"/>
            <w:tcBorders>
              <w:tl2br w:val="nil"/>
              <w:tr2bl w:val="nil"/>
            </w:tcBorders>
            <w:vAlign w:val="center"/>
          </w:tcPr>
          <w:p w14:paraId="1EDF3269">
            <w:pPr>
              <w:pStyle w:val="68"/>
              <w:widowControl w:val="0"/>
              <w:spacing w:before="0" w:beforeAutospacing="0" w:after="0" w:afterAutospacing="0"/>
              <w:jc w:val="center"/>
              <w:rPr>
                <w:rFonts w:ascii="Times New Roman" w:hAnsi="Times New Roman"/>
                <w:color w:val="000000"/>
              </w:rPr>
            </w:pPr>
          </w:p>
        </w:tc>
        <w:tc>
          <w:tcPr>
            <w:tcW w:w="1125" w:type="dxa"/>
            <w:tcBorders>
              <w:tl2br w:val="nil"/>
              <w:tr2bl w:val="nil"/>
            </w:tcBorders>
            <w:vAlign w:val="center"/>
          </w:tcPr>
          <w:p w14:paraId="5160E2EA">
            <w:pPr>
              <w:pStyle w:val="68"/>
              <w:widowControl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rPr>
              <w:t>少量</w:t>
            </w:r>
            <w:r>
              <w:rPr>
                <w:rFonts w:ascii="Times New Roman" w:hAnsi="Times New Roman"/>
                <w:color w:val="000000"/>
                <w:kern w:val="2"/>
                <w:sz w:val="21"/>
                <w:szCs w:val="21"/>
              </w:rPr>
              <w:t>吹脱的水</w:t>
            </w:r>
          </w:p>
        </w:tc>
        <w:tc>
          <w:tcPr>
            <w:tcW w:w="1280" w:type="dxa"/>
            <w:vMerge w:val="continue"/>
            <w:tcBorders>
              <w:tl2br w:val="nil"/>
              <w:tr2bl w:val="nil"/>
            </w:tcBorders>
            <w:vAlign w:val="center"/>
          </w:tcPr>
          <w:p w14:paraId="389EF50A">
            <w:pPr>
              <w:pStyle w:val="68"/>
              <w:widowControl w:val="0"/>
              <w:spacing w:before="0" w:beforeAutospacing="0" w:after="0" w:afterAutospacing="0"/>
              <w:jc w:val="center"/>
              <w:rPr>
                <w:rFonts w:ascii="Times New Roman" w:hAnsi="Times New Roman"/>
                <w:color w:val="000000"/>
                <w:kern w:val="2"/>
                <w:sz w:val="21"/>
                <w:szCs w:val="21"/>
              </w:rPr>
            </w:pPr>
          </w:p>
        </w:tc>
        <w:tc>
          <w:tcPr>
            <w:tcW w:w="1353" w:type="dxa"/>
            <w:tcBorders>
              <w:tl2br w:val="nil"/>
              <w:tr2bl w:val="nil"/>
            </w:tcBorders>
            <w:vAlign w:val="center"/>
          </w:tcPr>
          <w:p w14:paraId="41C6D864">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0.0002</w:t>
            </w:r>
            <w:r>
              <w:rPr>
                <w:rFonts w:ascii="Times New Roman" w:hAnsi="Times New Roman"/>
                <w:color w:val="000000"/>
                <w:sz w:val="21"/>
                <w:szCs w:val="21"/>
              </w:rPr>
              <w:t>t/a</w:t>
            </w:r>
          </w:p>
        </w:tc>
        <w:tc>
          <w:tcPr>
            <w:tcW w:w="5010" w:type="dxa"/>
            <w:vMerge w:val="continue"/>
            <w:tcBorders>
              <w:tl2br w:val="nil"/>
              <w:tr2bl w:val="nil"/>
            </w:tcBorders>
            <w:vAlign w:val="center"/>
          </w:tcPr>
          <w:p w14:paraId="223A204F">
            <w:pPr>
              <w:pStyle w:val="68"/>
              <w:widowControl w:val="0"/>
              <w:spacing w:before="0" w:beforeAutospacing="0" w:after="0" w:afterAutospacing="0"/>
              <w:jc w:val="center"/>
              <w:rPr>
                <w:rFonts w:ascii="Times New Roman" w:hAnsi="Times New Roman"/>
                <w:color w:val="000000"/>
                <w:kern w:val="2"/>
                <w:sz w:val="21"/>
                <w:szCs w:val="21"/>
              </w:rPr>
            </w:pPr>
          </w:p>
        </w:tc>
        <w:tc>
          <w:tcPr>
            <w:tcW w:w="1357" w:type="dxa"/>
            <w:vMerge w:val="continue"/>
            <w:tcBorders>
              <w:tl2br w:val="nil"/>
              <w:tr2bl w:val="nil"/>
            </w:tcBorders>
            <w:vAlign w:val="center"/>
          </w:tcPr>
          <w:p w14:paraId="578BC173">
            <w:pPr>
              <w:pStyle w:val="68"/>
              <w:widowControl w:val="0"/>
              <w:spacing w:before="0" w:beforeAutospacing="0" w:after="0" w:afterAutospacing="0"/>
              <w:jc w:val="center"/>
              <w:rPr>
                <w:rFonts w:ascii="Times New Roman" w:hAnsi="Times New Roman"/>
                <w:color w:val="000000"/>
                <w:kern w:val="2"/>
                <w:sz w:val="21"/>
                <w:szCs w:val="21"/>
              </w:rPr>
            </w:pPr>
          </w:p>
        </w:tc>
        <w:tc>
          <w:tcPr>
            <w:tcW w:w="1525" w:type="dxa"/>
            <w:tcBorders>
              <w:tl2br w:val="nil"/>
              <w:tr2bl w:val="nil"/>
            </w:tcBorders>
            <w:vAlign w:val="center"/>
          </w:tcPr>
          <w:p w14:paraId="3EE065C6">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0.0002</w:t>
            </w:r>
            <w:r>
              <w:rPr>
                <w:rFonts w:ascii="Times New Roman" w:hAnsi="Times New Roman"/>
                <w:color w:val="000000"/>
                <w:sz w:val="21"/>
                <w:szCs w:val="21"/>
              </w:rPr>
              <w:t>t/a</w:t>
            </w:r>
          </w:p>
        </w:tc>
      </w:tr>
      <w:tr w14:paraId="40776D4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418" w:type="dxa"/>
            <w:vMerge w:val="continue"/>
            <w:tcBorders>
              <w:tl2br w:val="nil"/>
              <w:tr2bl w:val="nil"/>
            </w:tcBorders>
            <w:vAlign w:val="center"/>
          </w:tcPr>
          <w:p w14:paraId="6FA1E7D9">
            <w:pPr>
              <w:pStyle w:val="68"/>
              <w:widowControl w:val="0"/>
              <w:spacing w:before="0" w:beforeAutospacing="0" w:after="0" w:afterAutospacing="0"/>
              <w:jc w:val="center"/>
              <w:rPr>
                <w:rFonts w:ascii="Times New Roman" w:hAnsi="Times New Roman"/>
                <w:color w:val="000000"/>
                <w:kern w:val="2"/>
                <w:sz w:val="21"/>
                <w:szCs w:val="21"/>
              </w:rPr>
            </w:pPr>
          </w:p>
        </w:tc>
        <w:tc>
          <w:tcPr>
            <w:tcW w:w="1450" w:type="dxa"/>
            <w:vMerge w:val="continue"/>
            <w:tcBorders>
              <w:tl2br w:val="nil"/>
              <w:tr2bl w:val="nil"/>
            </w:tcBorders>
            <w:vAlign w:val="center"/>
          </w:tcPr>
          <w:p w14:paraId="063DA461">
            <w:pPr>
              <w:pStyle w:val="68"/>
              <w:widowControl w:val="0"/>
              <w:spacing w:before="0" w:beforeAutospacing="0" w:after="0" w:afterAutospacing="0"/>
              <w:jc w:val="center"/>
              <w:rPr>
                <w:rFonts w:ascii="Times New Roman" w:hAnsi="Times New Roman"/>
                <w:color w:val="000000"/>
                <w:kern w:val="2"/>
                <w:sz w:val="21"/>
                <w:szCs w:val="21"/>
              </w:rPr>
            </w:pPr>
          </w:p>
        </w:tc>
        <w:tc>
          <w:tcPr>
            <w:tcW w:w="645" w:type="dxa"/>
            <w:vMerge w:val="continue"/>
            <w:tcBorders>
              <w:tl2br w:val="nil"/>
              <w:tr2bl w:val="nil"/>
            </w:tcBorders>
            <w:vAlign w:val="center"/>
          </w:tcPr>
          <w:p w14:paraId="209A7004">
            <w:pPr>
              <w:pStyle w:val="68"/>
              <w:widowControl w:val="0"/>
              <w:spacing w:before="0" w:beforeAutospacing="0" w:after="0" w:afterAutospacing="0"/>
              <w:jc w:val="center"/>
              <w:rPr>
                <w:rFonts w:ascii="Times New Roman" w:hAnsi="Times New Roman"/>
                <w:color w:val="000000"/>
                <w:kern w:val="2"/>
                <w:sz w:val="21"/>
                <w:szCs w:val="21"/>
              </w:rPr>
            </w:pPr>
          </w:p>
        </w:tc>
        <w:tc>
          <w:tcPr>
            <w:tcW w:w="1125" w:type="dxa"/>
            <w:tcBorders>
              <w:tl2br w:val="nil"/>
              <w:tr2bl w:val="nil"/>
            </w:tcBorders>
            <w:vAlign w:val="center"/>
          </w:tcPr>
          <w:p w14:paraId="1124562C">
            <w:pPr>
              <w:pStyle w:val="68"/>
              <w:widowControl w:val="0"/>
              <w:spacing w:before="0" w:beforeAutospacing="0" w:after="0" w:afterAutospacing="0"/>
              <w:jc w:val="center"/>
              <w:rPr>
                <w:rFonts w:ascii="Times New Roman" w:hAnsi="Times New Roman"/>
                <w:color w:val="000000"/>
                <w:kern w:val="2"/>
                <w:sz w:val="21"/>
                <w:szCs w:val="21"/>
              </w:rPr>
            </w:pPr>
            <w:r>
              <w:rPr>
                <w:rFonts w:hint="eastAsia" w:ascii="Times New Roman" w:hAnsi="Times New Roman"/>
                <w:color w:val="000000"/>
                <w:kern w:val="2"/>
                <w:sz w:val="21"/>
                <w:szCs w:val="21"/>
              </w:rPr>
              <w:t>少量</w:t>
            </w:r>
            <w:r>
              <w:rPr>
                <w:rFonts w:ascii="Times New Roman" w:hAnsi="Times New Roman"/>
                <w:color w:val="000000"/>
                <w:kern w:val="2"/>
                <w:sz w:val="21"/>
                <w:szCs w:val="21"/>
              </w:rPr>
              <w:t>吹脱的二氧化碳</w:t>
            </w:r>
          </w:p>
        </w:tc>
        <w:tc>
          <w:tcPr>
            <w:tcW w:w="1280" w:type="dxa"/>
            <w:vMerge w:val="continue"/>
            <w:tcBorders>
              <w:tl2br w:val="nil"/>
              <w:tr2bl w:val="nil"/>
            </w:tcBorders>
            <w:vAlign w:val="center"/>
          </w:tcPr>
          <w:p w14:paraId="2E1B9F0E">
            <w:pPr>
              <w:pStyle w:val="68"/>
              <w:widowControl w:val="0"/>
              <w:spacing w:before="0" w:beforeAutospacing="0" w:after="0" w:afterAutospacing="0"/>
              <w:jc w:val="center"/>
              <w:rPr>
                <w:rFonts w:ascii="Times New Roman" w:hAnsi="Times New Roman"/>
                <w:color w:val="000000"/>
                <w:kern w:val="2"/>
                <w:sz w:val="21"/>
                <w:szCs w:val="21"/>
              </w:rPr>
            </w:pPr>
          </w:p>
        </w:tc>
        <w:tc>
          <w:tcPr>
            <w:tcW w:w="1353" w:type="dxa"/>
            <w:tcBorders>
              <w:tl2br w:val="nil"/>
              <w:tr2bl w:val="nil"/>
            </w:tcBorders>
            <w:vAlign w:val="center"/>
          </w:tcPr>
          <w:p w14:paraId="165153A1">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0.0006</w:t>
            </w:r>
            <w:r>
              <w:rPr>
                <w:rFonts w:ascii="Times New Roman" w:hAnsi="Times New Roman"/>
                <w:color w:val="000000"/>
                <w:sz w:val="21"/>
                <w:szCs w:val="21"/>
              </w:rPr>
              <w:t>t/a</w:t>
            </w:r>
          </w:p>
        </w:tc>
        <w:tc>
          <w:tcPr>
            <w:tcW w:w="5010" w:type="dxa"/>
            <w:vMerge w:val="continue"/>
            <w:tcBorders>
              <w:tl2br w:val="nil"/>
              <w:tr2bl w:val="nil"/>
            </w:tcBorders>
            <w:vAlign w:val="center"/>
          </w:tcPr>
          <w:p w14:paraId="2B0D927A">
            <w:pPr>
              <w:pStyle w:val="68"/>
              <w:widowControl w:val="0"/>
              <w:spacing w:before="0" w:beforeAutospacing="0" w:after="0" w:afterAutospacing="0"/>
              <w:jc w:val="center"/>
              <w:rPr>
                <w:rFonts w:ascii="Times New Roman" w:hAnsi="Times New Roman"/>
                <w:color w:val="000000"/>
                <w:kern w:val="2"/>
                <w:sz w:val="21"/>
                <w:szCs w:val="21"/>
              </w:rPr>
            </w:pPr>
          </w:p>
        </w:tc>
        <w:tc>
          <w:tcPr>
            <w:tcW w:w="1357" w:type="dxa"/>
            <w:vMerge w:val="continue"/>
            <w:tcBorders>
              <w:tl2br w:val="nil"/>
              <w:tr2bl w:val="nil"/>
            </w:tcBorders>
            <w:vAlign w:val="center"/>
          </w:tcPr>
          <w:p w14:paraId="5A9C14D5">
            <w:pPr>
              <w:pStyle w:val="68"/>
              <w:widowControl w:val="0"/>
              <w:spacing w:before="0" w:beforeAutospacing="0" w:after="0" w:afterAutospacing="0"/>
              <w:jc w:val="center"/>
              <w:rPr>
                <w:rFonts w:ascii="Times New Roman" w:hAnsi="Times New Roman"/>
                <w:color w:val="000000"/>
                <w:kern w:val="2"/>
                <w:sz w:val="21"/>
                <w:szCs w:val="21"/>
              </w:rPr>
            </w:pPr>
          </w:p>
        </w:tc>
        <w:tc>
          <w:tcPr>
            <w:tcW w:w="1525" w:type="dxa"/>
            <w:tcBorders>
              <w:tl2br w:val="nil"/>
              <w:tr2bl w:val="nil"/>
            </w:tcBorders>
            <w:vAlign w:val="center"/>
          </w:tcPr>
          <w:p w14:paraId="143AEDA9">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0.0006</w:t>
            </w:r>
            <w:r>
              <w:rPr>
                <w:rFonts w:ascii="Times New Roman" w:hAnsi="Times New Roman"/>
                <w:color w:val="000000"/>
                <w:sz w:val="21"/>
                <w:szCs w:val="21"/>
              </w:rPr>
              <w:t>t/a</w:t>
            </w:r>
          </w:p>
        </w:tc>
      </w:tr>
      <w:tr w14:paraId="7C8DB92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418" w:type="dxa"/>
            <w:vMerge w:val="restart"/>
            <w:tcBorders>
              <w:tl2br w:val="nil"/>
              <w:tr2bl w:val="nil"/>
            </w:tcBorders>
            <w:vAlign w:val="center"/>
          </w:tcPr>
          <w:p w14:paraId="0BF2B4E3">
            <w:pPr>
              <w:pStyle w:val="2191"/>
              <w:rPr>
                <w:color w:val="000000"/>
                <w:szCs w:val="21"/>
              </w:rPr>
            </w:pPr>
            <w:r>
              <w:rPr>
                <w:color w:val="000000"/>
                <w:szCs w:val="21"/>
              </w:rPr>
              <w:t>废水</w:t>
            </w:r>
          </w:p>
        </w:tc>
        <w:tc>
          <w:tcPr>
            <w:tcW w:w="2095" w:type="dxa"/>
            <w:gridSpan w:val="2"/>
            <w:vMerge w:val="restart"/>
            <w:tcBorders>
              <w:tl2br w:val="nil"/>
              <w:tr2bl w:val="nil"/>
            </w:tcBorders>
            <w:vAlign w:val="center"/>
          </w:tcPr>
          <w:p w14:paraId="75257FD7">
            <w:pPr>
              <w:rPr>
                <w:color w:val="000000"/>
                <w:sz w:val="21"/>
              </w:rPr>
            </w:pPr>
            <w:r>
              <w:rPr>
                <w:color w:val="000000"/>
                <w:sz w:val="21"/>
              </w:rPr>
              <w:t>生产废水W1</w:t>
            </w:r>
          </w:p>
          <w:p w14:paraId="3037645C">
            <w:pPr>
              <w:rPr>
                <w:color w:val="000000"/>
                <w:sz w:val="21"/>
              </w:rPr>
            </w:pPr>
          </w:p>
        </w:tc>
        <w:tc>
          <w:tcPr>
            <w:tcW w:w="1125" w:type="dxa"/>
            <w:tcBorders>
              <w:tl2br w:val="nil"/>
              <w:tr2bl w:val="nil"/>
            </w:tcBorders>
            <w:vAlign w:val="center"/>
          </w:tcPr>
          <w:p w14:paraId="3A707CFA">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COD</w:t>
            </w:r>
          </w:p>
        </w:tc>
        <w:tc>
          <w:tcPr>
            <w:tcW w:w="1280" w:type="dxa"/>
            <w:tcBorders>
              <w:tl2br w:val="nil"/>
              <w:tr2bl w:val="nil"/>
            </w:tcBorders>
            <w:vAlign w:val="center"/>
          </w:tcPr>
          <w:p w14:paraId="40FED331">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500mg/L</w:t>
            </w:r>
          </w:p>
        </w:tc>
        <w:tc>
          <w:tcPr>
            <w:tcW w:w="1353" w:type="dxa"/>
            <w:tcBorders>
              <w:tl2br w:val="nil"/>
              <w:tr2bl w:val="nil"/>
            </w:tcBorders>
            <w:vAlign w:val="center"/>
          </w:tcPr>
          <w:p w14:paraId="6AD5867D">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0.022</w:t>
            </w:r>
            <w:r>
              <w:rPr>
                <w:rFonts w:ascii="Times New Roman" w:hAnsi="Times New Roman"/>
                <w:color w:val="000000"/>
                <w:sz w:val="21"/>
                <w:szCs w:val="21"/>
              </w:rPr>
              <w:t>t/a</w:t>
            </w:r>
          </w:p>
        </w:tc>
        <w:tc>
          <w:tcPr>
            <w:tcW w:w="5010" w:type="dxa"/>
            <w:vMerge w:val="restart"/>
            <w:tcBorders>
              <w:tl2br w:val="nil"/>
              <w:tr2bl w:val="nil"/>
            </w:tcBorders>
            <w:vAlign w:val="center"/>
          </w:tcPr>
          <w:p w14:paraId="70ACA03B">
            <w:pPr>
              <w:pStyle w:val="2191"/>
              <w:rPr>
                <w:color w:val="000000"/>
                <w:szCs w:val="21"/>
              </w:rPr>
            </w:pPr>
            <w:r>
              <w:rPr>
                <w:color w:val="000000"/>
                <w:szCs w:val="21"/>
              </w:rPr>
              <w:t>生产废水池</w:t>
            </w:r>
          </w:p>
        </w:tc>
        <w:tc>
          <w:tcPr>
            <w:tcW w:w="1357" w:type="dxa"/>
            <w:tcBorders>
              <w:tl2br w:val="nil"/>
              <w:tr2bl w:val="nil"/>
            </w:tcBorders>
            <w:vAlign w:val="center"/>
          </w:tcPr>
          <w:p w14:paraId="73EA222F">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350mg/L</w:t>
            </w:r>
          </w:p>
        </w:tc>
        <w:tc>
          <w:tcPr>
            <w:tcW w:w="1525" w:type="dxa"/>
            <w:tcBorders>
              <w:tl2br w:val="nil"/>
              <w:tr2bl w:val="nil"/>
            </w:tcBorders>
            <w:vAlign w:val="center"/>
          </w:tcPr>
          <w:p w14:paraId="29A16209">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0.016</w:t>
            </w:r>
            <w:r>
              <w:rPr>
                <w:rFonts w:ascii="Times New Roman" w:hAnsi="Times New Roman"/>
                <w:color w:val="000000"/>
                <w:sz w:val="21"/>
                <w:szCs w:val="21"/>
              </w:rPr>
              <w:t>t/a</w:t>
            </w:r>
          </w:p>
        </w:tc>
      </w:tr>
      <w:tr w14:paraId="4F36378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18" w:type="dxa"/>
            <w:vMerge w:val="continue"/>
            <w:tcBorders>
              <w:tl2br w:val="nil"/>
              <w:tr2bl w:val="nil"/>
            </w:tcBorders>
            <w:vAlign w:val="center"/>
          </w:tcPr>
          <w:p w14:paraId="17C7D65D">
            <w:pPr>
              <w:pStyle w:val="2191"/>
              <w:rPr>
                <w:color w:val="000000"/>
                <w:szCs w:val="21"/>
              </w:rPr>
            </w:pPr>
          </w:p>
        </w:tc>
        <w:tc>
          <w:tcPr>
            <w:tcW w:w="2095" w:type="dxa"/>
            <w:gridSpan w:val="2"/>
            <w:vMerge w:val="continue"/>
            <w:tcBorders>
              <w:tl2br w:val="nil"/>
              <w:tr2bl w:val="nil"/>
            </w:tcBorders>
            <w:vAlign w:val="center"/>
          </w:tcPr>
          <w:p w14:paraId="593C38A4">
            <w:pPr>
              <w:pStyle w:val="2191"/>
              <w:jc w:val="left"/>
              <w:rPr>
                <w:color w:val="000000"/>
                <w:szCs w:val="21"/>
              </w:rPr>
            </w:pPr>
          </w:p>
        </w:tc>
        <w:tc>
          <w:tcPr>
            <w:tcW w:w="1125" w:type="dxa"/>
            <w:tcBorders>
              <w:tl2br w:val="nil"/>
              <w:tr2bl w:val="nil"/>
            </w:tcBorders>
            <w:vAlign w:val="center"/>
          </w:tcPr>
          <w:p w14:paraId="2BCB6EB2">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SS</w:t>
            </w:r>
          </w:p>
        </w:tc>
        <w:tc>
          <w:tcPr>
            <w:tcW w:w="1280" w:type="dxa"/>
            <w:tcBorders>
              <w:tl2br w:val="nil"/>
              <w:tr2bl w:val="nil"/>
            </w:tcBorders>
            <w:vAlign w:val="center"/>
          </w:tcPr>
          <w:p w14:paraId="610B2FD7">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300mg/L</w:t>
            </w:r>
          </w:p>
        </w:tc>
        <w:tc>
          <w:tcPr>
            <w:tcW w:w="1353" w:type="dxa"/>
            <w:tcBorders>
              <w:tl2br w:val="nil"/>
              <w:tr2bl w:val="nil"/>
            </w:tcBorders>
            <w:vAlign w:val="center"/>
          </w:tcPr>
          <w:p w14:paraId="10CF5FEE">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0.013</w:t>
            </w:r>
            <w:r>
              <w:rPr>
                <w:rFonts w:ascii="Times New Roman" w:hAnsi="Times New Roman"/>
                <w:color w:val="000000"/>
                <w:sz w:val="21"/>
                <w:szCs w:val="21"/>
              </w:rPr>
              <w:t>t/a</w:t>
            </w:r>
          </w:p>
        </w:tc>
        <w:tc>
          <w:tcPr>
            <w:tcW w:w="5010" w:type="dxa"/>
            <w:vMerge w:val="continue"/>
            <w:tcBorders>
              <w:tl2br w:val="nil"/>
              <w:tr2bl w:val="nil"/>
            </w:tcBorders>
            <w:vAlign w:val="center"/>
          </w:tcPr>
          <w:p w14:paraId="23846899">
            <w:pPr>
              <w:pStyle w:val="2191"/>
              <w:rPr>
                <w:color w:val="000000"/>
                <w:szCs w:val="21"/>
              </w:rPr>
            </w:pPr>
          </w:p>
        </w:tc>
        <w:tc>
          <w:tcPr>
            <w:tcW w:w="1357" w:type="dxa"/>
            <w:tcBorders>
              <w:tl2br w:val="nil"/>
              <w:tr2bl w:val="nil"/>
            </w:tcBorders>
            <w:vAlign w:val="center"/>
          </w:tcPr>
          <w:p w14:paraId="1F6A0F17">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200mg/L</w:t>
            </w:r>
          </w:p>
        </w:tc>
        <w:tc>
          <w:tcPr>
            <w:tcW w:w="1525" w:type="dxa"/>
            <w:tcBorders>
              <w:tl2br w:val="nil"/>
              <w:tr2bl w:val="nil"/>
            </w:tcBorders>
            <w:vAlign w:val="center"/>
          </w:tcPr>
          <w:p w14:paraId="05EF2511">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0.009</w:t>
            </w:r>
            <w:r>
              <w:rPr>
                <w:rFonts w:ascii="Times New Roman" w:hAnsi="Times New Roman"/>
                <w:color w:val="000000"/>
                <w:sz w:val="21"/>
                <w:szCs w:val="21"/>
              </w:rPr>
              <w:t>/a</w:t>
            </w:r>
          </w:p>
        </w:tc>
      </w:tr>
      <w:tr w14:paraId="06CFD48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418" w:type="dxa"/>
            <w:vMerge w:val="continue"/>
            <w:tcBorders>
              <w:tl2br w:val="nil"/>
              <w:tr2bl w:val="nil"/>
            </w:tcBorders>
            <w:vAlign w:val="center"/>
          </w:tcPr>
          <w:p w14:paraId="5A6561EF">
            <w:pPr>
              <w:pStyle w:val="2191"/>
              <w:rPr>
                <w:color w:val="000000"/>
                <w:szCs w:val="21"/>
              </w:rPr>
            </w:pPr>
          </w:p>
        </w:tc>
        <w:tc>
          <w:tcPr>
            <w:tcW w:w="2095" w:type="dxa"/>
            <w:gridSpan w:val="2"/>
            <w:vMerge w:val="restart"/>
            <w:tcBorders>
              <w:tl2br w:val="nil"/>
              <w:tr2bl w:val="nil"/>
            </w:tcBorders>
            <w:vAlign w:val="center"/>
          </w:tcPr>
          <w:p w14:paraId="48B49FF8">
            <w:pPr>
              <w:rPr>
                <w:color w:val="000000"/>
                <w:sz w:val="21"/>
              </w:rPr>
            </w:pPr>
            <w:r>
              <w:rPr>
                <w:color w:val="000000"/>
                <w:sz w:val="21"/>
              </w:rPr>
              <w:t>生活污水W2</w:t>
            </w:r>
          </w:p>
          <w:p w14:paraId="29CDA42E">
            <w:pPr>
              <w:rPr>
                <w:color w:val="000000"/>
                <w:sz w:val="21"/>
              </w:rPr>
            </w:pPr>
          </w:p>
        </w:tc>
        <w:tc>
          <w:tcPr>
            <w:tcW w:w="1125" w:type="dxa"/>
            <w:tcBorders>
              <w:tl2br w:val="nil"/>
              <w:tr2bl w:val="nil"/>
            </w:tcBorders>
            <w:vAlign w:val="center"/>
          </w:tcPr>
          <w:p w14:paraId="20941E38">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COD</w:t>
            </w:r>
          </w:p>
        </w:tc>
        <w:tc>
          <w:tcPr>
            <w:tcW w:w="1280" w:type="dxa"/>
            <w:tcBorders>
              <w:tl2br w:val="nil"/>
              <w:tr2bl w:val="nil"/>
            </w:tcBorders>
            <w:vAlign w:val="center"/>
          </w:tcPr>
          <w:p w14:paraId="6E76A180">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500mg/L</w:t>
            </w:r>
          </w:p>
        </w:tc>
        <w:tc>
          <w:tcPr>
            <w:tcW w:w="1353" w:type="dxa"/>
            <w:tcBorders>
              <w:tl2br w:val="nil"/>
              <w:tr2bl w:val="nil"/>
            </w:tcBorders>
            <w:vAlign w:val="center"/>
          </w:tcPr>
          <w:p w14:paraId="1BCD8C04">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0.090</w:t>
            </w:r>
            <w:r>
              <w:rPr>
                <w:rFonts w:ascii="Times New Roman" w:hAnsi="Times New Roman"/>
                <w:color w:val="000000"/>
                <w:sz w:val="21"/>
                <w:szCs w:val="21"/>
              </w:rPr>
              <w:t>t/a</w:t>
            </w:r>
          </w:p>
        </w:tc>
        <w:tc>
          <w:tcPr>
            <w:tcW w:w="5010" w:type="dxa"/>
            <w:vMerge w:val="restart"/>
            <w:tcBorders>
              <w:tl2br w:val="nil"/>
              <w:tr2bl w:val="nil"/>
            </w:tcBorders>
            <w:vAlign w:val="center"/>
          </w:tcPr>
          <w:p w14:paraId="408E454C">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化粪池</w:t>
            </w:r>
          </w:p>
        </w:tc>
        <w:tc>
          <w:tcPr>
            <w:tcW w:w="1357" w:type="dxa"/>
            <w:tcBorders>
              <w:tl2br w:val="nil"/>
              <w:tr2bl w:val="nil"/>
            </w:tcBorders>
            <w:vAlign w:val="center"/>
          </w:tcPr>
          <w:p w14:paraId="16991047">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350mg/L</w:t>
            </w:r>
          </w:p>
        </w:tc>
        <w:tc>
          <w:tcPr>
            <w:tcW w:w="1525" w:type="dxa"/>
            <w:tcBorders>
              <w:tl2br w:val="nil"/>
              <w:tr2bl w:val="nil"/>
            </w:tcBorders>
            <w:vAlign w:val="center"/>
          </w:tcPr>
          <w:p w14:paraId="13E55DA0">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0.063</w:t>
            </w:r>
            <w:r>
              <w:rPr>
                <w:rFonts w:ascii="Times New Roman" w:hAnsi="Times New Roman"/>
                <w:color w:val="000000"/>
                <w:sz w:val="21"/>
                <w:szCs w:val="21"/>
              </w:rPr>
              <w:t>t/a</w:t>
            </w:r>
          </w:p>
        </w:tc>
      </w:tr>
      <w:tr w14:paraId="67001F23">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18" w:type="dxa"/>
            <w:vMerge w:val="continue"/>
            <w:tcBorders>
              <w:tl2br w:val="nil"/>
              <w:tr2bl w:val="nil"/>
            </w:tcBorders>
            <w:vAlign w:val="center"/>
          </w:tcPr>
          <w:p w14:paraId="7396B939">
            <w:pPr>
              <w:pStyle w:val="2191"/>
              <w:rPr>
                <w:color w:val="000000"/>
                <w:szCs w:val="21"/>
              </w:rPr>
            </w:pPr>
          </w:p>
        </w:tc>
        <w:tc>
          <w:tcPr>
            <w:tcW w:w="2095" w:type="dxa"/>
            <w:gridSpan w:val="2"/>
            <w:vMerge w:val="continue"/>
            <w:tcBorders>
              <w:tl2br w:val="nil"/>
              <w:tr2bl w:val="nil"/>
            </w:tcBorders>
            <w:vAlign w:val="center"/>
          </w:tcPr>
          <w:p w14:paraId="0B3A6FCE">
            <w:pPr>
              <w:pStyle w:val="2191"/>
              <w:rPr>
                <w:color w:val="000000"/>
                <w:szCs w:val="21"/>
              </w:rPr>
            </w:pPr>
          </w:p>
        </w:tc>
        <w:tc>
          <w:tcPr>
            <w:tcW w:w="1125" w:type="dxa"/>
            <w:tcBorders>
              <w:tl2br w:val="nil"/>
              <w:tr2bl w:val="nil"/>
            </w:tcBorders>
            <w:vAlign w:val="center"/>
          </w:tcPr>
          <w:p w14:paraId="78ABA6EB">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BOD</w:t>
            </w:r>
            <w:r>
              <w:rPr>
                <w:rFonts w:ascii="Times New Roman" w:hAnsi="Times New Roman"/>
                <w:color w:val="000000"/>
                <w:kern w:val="2"/>
                <w:sz w:val="21"/>
                <w:szCs w:val="21"/>
                <w:vertAlign w:val="subscript"/>
              </w:rPr>
              <w:t>5</w:t>
            </w:r>
          </w:p>
        </w:tc>
        <w:tc>
          <w:tcPr>
            <w:tcW w:w="1280" w:type="dxa"/>
            <w:tcBorders>
              <w:tl2br w:val="nil"/>
              <w:tr2bl w:val="nil"/>
            </w:tcBorders>
            <w:vAlign w:val="center"/>
          </w:tcPr>
          <w:p w14:paraId="535D8EF1">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300mg/L</w:t>
            </w:r>
          </w:p>
        </w:tc>
        <w:tc>
          <w:tcPr>
            <w:tcW w:w="1353" w:type="dxa"/>
            <w:tcBorders>
              <w:tl2br w:val="nil"/>
              <w:tr2bl w:val="nil"/>
            </w:tcBorders>
            <w:vAlign w:val="center"/>
          </w:tcPr>
          <w:p w14:paraId="58E0BB49">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0.054</w:t>
            </w:r>
            <w:r>
              <w:rPr>
                <w:rFonts w:ascii="Times New Roman" w:hAnsi="Times New Roman"/>
                <w:color w:val="000000"/>
                <w:sz w:val="21"/>
                <w:szCs w:val="21"/>
              </w:rPr>
              <w:t>t/a</w:t>
            </w:r>
          </w:p>
        </w:tc>
        <w:tc>
          <w:tcPr>
            <w:tcW w:w="5010" w:type="dxa"/>
            <w:vMerge w:val="continue"/>
            <w:tcBorders>
              <w:tl2br w:val="nil"/>
              <w:tr2bl w:val="nil"/>
            </w:tcBorders>
            <w:vAlign w:val="center"/>
          </w:tcPr>
          <w:p w14:paraId="3E636B08">
            <w:pPr>
              <w:pStyle w:val="2191"/>
              <w:rPr>
                <w:color w:val="000000"/>
                <w:szCs w:val="21"/>
              </w:rPr>
            </w:pPr>
          </w:p>
        </w:tc>
        <w:tc>
          <w:tcPr>
            <w:tcW w:w="1357" w:type="dxa"/>
            <w:tcBorders>
              <w:tl2br w:val="nil"/>
              <w:tr2bl w:val="nil"/>
            </w:tcBorders>
            <w:vAlign w:val="center"/>
          </w:tcPr>
          <w:p w14:paraId="5D528794">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200mg/L</w:t>
            </w:r>
          </w:p>
        </w:tc>
        <w:tc>
          <w:tcPr>
            <w:tcW w:w="1525" w:type="dxa"/>
            <w:tcBorders>
              <w:tl2br w:val="nil"/>
              <w:tr2bl w:val="nil"/>
            </w:tcBorders>
            <w:vAlign w:val="center"/>
          </w:tcPr>
          <w:p w14:paraId="4C1561EA">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0.036</w:t>
            </w:r>
            <w:r>
              <w:rPr>
                <w:rFonts w:ascii="Times New Roman" w:hAnsi="Times New Roman"/>
                <w:color w:val="000000"/>
                <w:sz w:val="21"/>
                <w:szCs w:val="21"/>
              </w:rPr>
              <w:t>t/a</w:t>
            </w:r>
          </w:p>
        </w:tc>
      </w:tr>
      <w:tr w14:paraId="7A16454A">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418" w:type="dxa"/>
            <w:vMerge w:val="continue"/>
            <w:tcBorders>
              <w:tl2br w:val="nil"/>
              <w:tr2bl w:val="nil"/>
            </w:tcBorders>
            <w:vAlign w:val="center"/>
          </w:tcPr>
          <w:p w14:paraId="58D2228F">
            <w:pPr>
              <w:pStyle w:val="2191"/>
              <w:rPr>
                <w:color w:val="000000"/>
                <w:szCs w:val="21"/>
              </w:rPr>
            </w:pPr>
          </w:p>
        </w:tc>
        <w:tc>
          <w:tcPr>
            <w:tcW w:w="2095" w:type="dxa"/>
            <w:gridSpan w:val="2"/>
            <w:vMerge w:val="continue"/>
            <w:tcBorders>
              <w:tl2br w:val="nil"/>
              <w:tr2bl w:val="nil"/>
            </w:tcBorders>
            <w:vAlign w:val="center"/>
          </w:tcPr>
          <w:p w14:paraId="61F41378">
            <w:pPr>
              <w:pStyle w:val="2191"/>
              <w:rPr>
                <w:color w:val="000000"/>
                <w:szCs w:val="21"/>
              </w:rPr>
            </w:pPr>
          </w:p>
        </w:tc>
        <w:tc>
          <w:tcPr>
            <w:tcW w:w="1125" w:type="dxa"/>
            <w:tcBorders>
              <w:tl2br w:val="nil"/>
              <w:tr2bl w:val="nil"/>
            </w:tcBorders>
            <w:vAlign w:val="center"/>
          </w:tcPr>
          <w:p w14:paraId="3B7D2C8A">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NH</w:t>
            </w:r>
            <w:r>
              <w:rPr>
                <w:rFonts w:ascii="Times New Roman" w:hAnsi="Times New Roman"/>
                <w:color w:val="000000"/>
                <w:kern w:val="2"/>
                <w:sz w:val="21"/>
                <w:szCs w:val="21"/>
                <w:vertAlign w:val="subscript"/>
              </w:rPr>
              <w:t>3</w:t>
            </w:r>
            <w:r>
              <w:rPr>
                <w:rFonts w:ascii="Times New Roman" w:hAnsi="Times New Roman"/>
                <w:color w:val="000000"/>
                <w:kern w:val="2"/>
                <w:sz w:val="21"/>
                <w:szCs w:val="21"/>
              </w:rPr>
              <w:t>-N</w:t>
            </w:r>
          </w:p>
        </w:tc>
        <w:tc>
          <w:tcPr>
            <w:tcW w:w="1280" w:type="dxa"/>
            <w:tcBorders>
              <w:tl2br w:val="nil"/>
              <w:tr2bl w:val="nil"/>
            </w:tcBorders>
            <w:vAlign w:val="center"/>
          </w:tcPr>
          <w:p w14:paraId="271DCF69">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40mg/L</w:t>
            </w:r>
          </w:p>
        </w:tc>
        <w:tc>
          <w:tcPr>
            <w:tcW w:w="1353" w:type="dxa"/>
            <w:tcBorders>
              <w:tl2br w:val="nil"/>
              <w:tr2bl w:val="nil"/>
            </w:tcBorders>
            <w:vAlign w:val="center"/>
          </w:tcPr>
          <w:p w14:paraId="4A5A6193">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0.007</w:t>
            </w:r>
            <w:r>
              <w:rPr>
                <w:rFonts w:ascii="Times New Roman" w:hAnsi="Times New Roman"/>
                <w:color w:val="000000"/>
                <w:sz w:val="21"/>
                <w:szCs w:val="21"/>
              </w:rPr>
              <w:t>t/a</w:t>
            </w:r>
          </w:p>
        </w:tc>
        <w:tc>
          <w:tcPr>
            <w:tcW w:w="5010" w:type="dxa"/>
            <w:vMerge w:val="continue"/>
            <w:tcBorders>
              <w:tl2br w:val="nil"/>
              <w:tr2bl w:val="nil"/>
            </w:tcBorders>
            <w:vAlign w:val="center"/>
          </w:tcPr>
          <w:p w14:paraId="07A0DD53">
            <w:pPr>
              <w:pStyle w:val="2191"/>
              <w:rPr>
                <w:color w:val="000000"/>
                <w:szCs w:val="21"/>
              </w:rPr>
            </w:pPr>
          </w:p>
        </w:tc>
        <w:tc>
          <w:tcPr>
            <w:tcW w:w="1357" w:type="dxa"/>
            <w:tcBorders>
              <w:tl2br w:val="nil"/>
              <w:tr2bl w:val="nil"/>
            </w:tcBorders>
            <w:vAlign w:val="center"/>
          </w:tcPr>
          <w:p w14:paraId="5879D9CD">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37mg/L</w:t>
            </w:r>
          </w:p>
        </w:tc>
        <w:tc>
          <w:tcPr>
            <w:tcW w:w="1525" w:type="dxa"/>
            <w:tcBorders>
              <w:tl2br w:val="nil"/>
              <w:tr2bl w:val="nil"/>
            </w:tcBorders>
            <w:vAlign w:val="center"/>
          </w:tcPr>
          <w:p w14:paraId="73DEE489">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0.007</w:t>
            </w:r>
            <w:r>
              <w:rPr>
                <w:rFonts w:ascii="Times New Roman" w:hAnsi="Times New Roman"/>
                <w:color w:val="000000"/>
                <w:sz w:val="21"/>
                <w:szCs w:val="21"/>
              </w:rPr>
              <w:t>t/a</w:t>
            </w:r>
          </w:p>
        </w:tc>
      </w:tr>
      <w:tr w14:paraId="643FA8E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18" w:type="dxa"/>
            <w:vMerge w:val="continue"/>
            <w:tcBorders>
              <w:tl2br w:val="nil"/>
              <w:tr2bl w:val="nil"/>
            </w:tcBorders>
            <w:vAlign w:val="center"/>
          </w:tcPr>
          <w:p w14:paraId="7BBC0778">
            <w:pPr>
              <w:pStyle w:val="2191"/>
              <w:rPr>
                <w:color w:val="000000"/>
                <w:szCs w:val="21"/>
              </w:rPr>
            </w:pPr>
          </w:p>
        </w:tc>
        <w:tc>
          <w:tcPr>
            <w:tcW w:w="2095" w:type="dxa"/>
            <w:gridSpan w:val="2"/>
            <w:vMerge w:val="continue"/>
            <w:tcBorders>
              <w:tl2br w:val="nil"/>
              <w:tr2bl w:val="nil"/>
            </w:tcBorders>
            <w:vAlign w:val="center"/>
          </w:tcPr>
          <w:p w14:paraId="179464D0">
            <w:pPr>
              <w:jc w:val="center"/>
              <w:rPr>
                <w:color w:val="000000"/>
                <w:sz w:val="21"/>
              </w:rPr>
            </w:pPr>
          </w:p>
        </w:tc>
        <w:tc>
          <w:tcPr>
            <w:tcW w:w="1125" w:type="dxa"/>
            <w:tcBorders>
              <w:tl2br w:val="nil"/>
              <w:tr2bl w:val="nil"/>
            </w:tcBorders>
            <w:vAlign w:val="center"/>
          </w:tcPr>
          <w:p w14:paraId="2F5AA505">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SS</w:t>
            </w:r>
          </w:p>
        </w:tc>
        <w:tc>
          <w:tcPr>
            <w:tcW w:w="1280" w:type="dxa"/>
            <w:tcBorders>
              <w:tl2br w:val="nil"/>
              <w:tr2bl w:val="nil"/>
            </w:tcBorders>
            <w:vAlign w:val="center"/>
          </w:tcPr>
          <w:p w14:paraId="64D4086F">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300mg/L</w:t>
            </w:r>
          </w:p>
        </w:tc>
        <w:tc>
          <w:tcPr>
            <w:tcW w:w="1353" w:type="dxa"/>
            <w:tcBorders>
              <w:tl2br w:val="nil"/>
              <w:tr2bl w:val="nil"/>
            </w:tcBorders>
            <w:vAlign w:val="center"/>
          </w:tcPr>
          <w:p w14:paraId="6CA486A3">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0.05</w:t>
            </w:r>
            <w:r>
              <w:rPr>
                <w:rFonts w:ascii="Times New Roman" w:hAnsi="Times New Roman"/>
                <w:color w:val="000000"/>
                <w:sz w:val="21"/>
                <w:szCs w:val="21"/>
              </w:rPr>
              <w:t>4/a</w:t>
            </w:r>
          </w:p>
        </w:tc>
        <w:tc>
          <w:tcPr>
            <w:tcW w:w="5010" w:type="dxa"/>
            <w:vMerge w:val="continue"/>
            <w:tcBorders>
              <w:tl2br w:val="nil"/>
              <w:tr2bl w:val="nil"/>
            </w:tcBorders>
            <w:vAlign w:val="center"/>
          </w:tcPr>
          <w:p w14:paraId="61C51EB4">
            <w:pPr>
              <w:pStyle w:val="68"/>
              <w:widowControl w:val="0"/>
              <w:spacing w:before="0" w:beforeAutospacing="0" w:after="0" w:afterAutospacing="0"/>
              <w:jc w:val="center"/>
              <w:rPr>
                <w:rFonts w:ascii="Times New Roman" w:hAnsi="Times New Roman"/>
                <w:color w:val="000000"/>
                <w:sz w:val="21"/>
                <w:szCs w:val="21"/>
              </w:rPr>
            </w:pPr>
          </w:p>
        </w:tc>
        <w:tc>
          <w:tcPr>
            <w:tcW w:w="1357" w:type="dxa"/>
            <w:tcBorders>
              <w:tl2br w:val="nil"/>
              <w:tr2bl w:val="nil"/>
            </w:tcBorders>
            <w:vAlign w:val="center"/>
          </w:tcPr>
          <w:p w14:paraId="27354120">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200mg/L</w:t>
            </w:r>
          </w:p>
        </w:tc>
        <w:tc>
          <w:tcPr>
            <w:tcW w:w="1525" w:type="dxa"/>
            <w:tcBorders>
              <w:tl2br w:val="nil"/>
              <w:tr2bl w:val="nil"/>
            </w:tcBorders>
            <w:vAlign w:val="center"/>
          </w:tcPr>
          <w:p w14:paraId="52B1124E">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0.036</w:t>
            </w:r>
            <w:r>
              <w:rPr>
                <w:rFonts w:ascii="Times New Roman" w:hAnsi="Times New Roman"/>
                <w:color w:val="000000"/>
                <w:sz w:val="21"/>
                <w:szCs w:val="21"/>
              </w:rPr>
              <w:t>t/a</w:t>
            </w:r>
          </w:p>
        </w:tc>
      </w:tr>
      <w:tr w14:paraId="777BAC6E">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18" w:type="dxa"/>
            <w:vMerge w:val="continue"/>
            <w:tcBorders>
              <w:tl2br w:val="nil"/>
              <w:tr2bl w:val="nil"/>
            </w:tcBorders>
            <w:vAlign w:val="center"/>
          </w:tcPr>
          <w:p w14:paraId="0E952B53">
            <w:pPr>
              <w:pStyle w:val="2191"/>
              <w:rPr>
                <w:color w:val="000000"/>
                <w:szCs w:val="21"/>
              </w:rPr>
            </w:pPr>
          </w:p>
        </w:tc>
        <w:tc>
          <w:tcPr>
            <w:tcW w:w="2095" w:type="dxa"/>
            <w:gridSpan w:val="2"/>
            <w:vMerge w:val="continue"/>
            <w:tcBorders>
              <w:tl2br w:val="nil"/>
              <w:tr2bl w:val="nil"/>
            </w:tcBorders>
            <w:vAlign w:val="center"/>
          </w:tcPr>
          <w:p w14:paraId="730D8131">
            <w:pPr>
              <w:jc w:val="center"/>
              <w:rPr>
                <w:color w:val="000000"/>
                <w:sz w:val="21"/>
              </w:rPr>
            </w:pPr>
          </w:p>
        </w:tc>
        <w:tc>
          <w:tcPr>
            <w:tcW w:w="1125" w:type="dxa"/>
            <w:tcBorders>
              <w:tl2br w:val="nil"/>
              <w:tr2bl w:val="nil"/>
            </w:tcBorders>
            <w:vAlign w:val="center"/>
          </w:tcPr>
          <w:p w14:paraId="22E8F539">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TP</w:t>
            </w:r>
          </w:p>
        </w:tc>
        <w:tc>
          <w:tcPr>
            <w:tcW w:w="1280" w:type="dxa"/>
            <w:tcBorders>
              <w:tl2br w:val="nil"/>
              <w:tr2bl w:val="nil"/>
            </w:tcBorders>
            <w:vAlign w:val="center"/>
          </w:tcPr>
          <w:p w14:paraId="3D0A97F0">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8mg/L</w:t>
            </w:r>
          </w:p>
        </w:tc>
        <w:tc>
          <w:tcPr>
            <w:tcW w:w="1353" w:type="dxa"/>
            <w:tcBorders>
              <w:tl2br w:val="nil"/>
              <w:tr2bl w:val="nil"/>
            </w:tcBorders>
            <w:vAlign w:val="center"/>
          </w:tcPr>
          <w:p w14:paraId="32EC1B62">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0.001</w:t>
            </w:r>
            <w:r>
              <w:rPr>
                <w:rFonts w:ascii="Times New Roman" w:hAnsi="Times New Roman"/>
                <w:color w:val="000000"/>
                <w:sz w:val="21"/>
                <w:szCs w:val="21"/>
              </w:rPr>
              <w:t>t/a</w:t>
            </w:r>
          </w:p>
        </w:tc>
        <w:tc>
          <w:tcPr>
            <w:tcW w:w="5010" w:type="dxa"/>
            <w:vMerge w:val="continue"/>
            <w:tcBorders>
              <w:tl2br w:val="nil"/>
              <w:tr2bl w:val="nil"/>
            </w:tcBorders>
            <w:vAlign w:val="center"/>
          </w:tcPr>
          <w:p w14:paraId="7398F182">
            <w:pPr>
              <w:pStyle w:val="68"/>
              <w:widowControl w:val="0"/>
              <w:spacing w:before="0" w:beforeAutospacing="0" w:after="0" w:afterAutospacing="0"/>
              <w:jc w:val="center"/>
              <w:rPr>
                <w:rFonts w:ascii="Times New Roman" w:hAnsi="Times New Roman"/>
                <w:color w:val="000000"/>
                <w:sz w:val="21"/>
                <w:szCs w:val="21"/>
              </w:rPr>
            </w:pPr>
          </w:p>
        </w:tc>
        <w:tc>
          <w:tcPr>
            <w:tcW w:w="1357" w:type="dxa"/>
            <w:tcBorders>
              <w:tl2br w:val="nil"/>
              <w:tr2bl w:val="nil"/>
            </w:tcBorders>
            <w:vAlign w:val="center"/>
          </w:tcPr>
          <w:p w14:paraId="26811B63">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5mg/L</w:t>
            </w:r>
          </w:p>
        </w:tc>
        <w:tc>
          <w:tcPr>
            <w:tcW w:w="1525" w:type="dxa"/>
            <w:tcBorders>
              <w:tl2br w:val="nil"/>
              <w:tr2bl w:val="nil"/>
            </w:tcBorders>
            <w:vAlign w:val="center"/>
          </w:tcPr>
          <w:p w14:paraId="5CF05AAA">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0.000</w:t>
            </w:r>
            <w:r>
              <w:rPr>
                <w:rFonts w:hint="eastAsia" w:ascii="Times New Roman" w:hAnsi="Times New Roman"/>
                <w:color w:val="000000"/>
                <w:kern w:val="2"/>
                <w:sz w:val="21"/>
                <w:szCs w:val="21"/>
              </w:rPr>
              <w:t>9</w:t>
            </w:r>
            <w:r>
              <w:rPr>
                <w:rFonts w:ascii="Times New Roman" w:hAnsi="Times New Roman"/>
                <w:color w:val="000000"/>
                <w:sz w:val="21"/>
                <w:szCs w:val="21"/>
              </w:rPr>
              <w:t>t/a</w:t>
            </w:r>
          </w:p>
        </w:tc>
      </w:tr>
      <w:tr w14:paraId="614CFC2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418" w:type="dxa"/>
            <w:tcBorders>
              <w:tl2br w:val="nil"/>
              <w:tr2bl w:val="nil"/>
            </w:tcBorders>
            <w:vAlign w:val="center"/>
          </w:tcPr>
          <w:p w14:paraId="7C9765C8">
            <w:pPr>
              <w:pStyle w:val="2191"/>
              <w:rPr>
                <w:color w:val="000000"/>
                <w:szCs w:val="21"/>
              </w:rPr>
            </w:pPr>
            <w:r>
              <w:rPr>
                <w:color w:val="000000"/>
                <w:szCs w:val="21"/>
              </w:rPr>
              <w:t>噪声</w:t>
            </w:r>
          </w:p>
        </w:tc>
        <w:tc>
          <w:tcPr>
            <w:tcW w:w="2095" w:type="dxa"/>
            <w:gridSpan w:val="2"/>
            <w:tcBorders>
              <w:tl2br w:val="nil"/>
              <w:tr2bl w:val="nil"/>
            </w:tcBorders>
            <w:vAlign w:val="center"/>
          </w:tcPr>
          <w:p w14:paraId="5BDE82F0">
            <w:pPr>
              <w:pStyle w:val="2191"/>
              <w:rPr>
                <w:color w:val="000000"/>
                <w:szCs w:val="21"/>
              </w:rPr>
            </w:pPr>
            <w:r>
              <w:rPr>
                <w:color w:val="000000"/>
                <w:szCs w:val="21"/>
              </w:rPr>
              <w:t>压缩机、各种泵类等机械设备</w:t>
            </w:r>
          </w:p>
        </w:tc>
        <w:tc>
          <w:tcPr>
            <w:tcW w:w="1125" w:type="dxa"/>
            <w:tcBorders>
              <w:tl2br w:val="nil"/>
              <w:tr2bl w:val="nil"/>
            </w:tcBorders>
            <w:vAlign w:val="center"/>
          </w:tcPr>
          <w:p w14:paraId="58A2EE2E">
            <w:pPr>
              <w:pStyle w:val="2191"/>
              <w:rPr>
                <w:color w:val="000000"/>
                <w:szCs w:val="21"/>
              </w:rPr>
            </w:pPr>
            <w:r>
              <w:rPr>
                <w:color w:val="000000"/>
                <w:szCs w:val="21"/>
              </w:rPr>
              <w:t>噪声</w:t>
            </w:r>
          </w:p>
        </w:tc>
        <w:tc>
          <w:tcPr>
            <w:tcW w:w="2633" w:type="dxa"/>
            <w:gridSpan w:val="2"/>
            <w:tcBorders>
              <w:tl2br w:val="nil"/>
              <w:tr2bl w:val="nil"/>
            </w:tcBorders>
            <w:vAlign w:val="center"/>
          </w:tcPr>
          <w:p w14:paraId="0F0C240F">
            <w:pPr>
              <w:pStyle w:val="2191"/>
              <w:rPr>
                <w:color w:val="000000"/>
                <w:szCs w:val="21"/>
              </w:rPr>
            </w:pPr>
            <w:r>
              <w:rPr>
                <w:color w:val="000000"/>
                <w:szCs w:val="21"/>
              </w:rPr>
              <w:t>75~100dB(A)</w:t>
            </w:r>
          </w:p>
        </w:tc>
        <w:tc>
          <w:tcPr>
            <w:tcW w:w="5010" w:type="dxa"/>
            <w:tcBorders>
              <w:tl2br w:val="nil"/>
              <w:tr2bl w:val="nil"/>
            </w:tcBorders>
            <w:vAlign w:val="center"/>
          </w:tcPr>
          <w:p w14:paraId="68A936CD">
            <w:pPr>
              <w:pStyle w:val="2191"/>
              <w:rPr>
                <w:color w:val="000000"/>
                <w:szCs w:val="21"/>
              </w:rPr>
            </w:pPr>
            <w:r>
              <w:rPr>
                <w:color w:val="000000"/>
                <w:szCs w:val="21"/>
              </w:rPr>
              <w:t>主要噪声设备密闭隔声，减振、消音</w:t>
            </w:r>
          </w:p>
        </w:tc>
        <w:tc>
          <w:tcPr>
            <w:tcW w:w="2882" w:type="dxa"/>
            <w:gridSpan w:val="2"/>
            <w:tcBorders>
              <w:tl2br w:val="nil"/>
              <w:tr2bl w:val="nil"/>
            </w:tcBorders>
            <w:vAlign w:val="center"/>
          </w:tcPr>
          <w:p w14:paraId="224D730C">
            <w:pPr>
              <w:pStyle w:val="2191"/>
              <w:rPr>
                <w:color w:val="000000"/>
                <w:szCs w:val="21"/>
              </w:rPr>
            </w:pPr>
            <w:r>
              <w:rPr>
                <w:color w:val="000000"/>
                <w:szCs w:val="21"/>
              </w:rPr>
              <w:t>55~80dB（A）</w:t>
            </w:r>
          </w:p>
        </w:tc>
      </w:tr>
      <w:tr w14:paraId="54043BA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18" w:type="dxa"/>
            <w:vMerge w:val="restart"/>
            <w:tcBorders>
              <w:tl2br w:val="nil"/>
              <w:tr2bl w:val="nil"/>
            </w:tcBorders>
            <w:vAlign w:val="center"/>
          </w:tcPr>
          <w:p w14:paraId="0ACBB29A">
            <w:pPr>
              <w:pStyle w:val="2191"/>
              <w:rPr>
                <w:color w:val="000000"/>
                <w:szCs w:val="21"/>
              </w:rPr>
            </w:pPr>
            <w:r>
              <w:rPr>
                <w:color w:val="000000"/>
                <w:szCs w:val="21"/>
              </w:rPr>
              <w:t>固废</w:t>
            </w:r>
          </w:p>
          <w:p w14:paraId="41BACBDF">
            <w:pPr>
              <w:pStyle w:val="2191"/>
              <w:rPr>
                <w:color w:val="000000"/>
                <w:szCs w:val="21"/>
              </w:rPr>
            </w:pPr>
          </w:p>
        </w:tc>
        <w:tc>
          <w:tcPr>
            <w:tcW w:w="2095" w:type="dxa"/>
            <w:gridSpan w:val="2"/>
            <w:tcBorders>
              <w:tl2br w:val="nil"/>
              <w:tr2bl w:val="nil"/>
            </w:tcBorders>
            <w:vAlign w:val="center"/>
          </w:tcPr>
          <w:p w14:paraId="01BF3CC5">
            <w:pPr>
              <w:jc w:val="center"/>
              <w:rPr>
                <w:color w:val="000000"/>
                <w:sz w:val="21"/>
              </w:rPr>
            </w:pPr>
            <w:r>
              <w:rPr>
                <w:color w:val="000000"/>
                <w:sz w:val="21"/>
              </w:rPr>
              <w:t>催化脱氢废催化剂</w:t>
            </w:r>
          </w:p>
        </w:tc>
        <w:tc>
          <w:tcPr>
            <w:tcW w:w="1125" w:type="dxa"/>
            <w:tcBorders>
              <w:tl2br w:val="nil"/>
              <w:tr2bl w:val="nil"/>
            </w:tcBorders>
            <w:vAlign w:val="center"/>
          </w:tcPr>
          <w:p w14:paraId="76139C7A">
            <w:pPr>
              <w:spacing w:after="120"/>
              <w:jc w:val="center"/>
              <w:rPr>
                <w:color w:val="000000"/>
                <w:kern w:val="44"/>
                <w:sz w:val="21"/>
              </w:rPr>
            </w:pPr>
            <w:r>
              <w:rPr>
                <w:color w:val="000000"/>
                <w:sz w:val="21"/>
              </w:rPr>
              <w:t>危险废物</w:t>
            </w:r>
          </w:p>
        </w:tc>
        <w:tc>
          <w:tcPr>
            <w:tcW w:w="2633" w:type="dxa"/>
            <w:gridSpan w:val="2"/>
            <w:tcBorders>
              <w:tl2br w:val="nil"/>
              <w:tr2bl w:val="nil"/>
            </w:tcBorders>
            <w:vAlign w:val="center"/>
          </w:tcPr>
          <w:p w14:paraId="33867F7A">
            <w:pPr>
              <w:jc w:val="center"/>
              <w:rPr>
                <w:color w:val="000000"/>
                <w:kern w:val="44"/>
                <w:sz w:val="21"/>
              </w:rPr>
            </w:pPr>
            <w:r>
              <w:rPr>
                <w:color w:val="000000"/>
                <w:sz w:val="21"/>
              </w:rPr>
              <w:t>0.4135t/a</w:t>
            </w:r>
          </w:p>
        </w:tc>
        <w:tc>
          <w:tcPr>
            <w:tcW w:w="5010" w:type="dxa"/>
            <w:tcBorders>
              <w:tl2br w:val="nil"/>
              <w:tr2bl w:val="nil"/>
            </w:tcBorders>
            <w:vAlign w:val="center"/>
          </w:tcPr>
          <w:p w14:paraId="2DD2C0CB">
            <w:pPr>
              <w:jc w:val="center"/>
              <w:rPr>
                <w:color w:val="000000"/>
                <w:sz w:val="21"/>
              </w:rPr>
            </w:pPr>
            <w:r>
              <w:rPr>
                <w:color w:val="000000"/>
                <w:sz w:val="21"/>
              </w:rPr>
              <w:t>收集于专用包装桶内后暂存在LNG工厂现有危废暂存间，委托有资质单位处置</w:t>
            </w:r>
          </w:p>
        </w:tc>
        <w:tc>
          <w:tcPr>
            <w:tcW w:w="2882" w:type="dxa"/>
            <w:gridSpan w:val="2"/>
            <w:tcBorders>
              <w:tl2br w:val="nil"/>
              <w:tr2bl w:val="nil"/>
            </w:tcBorders>
            <w:vAlign w:val="center"/>
          </w:tcPr>
          <w:p w14:paraId="7A5B46BC">
            <w:pPr>
              <w:pStyle w:val="2191"/>
              <w:rPr>
                <w:color w:val="000000"/>
                <w:kern w:val="44"/>
                <w:szCs w:val="21"/>
              </w:rPr>
            </w:pPr>
            <w:r>
              <w:rPr>
                <w:color w:val="000000"/>
                <w:szCs w:val="21"/>
              </w:rPr>
              <w:t>0</w:t>
            </w:r>
          </w:p>
        </w:tc>
      </w:tr>
      <w:tr w14:paraId="75ABAB7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18" w:type="dxa"/>
            <w:vMerge w:val="continue"/>
            <w:tcBorders>
              <w:tl2br w:val="nil"/>
              <w:tr2bl w:val="nil"/>
            </w:tcBorders>
            <w:vAlign w:val="center"/>
          </w:tcPr>
          <w:p w14:paraId="5EB856B0">
            <w:pPr>
              <w:pStyle w:val="2191"/>
              <w:rPr>
                <w:color w:val="000000"/>
                <w:szCs w:val="21"/>
              </w:rPr>
            </w:pPr>
          </w:p>
        </w:tc>
        <w:tc>
          <w:tcPr>
            <w:tcW w:w="2095" w:type="dxa"/>
            <w:gridSpan w:val="2"/>
            <w:tcBorders>
              <w:tl2br w:val="nil"/>
              <w:tr2bl w:val="nil"/>
            </w:tcBorders>
            <w:vAlign w:val="center"/>
          </w:tcPr>
          <w:p w14:paraId="38B07087">
            <w:pPr>
              <w:jc w:val="center"/>
              <w:rPr>
                <w:color w:val="000000"/>
                <w:sz w:val="21"/>
              </w:rPr>
            </w:pPr>
            <w:r>
              <w:rPr>
                <w:color w:val="000000"/>
                <w:sz w:val="21"/>
              </w:rPr>
              <w:t>废干燥剂、低温精制废吸附剂、吸附脱氢废催化剂</w:t>
            </w:r>
            <w:r>
              <w:rPr>
                <w:rFonts w:hint="eastAsia"/>
                <w:color w:val="000000"/>
                <w:sz w:val="21"/>
              </w:rPr>
              <w:t>、</w:t>
            </w:r>
            <w:r>
              <w:rPr>
                <w:color w:val="000000"/>
                <w:sz w:val="21"/>
              </w:rPr>
              <w:t>废过滤膜废瓷球等</w:t>
            </w:r>
          </w:p>
        </w:tc>
        <w:tc>
          <w:tcPr>
            <w:tcW w:w="1125" w:type="dxa"/>
            <w:tcBorders>
              <w:tl2br w:val="nil"/>
              <w:tr2bl w:val="nil"/>
            </w:tcBorders>
            <w:vAlign w:val="center"/>
          </w:tcPr>
          <w:p w14:paraId="07BF1D24">
            <w:pPr>
              <w:spacing w:after="120"/>
              <w:jc w:val="center"/>
              <w:rPr>
                <w:color w:val="000000"/>
                <w:sz w:val="21"/>
              </w:rPr>
            </w:pPr>
            <w:r>
              <w:rPr>
                <w:color w:val="000000"/>
                <w:sz w:val="21"/>
              </w:rPr>
              <w:t>一般工业固废</w:t>
            </w:r>
          </w:p>
        </w:tc>
        <w:tc>
          <w:tcPr>
            <w:tcW w:w="2633" w:type="dxa"/>
            <w:gridSpan w:val="2"/>
            <w:tcBorders>
              <w:tl2br w:val="nil"/>
              <w:tr2bl w:val="nil"/>
            </w:tcBorders>
            <w:vAlign w:val="center"/>
          </w:tcPr>
          <w:p w14:paraId="42458BF3">
            <w:pPr>
              <w:jc w:val="center"/>
              <w:rPr>
                <w:color w:val="000000"/>
                <w:sz w:val="21"/>
              </w:rPr>
            </w:pPr>
            <w:r>
              <w:rPr>
                <w:color w:val="000000"/>
                <w:sz w:val="21"/>
              </w:rPr>
              <w:t>1.6536t/a</w:t>
            </w:r>
          </w:p>
        </w:tc>
        <w:tc>
          <w:tcPr>
            <w:tcW w:w="5010" w:type="dxa"/>
            <w:tcBorders>
              <w:tl2br w:val="nil"/>
              <w:tr2bl w:val="nil"/>
            </w:tcBorders>
            <w:vAlign w:val="center"/>
          </w:tcPr>
          <w:p w14:paraId="5E0E9716">
            <w:pPr>
              <w:jc w:val="center"/>
              <w:rPr>
                <w:color w:val="000000"/>
                <w:sz w:val="21"/>
              </w:rPr>
            </w:pPr>
            <w:r>
              <w:rPr>
                <w:color w:val="000000"/>
                <w:sz w:val="21"/>
              </w:rPr>
              <w:t>更换时交由回收单位</w:t>
            </w:r>
          </w:p>
        </w:tc>
        <w:tc>
          <w:tcPr>
            <w:tcW w:w="2882" w:type="dxa"/>
            <w:gridSpan w:val="2"/>
            <w:tcBorders>
              <w:tl2br w:val="nil"/>
              <w:tr2bl w:val="nil"/>
            </w:tcBorders>
            <w:vAlign w:val="center"/>
          </w:tcPr>
          <w:p w14:paraId="6259FF99">
            <w:pPr>
              <w:pStyle w:val="2191"/>
              <w:rPr>
                <w:color w:val="000000"/>
                <w:kern w:val="44"/>
                <w:szCs w:val="21"/>
              </w:rPr>
            </w:pPr>
            <w:r>
              <w:rPr>
                <w:color w:val="000000"/>
                <w:kern w:val="44"/>
                <w:szCs w:val="21"/>
              </w:rPr>
              <w:t>0</w:t>
            </w:r>
          </w:p>
        </w:tc>
      </w:tr>
      <w:tr w14:paraId="7AA46741">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18" w:type="dxa"/>
            <w:vMerge w:val="continue"/>
            <w:tcBorders>
              <w:tl2br w:val="nil"/>
              <w:tr2bl w:val="nil"/>
            </w:tcBorders>
            <w:vAlign w:val="center"/>
          </w:tcPr>
          <w:p w14:paraId="7E8D2EEC">
            <w:pPr>
              <w:pStyle w:val="2191"/>
              <w:rPr>
                <w:color w:val="000000"/>
                <w:szCs w:val="21"/>
              </w:rPr>
            </w:pPr>
          </w:p>
        </w:tc>
        <w:tc>
          <w:tcPr>
            <w:tcW w:w="2095" w:type="dxa"/>
            <w:gridSpan w:val="2"/>
            <w:tcBorders>
              <w:tl2br w:val="nil"/>
              <w:tr2bl w:val="nil"/>
            </w:tcBorders>
            <w:vAlign w:val="center"/>
          </w:tcPr>
          <w:p w14:paraId="0CC6FD56">
            <w:pPr>
              <w:jc w:val="center"/>
              <w:rPr>
                <w:color w:val="000000"/>
                <w:sz w:val="21"/>
              </w:rPr>
            </w:pPr>
            <w:r>
              <w:rPr>
                <w:color w:val="000000"/>
                <w:sz w:val="21"/>
              </w:rPr>
              <w:t>生活垃圾</w:t>
            </w:r>
          </w:p>
        </w:tc>
        <w:tc>
          <w:tcPr>
            <w:tcW w:w="1125" w:type="dxa"/>
            <w:tcBorders>
              <w:tl2br w:val="nil"/>
              <w:tr2bl w:val="nil"/>
            </w:tcBorders>
            <w:vAlign w:val="center"/>
          </w:tcPr>
          <w:p w14:paraId="3B842F65">
            <w:pPr>
              <w:spacing w:after="120"/>
              <w:jc w:val="center"/>
              <w:rPr>
                <w:color w:val="000000"/>
                <w:kern w:val="44"/>
                <w:sz w:val="21"/>
              </w:rPr>
            </w:pPr>
            <w:r>
              <w:rPr>
                <w:color w:val="000000"/>
                <w:sz w:val="21"/>
              </w:rPr>
              <w:t>生活垃圾</w:t>
            </w:r>
          </w:p>
        </w:tc>
        <w:tc>
          <w:tcPr>
            <w:tcW w:w="2633" w:type="dxa"/>
            <w:gridSpan w:val="2"/>
            <w:tcBorders>
              <w:tl2br w:val="nil"/>
              <w:tr2bl w:val="nil"/>
            </w:tcBorders>
            <w:vAlign w:val="center"/>
          </w:tcPr>
          <w:p w14:paraId="1A36399C">
            <w:pPr>
              <w:jc w:val="center"/>
              <w:rPr>
                <w:color w:val="000000"/>
                <w:sz w:val="21"/>
              </w:rPr>
            </w:pPr>
            <w:r>
              <w:rPr>
                <w:color w:val="000000"/>
                <w:sz w:val="21"/>
              </w:rPr>
              <w:t>1.998t/a</w:t>
            </w:r>
          </w:p>
        </w:tc>
        <w:tc>
          <w:tcPr>
            <w:tcW w:w="5010" w:type="dxa"/>
            <w:tcBorders>
              <w:tl2br w:val="nil"/>
              <w:tr2bl w:val="nil"/>
            </w:tcBorders>
            <w:vAlign w:val="center"/>
          </w:tcPr>
          <w:p w14:paraId="636ADEF5">
            <w:pPr>
              <w:jc w:val="center"/>
              <w:rPr>
                <w:color w:val="000000"/>
                <w:kern w:val="44"/>
                <w:sz w:val="21"/>
              </w:rPr>
            </w:pPr>
            <w:r>
              <w:rPr>
                <w:bCs/>
                <w:color w:val="000000"/>
                <w:sz w:val="21"/>
              </w:rPr>
              <w:t>交当地环卫部门统一处置</w:t>
            </w:r>
          </w:p>
        </w:tc>
        <w:tc>
          <w:tcPr>
            <w:tcW w:w="2882" w:type="dxa"/>
            <w:gridSpan w:val="2"/>
            <w:tcBorders>
              <w:tl2br w:val="nil"/>
              <w:tr2bl w:val="nil"/>
            </w:tcBorders>
            <w:vAlign w:val="center"/>
          </w:tcPr>
          <w:p w14:paraId="6C130B59">
            <w:pPr>
              <w:pStyle w:val="2191"/>
              <w:rPr>
                <w:color w:val="000000"/>
                <w:kern w:val="44"/>
                <w:szCs w:val="21"/>
              </w:rPr>
            </w:pPr>
            <w:r>
              <w:rPr>
                <w:color w:val="000000"/>
                <w:kern w:val="44"/>
                <w:szCs w:val="21"/>
              </w:rPr>
              <w:t>0</w:t>
            </w:r>
          </w:p>
        </w:tc>
      </w:tr>
    </w:tbl>
    <w:p w14:paraId="0D15A281">
      <w:pPr>
        <w:keepNext/>
        <w:keepLines/>
        <w:spacing w:line="240" w:lineRule="atLeast"/>
        <w:rPr>
          <w:color w:val="000000"/>
          <w:sz w:val="21"/>
        </w:rPr>
        <w:sectPr>
          <w:pgSz w:w="16838" w:h="11905" w:orient="landscape"/>
          <w:pgMar w:top="1531" w:right="1440" w:bottom="1531" w:left="1440" w:header="850" w:footer="907" w:gutter="0"/>
          <w:cols w:space="720" w:num="1"/>
          <w:docGrid w:type="lines" w:linePitch="340" w:charSpace="0"/>
        </w:sectPr>
      </w:pPr>
      <w:bookmarkStart w:id="401" w:name="_Toc25642"/>
      <w:bookmarkStart w:id="402" w:name="_Toc16163"/>
      <w:r>
        <w:rPr>
          <w:color w:val="000000"/>
          <w:sz w:val="21"/>
        </w:rPr>
        <w:t>备注：</w:t>
      </w:r>
      <w:r>
        <w:rPr>
          <w:rFonts w:hint="eastAsia"/>
          <w:color w:val="000000"/>
          <w:sz w:val="21"/>
        </w:rPr>
        <w:t>*</w:t>
      </w:r>
      <w:r>
        <w:rPr>
          <w:color w:val="000000"/>
          <w:sz w:val="21"/>
        </w:rPr>
        <w:t>LNG工厂火炬装置废气包括现有工程胺闪蒸罐废气G1、LNG储罐闪蒸汽G4、各冷剂储罐闪蒸汽，其中本项目压缩脱碳干燥再生尾气G1、部分深冷分离尾气G2属于LNG储罐闪蒸汽G4。</w:t>
      </w:r>
      <w:bookmarkEnd w:id="401"/>
      <w:bookmarkEnd w:id="402"/>
    </w:p>
    <w:p w14:paraId="6D731BB6">
      <w:pPr>
        <w:pStyle w:val="8"/>
        <w:spacing w:before="166" w:after="166"/>
        <w:rPr>
          <w:bCs w:val="0"/>
          <w:color w:val="000000"/>
          <w:sz w:val="24"/>
          <w:szCs w:val="24"/>
        </w:rPr>
      </w:pPr>
      <w:bookmarkStart w:id="403" w:name="_Toc21098"/>
      <w:r>
        <w:rPr>
          <w:bCs w:val="0"/>
          <w:color w:val="000000"/>
          <w:sz w:val="24"/>
          <w:szCs w:val="24"/>
        </w:rPr>
        <w:t>3.2.6“三本账”</w:t>
      </w:r>
      <w:bookmarkEnd w:id="403"/>
    </w:p>
    <w:p w14:paraId="2178D0C9">
      <w:pPr>
        <w:ind w:firstLine="480"/>
        <w:rPr>
          <w:color w:val="000000"/>
          <w:szCs w:val="24"/>
        </w:rPr>
      </w:pPr>
      <w:r>
        <w:rPr>
          <w:color w:val="000000"/>
          <w:szCs w:val="24"/>
        </w:rPr>
        <w:t>根据前述分析计算，本项目改扩建前、后污染物排放三本帐汇总见表3.2.6-1所示。</w:t>
      </w:r>
    </w:p>
    <w:p w14:paraId="50568B6A">
      <w:pPr>
        <w:pStyle w:val="149"/>
        <w:tabs>
          <w:tab w:val="right" w:leader="dot" w:pos="8302"/>
        </w:tabs>
        <w:spacing w:line="360" w:lineRule="auto"/>
        <w:rPr>
          <w:rFonts w:ascii="Times New Roman" w:eastAsia="宋体"/>
          <w:color w:val="000000"/>
          <w:sz w:val="24"/>
          <w:szCs w:val="24"/>
        </w:rPr>
      </w:pPr>
      <w:r>
        <w:rPr>
          <w:rFonts w:ascii="Times New Roman" w:eastAsia="宋体"/>
          <w:color w:val="000000"/>
          <w:sz w:val="24"/>
          <w:szCs w:val="24"/>
        </w:rPr>
        <w:t>表3.2.6-1 拟建项目实施前后“三本帐”核算表（t/a）</w:t>
      </w:r>
    </w:p>
    <w:tbl>
      <w:tblPr>
        <w:tblStyle w:val="73"/>
        <w:tblW w:w="4996" w:type="pct"/>
        <w:tblInd w:w="0"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108" w:type="dxa"/>
          <w:bottom w:w="0" w:type="dxa"/>
          <w:right w:w="108" w:type="dxa"/>
        </w:tblCellMar>
      </w:tblPr>
      <w:tblGrid>
        <w:gridCol w:w="755"/>
        <w:gridCol w:w="851"/>
        <w:gridCol w:w="1063"/>
        <w:gridCol w:w="1181"/>
        <w:gridCol w:w="1253"/>
        <w:gridCol w:w="1254"/>
        <w:gridCol w:w="1287"/>
        <w:gridCol w:w="1408"/>
      </w:tblGrid>
      <w:tr w14:paraId="7DA8DFC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609" w:hRule="atLeast"/>
        </w:trPr>
        <w:tc>
          <w:tcPr>
            <w:tcW w:w="417" w:type="pct"/>
            <w:tcBorders>
              <w:tl2br w:val="nil"/>
              <w:tr2bl w:val="nil"/>
            </w:tcBorders>
            <w:vAlign w:val="center"/>
          </w:tcPr>
          <w:p w14:paraId="40279B28">
            <w:pPr>
              <w:pStyle w:val="2191"/>
              <w:rPr>
                <w:b/>
                <w:bCs/>
                <w:color w:val="000000"/>
                <w:szCs w:val="21"/>
              </w:rPr>
            </w:pPr>
            <w:r>
              <w:rPr>
                <w:b/>
                <w:bCs/>
                <w:color w:val="000000"/>
                <w:szCs w:val="21"/>
              </w:rPr>
              <w:t>分类</w:t>
            </w:r>
          </w:p>
        </w:tc>
        <w:tc>
          <w:tcPr>
            <w:tcW w:w="470" w:type="pct"/>
            <w:tcBorders>
              <w:tl2br w:val="nil"/>
              <w:tr2bl w:val="nil"/>
            </w:tcBorders>
            <w:vAlign w:val="center"/>
          </w:tcPr>
          <w:p w14:paraId="113B20A1">
            <w:pPr>
              <w:pStyle w:val="2191"/>
              <w:rPr>
                <w:b/>
                <w:bCs/>
                <w:color w:val="000000"/>
                <w:szCs w:val="21"/>
              </w:rPr>
            </w:pPr>
            <w:r>
              <w:rPr>
                <w:b/>
                <w:bCs/>
                <w:color w:val="000000"/>
                <w:szCs w:val="21"/>
              </w:rPr>
              <w:t>污染源</w:t>
            </w:r>
          </w:p>
        </w:tc>
        <w:tc>
          <w:tcPr>
            <w:tcW w:w="587" w:type="pct"/>
            <w:tcBorders>
              <w:tl2br w:val="nil"/>
              <w:tr2bl w:val="nil"/>
            </w:tcBorders>
            <w:vAlign w:val="center"/>
          </w:tcPr>
          <w:p w14:paraId="20127D46">
            <w:pPr>
              <w:pStyle w:val="2191"/>
              <w:rPr>
                <w:b/>
                <w:bCs/>
                <w:color w:val="000000"/>
                <w:szCs w:val="21"/>
              </w:rPr>
            </w:pPr>
            <w:r>
              <w:rPr>
                <w:b/>
                <w:bCs/>
                <w:color w:val="000000"/>
                <w:szCs w:val="21"/>
              </w:rPr>
              <w:t>污染物</w:t>
            </w:r>
          </w:p>
        </w:tc>
        <w:tc>
          <w:tcPr>
            <w:tcW w:w="652" w:type="pct"/>
            <w:tcBorders>
              <w:tl2br w:val="nil"/>
              <w:tr2bl w:val="nil"/>
            </w:tcBorders>
          </w:tcPr>
          <w:p w14:paraId="69E21C92">
            <w:pPr>
              <w:pStyle w:val="2191"/>
              <w:rPr>
                <w:b/>
                <w:bCs/>
                <w:color w:val="000000"/>
                <w:szCs w:val="21"/>
              </w:rPr>
            </w:pPr>
            <w:r>
              <w:rPr>
                <w:b/>
                <w:bCs/>
                <w:color w:val="000000"/>
                <w:szCs w:val="21"/>
              </w:rPr>
              <w:t>现有工程排放量</w:t>
            </w:r>
          </w:p>
        </w:tc>
        <w:tc>
          <w:tcPr>
            <w:tcW w:w="692" w:type="pct"/>
            <w:tcBorders>
              <w:tl2br w:val="nil"/>
              <w:tr2bl w:val="nil"/>
            </w:tcBorders>
          </w:tcPr>
          <w:p w14:paraId="74CEFBFA">
            <w:pPr>
              <w:pStyle w:val="2191"/>
              <w:rPr>
                <w:b/>
                <w:bCs/>
                <w:color w:val="000000"/>
                <w:szCs w:val="21"/>
              </w:rPr>
            </w:pPr>
            <w:r>
              <w:rPr>
                <w:b/>
                <w:bCs/>
                <w:color w:val="000000"/>
                <w:szCs w:val="21"/>
              </w:rPr>
              <w:t>拟建项目排放量</w:t>
            </w:r>
          </w:p>
        </w:tc>
        <w:tc>
          <w:tcPr>
            <w:tcW w:w="692" w:type="pct"/>
            <w:tcBorders>
              <w:tl2br w:val="nil"/>
              <w:tr2bl w:val="nil"/>
            </w:tcBorders>
          </w:tcPr>
          <w:p w14:paraId="00475153">
            <w:pPr>
              <w:pStyle w:val="2191"/>
              <w:rPr>
                <w:b/>
                <w:bCs/>
                <w:color w:val="000000"/>
                <w:szCs w:val="21"/>
              </w:rPr>
            </w:pPr>
            <w:r>
              <w:rPr>
                <w:b/>
                <w:bCs/>
                <w:color w:val="000000"/>
                <w:szCs w:val="21"/>
              </w:rPr>
              <w:t>以新带老</w:t>
            </w:r>
          </w:p>
          <w:p w14:paraId="4EBF0907">
            <w:pPr>
              <w:pStyle w:val="2191"/>
              <w:rPr>
                <w:b/>
                <w:bCs/>
                <w:color w:val="000000"/>
                <w:szCs w:val="21"/>
              </w:rPr>
            </w:pPr>
            <w:r>
              <w:rPr>
                <w:b/>
                <w:bCs/>
                <w:color w:val="000000"/>
                <w:szCs w:val="21"/>
              </w:rPr>
              <w:t>削减量</w:t>
            </w:r>
          </w:p>
        </w:tc>
        <w:tc>
          <w:tcPr>
            <w:tcW w:w="710" w:type="pct"/>
            <w:tcBorders>
              <w:tl2br w:val="nil"/>
              <w:tr2bl w:val="nil"/>
            </w:tcBorders>
          </w:tcPr>
          <w:p w14:paraId="737ABF1E">
            <w:pPr>
              <w:pStyle w:val="2191"/>
              <w:rPr>
                <w:b/>
                <w:bCs/>
                <w:color w:val="000000"/>
                <w:szCs w:val="21"/>
              </w:rPr>
            </w:pPr>
            <w:r>
              <w:rPr>
                <w:b/>
                <w:bCs/>
                <w:color w:val="000000"/>
                <w:szCs w:val="21"/>
              </w:rPr>
              <w:t>扩建后</w:t>
            </w:r>
          </w:p>
          <w:p w14:paraId="1639B7C8">
            <w:pPr>
              <w:pStyle w:val="2191"/>
              <w:rPr>
                <w:b/>
                <w:bCs/>
                <w:color w:val="000000"/>
                <w:szCs w:val="21"/>
              </w:rPr>
            </w:pPr>
            <w:r>
              <w:rPr>
                <w:b/>
                <w:bCs/>
                <w:color w:val="000000"/>
                <w:szCs w:val="21"/>
              </w:rPr>
              <w:t>总排放量</w:t>
            </w:r>
          </w:p>
        </w:tc>
        <w:tc>
          <w:tcPr>
            <w:tcW w:w="777" w:type="pct"/>
            <w:tcBorders>
              <w:tl2br w:val="nil"/>
              <w:tr2bl w:val="nil"/>
            </w:tcBorders>
          </w:tcPr>
          <w:p w14:paraId="5465313C">
            <w:pPr>
              <w:pStyle w:val="2191"/>
              <w:rPr>
                <w:b/>
                <w:bCs/>
                <w:color w:val="000000"/>
                <w:szCs w:val="21"/>
              </w:rPr>
            </w:pPr>
            <w:r>
              <w:rPr>
                <w:b/>
                <w:bCs/>
                <w:color w:val="000000"/>
                <w:szCs w:val="21"/>
              </w:rPr>
              <w:t>污染物排放量增减变化情况</w:t>
            </w:r>
          </w:p>
        </w:tc>
      </w:tr>
      <w:tr w14:paraId="042FC43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03" w:hRule="atLeast"/>
        </w:trPr>
        <w:tc>
          <w:tcPr>
            <w:tcW w:w="417" w:type="pct"/>
            <w:vMerge w:val="restart"/>
            <w:tcBorders>
              <w:tl2br w:val="nil"/>
              <w:tr2bl w:val="nil"/>
            </w:tcBorders>
            <w:vAlign w:val="center"/>
          </w:tcPr>
          <w:p w14:paraId="5160EBE3">
            <w:pPr>
              <w:pStyle w:val="2191"/>
              <w:rPr>
                <w:color w:val="000000"/>
                <w:szCs w:val="21"/>
              </w:rPr>
            </w:pPr>
            <w:r>
              <w:rPr>
                <w:color w:val="000000"/>
                <w:szCs w:val="21"/>
              </w:rPr>
              <w:t>废气</w:t>
            </w:r>
          </w:p>
        </w:tc>
        <w:tc>
          <w:tcPr>
            <w:tcW w:w="470" w:type="pct"/>
            <w:vMerge w:val="restart"/>
            <w:tcBorders>
              <w:tl2br w:val="nil"/>
              <w:tr2bl w:val="nil"/>
            </w:tcBorders>
            <w:vAlign w:val="center"/>
          </w:tcPr>
          <w:p w14:paraId="6DB62343">
            <w:pPr>
              <w:pStyle w:val="2191"/>
              <w:rPr>
                <w:color w:val="000000"/>
                <w:szCs w:val="21"/>
              </w:rPr>
            </w:pPr>
            <w:r>
              <w:rPr>
                <w:color w:val="000000"/>
                <w:szCs w:val="21"/>
              </w:rPr>
              <w:t>火炬废气</w:t>
            </w:r>
          </w:p>
        </w:tc>
        <w:tc>
          <w:tcPr>
            <w:tcW w:w="587" w:type="pct"/>
            <w:tcBorders>
              <w:tl2br w:val="nil"/>
              <w:tr2bl w:val="nil"/>
            </w:tcBorders>
            <w:vAlign w:val="center"/>
          </w:tcPr>
          <w:p w14:paraId="23059282">
            <w:pPr>
              <w:pStyle w:val="2191"/>
              <w:rPr>
                <w:color w:val="000000"/>
                <w:szCs w:val="21"/>
              </w:rPr>
            </w:pPr>
            <w:r>
              <w:rPr>
                <w:color w:val="000000"/>
                <w:szCs w:val="21"/>
              </w:rPr>
              <w:t>颗粒物</w:t>
            </w:r>
          </w:p>
        </w:tc>
        <w:tc>
          <w:tcPr>
            <w:tcW w:w="652" w:type="pct"/>
            <w:tcBorders>
              <w:tl2br w:val="nil"/>
              <w:tr2bl w:val="nil"/>
            </w:tcBorders>
            <w:vAlign w:val="center"/>
          </w:tcPr>
          <w:p w14:paraId="445D2340">
            <w:pPr>
              <w:spacing w:line="240" w:lineRule="auto"/>
              <w:jc w:val="center"/>
              <w:rPr>
                <w:color w:val="000000"/>
                <w:sz w:val="21"/>
              </w:rPr>
            </w:pPr>
            <w:r>
              <w:rPr>
                <w:color w:val="000000"/>
                <w:sz w:val="21"/>
              </w:rPr>
              <w:t>0.06</w:t>
            </w:r>
          </w:p>
        </w:tc>
        <w:tc>
          <w:tcPr>
            <w:tcW w:w="692" w:type="pct"/>
            <w:tcBorders>
              <w:tl2br w:val="nil"/>
              <w:tr2bl w:val="nil"/>
            </w:tcBorders>
            <w:vAlign w:val="center"/>
          </w:tcPr>
          <w:p w14:paraId="17E2FA9B">
            <w:pPr>
              <w:spacing w:line="240" w:lineRule="auto"/>
              <w:jc w:val="center"/>
              <w:rPr>
                <w:color w:val="000000"/>
                <w:sz w:val="21"/>
              </w:rPr>
            </w:pPr>
            <w:r>
              <w:rPr>
                <w:color w:val="000000"/>
                <w:sz w:val="21"/>
              </w:rPr>
              <w:t>0</w:t>
            </w:r>
          </w:p>
        </w:tc>
        <w:tc>
          <w:tcPr>
            <w:tcW w:w="692" w:type="pct"/>
            <w:tcBorders>
              <w:tl2br w:val="nil"/>
              <w:tr2bl w:val="nil"/>
            </w:tcBorders>
            <w:vAlign w:val="center"/>
          </w:tcPr>
          <w:p w14:paraId="042A1104">
            <w:pPr>
              <w:spacing w:line="240" w:lineRule="auto"/>
              <w:jc w:val="center"/>
              <w:rPr>
                <w:color w:val="000000"/>
                <w:sz w:val="21"/>
              </w:rPr>
            </w:pPr>
            <w:r>
              <w:rPr>
                <w:color w:val="000000"/>
                <w:sz w:val="21"/>
              </w:rPr>
              <w:t>0</w:t>
            </w:r>
          </w:p>
        </w:tc>
        <w:tc>
          <w:tcPr>
            <w:tcW w:w="1287" w:type="dxa"/>
            <w:tcBorders>
              <w:tl2br w:val="nil"/>
              <w:tr2bl w:val="nil"/>
            </w:tcBorders>
            <w:vAlign w:val="center"/>
          </w:tcPr>
          <w:p w14:paraId="3D15FE4D">
            <w:pPr>
              <w:spacing w:line="240" w:lineRule="auto"/>
              <w:jc w:val="center"/>
              <w:rPr>
                <w:color w:val="000000"/>
                <w:sz w:val="21"/>
              </w:rPr>
            </w:pPr>
            <w:r>
              <w:rPr>
                <w:rFonts w:hint="eastAsia"/>
                <w:color w:val="000000"/>
                <w:sz w:val="21"/>
              </w:rPr>
              <w:t>0.06</w:t>
            </w:r>
          </w:p>
        </w:tc>
        <w:tc>
          <w:tcPr>
            <w:tcW w:w="777" w:type="pct"/>
            <w:tcBorders>
              <w:tl2br w:val="nil"/>
              <w:tr2bl w:val="nil"/>
            </w:tcBorders>
            <w:vAlign w:val="center"/>
          </w:tcPr>
          <w:p w14:paraId="2BA5DE4E">
            <w:pPr>
              <w:spacing w:line="240" w:lineRule="auto"/>
              <w:jc w:val="center"/>
              <w:rPr>
                <w:color w:val="000000"/>
                <w:sz w:val="21"/>
              </w:rPr>
            </w:pPr>
            <w:r>
              <w:rPr>
                <w:color w:val="000000"/>
                <w:sz w:val="21"/>
              </w:rPr>
              <w:t>0</w:t>
            </w:r>
          </w:p>
        </w:tc>
      </w:tr>
      <w:tr w14:paraId="6C9B9177">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93" w:hRule="atLeast"/>
        </w:trPr>
        <w:tc>
          <w:tcPr>
            <w:tcW w:w="417" w:type="pct"/>
            <w:vMerge w:val="continue"/>
            <w:tcBorders>
              <w:tl2br w:val="nil"/>
              <w:tr2bl w:val="nil"/>
            </w:tcBorders>
            <w:vAlign w:val="center"/>
          </w:tcPr>
          <w:p w14:paraId="59304025">
            <w:pPr>
              <w:pStyle w:val="2191"/>
              <w:rPr>
                <w:color w:val="000000"/>
                <w:szCs w:val="21"/>
              </w:rPr>
            </w:pPr>
          </w:p>
        </w:tc>
        <w:tc>
          <w:tcPr>
            <w:tcW w:w="470" w:type="pct"/>
            <w:vMerge w:val="continue"/>
            <w:tcBorders>
              <w:tl2br w:val="nil"/>
              <w:tr2bl w:val="nil"/>
            </w:tcBorders>
            <w:vAlign w:val="center"/>
          </w:tcPr>
          <w:p w14:paraId="3924E0D6">
            <w:pPr>
              <w:pStyle w:val="2191"/>
              <w:rPr>
                <w:color w:val="000000"/>
                <w:szCs w:val="21"/>
              </w:rPr>
            </w:pPr>
          </w:p>
        </w:tc>
        <w:tc>
          <w:tcPr>
            <w:tcW w:w="587" w:type="pct"/>
            <w:tcBorders>
              <w:tl2br w:val="nil"/>
              <w:tr2bl w:val="nil"/>
            </w:tcBorders>
            <w:vAlign w:val="center"/>
          </w:tcPr>
          <w:p w14:paraId="13BD0618">
            <w:pPr>
              <w:pStyle w:val="2191"/>
              <w:rPr>
                <w:color w:val="000000"/>
                <w:szCs w:val="21"/>
              </w:rPr>
            </w:pPr>
            <w:r>
              <w:rPr>
                <w:color w:val="000000"/>
                <w:szCs w:val="21"/>
              </w:rPr>
              <w:t>SO</w:t>
            </w:r>
            <w:r>
              <w:rPr>
                <w:color w:val="000000"/>
                <w:szCs w:val="21"/>
                <w:vertAlign w:val="subscript"/>
              </w:rPr>
              <w:t>2</w:t>
            </w:r>
          </w:p>
        </w:tc>
        <w:tc>
          <w:tcPr>
            <w:tcW w:w="652" w:type="pct"/>
            <w:tcBorders>
              <w:tl2br w:val="nil"/>
              <w:tr2bl w:val="nil"/>
            </w:tcBorders>
            <w:vAlign w:val="center"/>
          </w:tcPr>
          <w:p w14:paraId="5318AFAB">
            <w:pPr>
              <w:spacing w:line="240" w:lineRule="auto"/>
              <w:jc w:val="center"/>
              <w:rPr>
                <w:color w:val="000000"/>
                <w:sz w:val="21"/>
              </w:rPr>
            </w:pPr>
            <w:r>
              <w:rPr>
                <w:color w:val="000000"/>
                <w:sz w:val="21"/>
              </w:rPr>
              <w:t>0.03</w:t>
            </w:r>
          </w:p>
        </w:tc>
        <w:tc>
          <w:tcPr>
            <w:tcW w:w="692" w:type="pct"/>
            <w:tcBorders>
              <w:tl2br w:val="nil"/>
              <w:tr2bl w:val="nil"/>
            </w:tcBorders>
            <w:vAlign w:val="center"/>
          </w:tcPr>
          <w:p w14:paraId="76E7C065">
            <w:pPr>
              <w:spacing w:line="240" w:lineRule="auto"/>
              <w:jc w:val="center"/>
              <w:rPr>
                <w:color w:val="000000"/>
                <w:sz w:val="21"/>
              </w:rPr>
            </w:pPr>
            <w:r>
              <w:rPr>
                <w:color w:val="000000"/>
                <w:sz w:val="21"/>
              </w:rPr>
              <w:t>0</w:t>
            </w:r>
          </w:p>
        </w:tc>
        <w:tc>
          <w:tcPr>
            <w:tcW w:w="692" w:type="pct"/>
            <w:tcBorders>
              <w:tl2br w:val="nil"/>
              <w:tr2bl w:val="nil"/>
            </w:tcBorders>
            <w:vAlign w:val="center"/>
          </w:tcPr>
          <w:p w14:paraId="56EDF15C">
            <w:pPr>
              <w:spacing w:line="240" w:lineRule="auto"/>
              <w:jc w:val="center"/>
              <w:rPr>
                <w:color w:val="000000"/>
                <w:sz w:val="21"/>
              </w:rPr>
            </w:pPr>
            <w:r>
              <w:rPr>
                <w:color w:val="000000"/>
                <w:sz w:val="21"/>
              </w:rPr>
              <w:t>0</w:t>
            </w:r>
          </w:p>
        </w:tc>
        <w:tc>
          <w:tcPr>
            <w:tcW w:w="1287" w:type="dxa"/>
            <w:tcBorders>
              <w:tl2br w:val="nil"/>
              <w:tr2bl w:val="nil"/>
            </w:tcBorders>
            <w:vAlign w:val="center"/>
          </w:tcPr>
          <w:p w14:paraId="1A5BD36B">
            <w:pPr>
              <w:spacing w:line="240" w:lineRule="auto"/>
              <w:jc w:val="center"/>
              <w:rPr>
                <w:color w:val="000000"/>
                <w:sz w:val="21"/>
              </w:rPr>
            </w:pPr>
            <w:r>
              <w:rPr>
                <w:rFonts w:hint="eastAsia"/>
                <w:color w:val="000000"/>
                <w:sz w:val="21"/>
              </w:rPr>
              <w:t>0.03</w:t>
            </w:r>
          </w:p>
        </w:tc>
        <w:tc>
          <w:tcPr>
            <w:tcW w:w="777" w:type="pct"/>
            <w:tcBorders>
              <w:tl2br w:val="nil"/>
              <w:tr2bl w:val="nil"/>
            </w:tcBorders>
            <w:vAlign w:val="center"/>
          </w:tcPr>
          <w:p w14:paraId="53342544">
            <w:pPr>
              <w:spacing w:line="240" w:lineRule="auto"/>
              <w:jc w:val="center"/>
              <w:rPr>
                <w:color w:val="000000"/>
                <w:sz w:val="21"/>
              </w:rPr>
            </w:pPr>
            <w:r>
              <w:rPr>
                <w:color w:val="000000"/>
                <w:sz w:val="21"/>
              </w:rPr>
              <w:t>0</w:t>
            </w:r>
          </w:p>
        </w:tc>
      </w:tr>
      <w:tr w14:paraId="22CF659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93" w:hRule="atLeast"/>
        </w:trPr>
        <w:tc>
          <w:tcPr>
            <w:tcW w:w="417" w:type="pct"/>
            <w:vMerge w:val="continue"/>
            <w:tcBorders>
              <w:tl2br w:val="nil"/>
              <w:tr2bl w:val="nil"/>
            </w:tcBorders>
            <w:vAlign w:val="center"/>
          </w:tcPr>
          <w:p w14:paraId="6C37EC05">
            <w:pPr>
              <w:pStyle w:val="2191"/>
              <w:rPr>
                <w:color w:val="000000"/>
                <w:szCs w:val="21"/>
              </w:rPr>
            </w:pPr>
          </w:p>
        </w:tc>
        <w:tc>
          <w:tcPr>
            <w:tcW w:w="470" w:type="pct"/>
            <w:vMerge w:val="continue"/>
            <w:tcBorders>
              <w:tl2br w:val="nil"/>
              <w:tr2bl w:val="nil"/>
            </w:tcBorders>
            <w:vAlign w:val="center"/>
          </w:tcPr>
          <w:p w14:paraId="03AA3E9C">
            <w:pPr>
              <w:pStyle w:val="2191"/>
              <w:rPr>
                <w:color w:val="000000"/>
                <w:szCs w:val="21"/>
              </w:rPr>
            </w:pPr>
          </w:p>
        </w:tc>
        <w:tc>
          <w:tcPr>
            <w:tcW w:w="587" w:type="pct"/>
            <w:tcBorders>
              <w:tl2br w:val="nil"/>
              <w:tr2bl w:val="nil"/>
            </w:tcBorders>
            <w:vAlign w:val="center"/>
          </w:tcPr>
          <w:p w14:paraId="3C817A51">
            <w:pPr>
              <w:pStyle w:val="2191"/>
              <w:rPr>
                <w:color w:val="000000"/>
                <w:szCs w:val="21"/>
              </w:rPr>
            </w:pPr>
            <w:r>
              <w:rPr>
                <w:color w:val="000000"/>
                <w:szCs w:val="21"/>
              </w:rPr>
              <w:t>NO</w:t>
            </w:r>
            <w:r>
              <w:rPr>
                <w:rFonts w:hint="eastAsia"/>
                <w:color w:val="000000"/>
                <w:szCs w:val="21"/>
                <w:vertAlign w:val="subscript"/>
              </w:rPr>
              <w:t>x</w:t>
            </w:r>
          </w:p>
        </w:tc>
        <w:tc>
          <w:tcPr>
            <w:tcW w:w="652" w:type="pct"/>
            <w:tcBorders>
              <w:tl2br w:val="nil"/>
              <w:tr2bl w:val="nil"/>
            </w:tcBorders>
            <w:vAlign w:val="center"/>
          </w:tcPr>
          <w:p w14:paraId="7EE7DB2E">
            <w:pPr>
              <w:spacing w:line="240" w:lineRule="auto"/>
              <w:jc w:val="center"/>
              <w:rPr>
                <w:color w:val="000000"/>
                <w:sz w:val="21"/>
              </w:rPr>
            </w:pPr>
            <w:r>
              <w:rPr>
                <w:color w:val="000000"/>
                <w:sz w:val="21"/>
              </w:rPr>
              <w:t>0.18</w:t>
            </w:r>
          </w:p>
        </w:tc>
        <w:tc>
          <w:tcPr>
            <w:tcW w:w="692" w:type="pct"/>
            <w:tcBorders>
              <w:tl2br w:val="nil"/>
              <w:tr2bl w:val="nil"/>
            </w:tcBorders>
            <w:vAlign w:val="center"/>
          </w:tcPr>
          <w:p w14:paraId="45F488DE">
            <w:pPr>
              <w:spacing w:line="240" w:lineRule="auto"/>
              <w:jc w:val="center"/>
              <w:rPr>
                <w:color w:val="000000"/>
                <w:sz w:val="21"/>
              </w:rPr>
            </w:pPr>
            <w:r>
              <w:rPr>
                <w:color w:val="000000"/>
                <w:sz w:val="21"/>
              </w:rPr>
              <w:t>0</w:t>
            </w:r>
          </w:p>
        </w:tc>
        <w:tc>
          <w:tcPr>
            <w:tcW w:w="692" w:type="pct"/>
            <w:tcBorders>
              <w:tl2br w:val="nil"/>
              <w:tr2bl w:val="nil"/>
            </w:tcBorders>
            <w:vAlign w:val="center"/>
          </w:tcPr>
          <w:p w14:paraId="67EC9DD8">
            <w:pPr>
              <w:spacing w:line="240" w:lineRule="auto"/>
              <w:jc w:val="center"/>
              <w:rPr>
                <w:color w:val="000000"/>
                <w:sz w:val="21"/>
              </w:rPr>
            </w:pPr>
            <w:r>
              <w:rPr>
                <w:color w:val="000000"/>
                <w:sz w:val="21"/>
              </w:rPr>
              <w:t>0</w:t>
            </w:r>
          </w:p>
        </w:tc>
        <w:tc>
          <w:tcPr>
            <w:tcW w:w="1287" w:type="dxa"/>
            <w:tcBorders>
              <w:tl2br w:val="nil"/>
              <w:tr2bl w:val="nil"/>
            </w:tcBorders>
            <w:vAlign w:val="center"/>
          </w:tcPr>
          <w:p w14:paraId="50B4E604">
            <w:pPr>
              <w:spacing w:line="240" w:lineRule="auto"/>
              <w:jc w:val="center"/>
              <w:rPr>
                <w:color w:val="000000"/>
                <w:sz w:val="21"/>
              </w:rPr>
            </w:pPr>
            <w:r>
              <w:rPr>
                <w:rFonts w:hint="eastAsia"/>
                <w:color w:val="000000"/>
                <w:sz w:val="21"/>
              </w:rPr>
              <w:t>0.18</w:t>
            </w:r>
          </w:p>
        </w:tc>
        <w:tc>
          <w:tcPr>
            <w:tcW w:w="777" w:type="pct"/>
            <w:tcBorders>
              <w:tl2br w:val="nil"/>
              <w:tr2bl w:val="nil"/>
            </w:tcBorders>
            <w:vAlign w:val="center"/>
          </w:tcPr>
          <w:p w14:paraId="7AFA49FB">
            <w:pPr>
              <w:spacing w:line="240" w:lineRule="auto"/>
              <w:jc w:val="center"/>
              <w:rPr>
                <w:color w:val="000000"/>
                <w:sz w:val="21"/>
              </w:rPr>
            </w:pPr>
            <w:r>
              <w:rPr>
                <w:color w:val="000000"/>
                <w:sz w:val="21"/>
              </w:rPr>
              <w:t>0</w:t>
            </w:r>
          </w:p>
        </w:tc>
      </w:tr>
      <w:tr w14:paraId="48667FF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93" w:hRule="atLeast"/>
        </w:trPr>
        <w:tc>
          <w:tcPr>
            <w:tcW w:w="417" w:type="pct"/>
            <w:vMerge w:val="continue"/>
            <w:tcBorders>
              <w:tl2br w:val="nil"/>
              <w:tr2bl w:val="nil"/>
            </w:tcBorders>
            <w:vAlign w:val="center"/>
          </w:tcPr>
          <w:p w14:paraId="5F83DFFC">
            <w:pPr>
              <w:pStyle w:val="2191"/>
              <w:rPr>
                <w:color w:val="000000"/>
                <w:szCs w:val="21"/>
              </w:rPr>
            </w:pPr>
          </w:p>
        </w:tc>
        <w:tc>
          <w:tcPr>
            <w:tcW w:w="470" w:type="pct"/>
            <w:vMerge w:val="restart"/>
            <w:tcBorders>
              <w:tl2br w:val="nil"/>
              <w:tr2bl w:val="nil"/>
            </w:tcBorders>
            <w:vAlign w:val="center"/>
          </w:tcPr>
          <w:p w14:paraId="0E60E145">
            <w:pPr>
              <w:pStyle w:val="2191"/>
              <w:rPr>
                <w:color w:val="000000"/>
                <w:szCs w:val="21"/>
              </w:rPr>
            </w:pPr>
            <w:r>
              <w:rPr>
                <w:bCs/>
                <w:color w:val="000000"/>
              </w:rPr>
              <w:t>导热油炉</w:t>
            </w:r>
          </w:p>
        </w:tc>
        <w:tc>
          <w:tcPr>
            <w:tcW w:w="587" w:type="pct"/>
            <w:tcBorders>
              <w:tl2br w:val="nil"/>
              <w:tr2bl w:val="nil"/>
            </w:tcBorders>
            <w:vAlign w:val="center"/>
          </w:tcPr>
          <w:p w14:paraId="5F2CDEC6">
            <w:pPr>
              <w:pStyle w:val="2191"/>
              <w:rPr>
                <w:color w:val="000000"/>
                <w:szCs w:val="21"/>
              </w:rPr>
            </w:pPr>
            <w:r>
              <w:rPr>
                <w:color w:val="000000"/>
                <w:szCs w:val="21"/>
              </w:rPr>
              <w:t>颗粒物</w:t>
            </w:r>
          </w:p>
        </w:tc>
        <w:tc>
          <w:tcPr>
            <w:tcW w:w="652" w:type="pct"/>
            <w:tcBorders>
              <w:tl2br w:val="nil"/>
              <w:tr2bl w:val="nil"/>
            </w:tcBorders>
            <w:vAlign w:val="center"/>
          </w:tcPr>
          <w:p w14:paraId="2C2D92DD">
            <w:pPr>
              <w:spacing w:line="240" w:lineRule="auto"/>
              <w:jc w:val="center"/>
              <w:rPr>
                <w:color w:val="000000"/>
                <w:sz w:val="21"/>
              </w:rPr>
            </w:pPr>
            <w:r>
              <w:rPr>
                <w:color w:val="000000"/>
                <w:sz w:val="21"/>
              </w:rPr>
              <w:t>0.595</w:t>
            </w:r>
          </w:p>
        </w:tc>
        <w:tc>
          <w:tcPr>
            <w:tcW w:w="692" w:type="pct"/>
            <w:tcBorders>
              <w:tl2br w:val="nil"/>
              <w:tr2bl w:val="nil"/>
            </w:tcBorders>
            <w:vAlign w:val="center"/>
          </w:tcPr>
          <w:p w14:paraId="53298CF7">
            <w:pPr>
              <w:spacing w:line="240" w:lineRule="auto"/>
              <w:jc w:val="center"/>
              <w:rPr>
                <w:color w:val="000000"/>
                <w:sz w:val="21"/>
              </w:rPr>
            </w:pPr>
            <w:r>
              <w:rPr>
                <w:color w:val="000000"/>
                <w:sz w:val="21"/>
              </w:rPr>
              <w:t>0</w:t>
            </w:r>
          </w:p>
        </w:tc>
        <w:tc>
          <w:tcPr>
            <w:tcW w:w="692" w:type="pct"/>
            <w:tcBorders>
              <w:tl2br w:val="nil"/>
              <w:tr2bl w:val="nil"/>
            </w:tcBorders>
            <w:vAlign w:val="center"/>
          </w:tcPr>
          <w:p w14:paraId="27465EA6">
            <w:pPr>
              <w:spacing w:line="240" w:lineRule="auto"/>
              <w:jc w:val="center"/>
              <w:rPr>
                <w:color w:val="000000"/>
                <w:sz w:val="21"/>
              </w:rPr>
            </w:pPr>
            <w:r>
              <w:rPr>
                <w:color w:val="000000"/>
                <w:sz w:val="21"/>
              </w:rPr>
              <w:t>0</w:t>
            </w:r>
          </w:p>
        </w:tc>
        <w:tc>
          <w:tcPr>
            <w:tcW w:w="1287" w:type="dxa"/>
            <w:tcBorders>
              <w:tl2br w:val="nil"/>
              <w:tr2bl w:val="nil"/>
            </w:tcBorders>
            <w:vAlign w:val="center"/>
          </w:tcPr>
          <w:p w14:paraId="2B2F8B9A">
            <w:pPr>
              <w:spacing w:line="240" w:lineRule="auto"/>
              <w:jc w:val="center"/>
              <w:rPr>
                <w:color w:val="000000"/>
                <w:sz w:val="21"/>
              </w:rPr>
            </w:pPr>
            <w:r>
              <w:rPr>
                <w:rFonts w:hint="eastAsia"/>
                <w:color w:val="000000"/>
                <w:sz w:val="21"/>
              </w:rPr>
              <w:t>0.595</w:t>
            </w:r>
          </w:p>
        </w:tc>
        <w:tc>
          <w:tcPr>
            <w:tcW w:w="777" w:type="pct"/>
            <w:tcBorders>
              <w:tl2br w:val="nil"/>
              <w:tr2bl w:val="nil"/>
            </w:tcBorders>
            <w:vAlign w:val="center"/>
          </w:tcPr>
          <w:p w14:paraId="63E11AC6">
            <w:pPr>
              <w:spacing w:line="240" w:lineRule="auto"/>
              <w:jc w:val="center"/>
              <w:rPr>
                <w:color w:val="000000"/>
                <w:sz w:val="21"/>
              </w:rPr>
            </w:pPr>
            <w:r>
              <w:rPr>
                <w:color w:val="000000"/>
                <w:sz w:val="21"/>
              </w:rPr>
              <w:t>0</w:t>
            </w:r>
          </w:p>
        </w:tc>
      </w:tr>
      <w:tr w14:paraId="6501320F">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93" w:hRule="atLeast"/>
        </w:trPr>
        <w:tc>
          <w:tcPr>
            <w:tcW w:w="417" w:type="pct"/>
            <w:vMerge w:val="continue"/>
            <w:tcBorders>
              <w:tl2br w:val="nil"/>
              <w:tr2bl w:val="nil"/>
            </w:tcBorders>
            <w:vAlign w:val="center"/>
          </w:tcPr>
          <w:p w14:paraId="4EC138CA">
            <w:pPr>
              <w:pStyle w:val="2191"/>
              <w:rPr>
                <w:color w:val="000000"/>
                <w:szCs w:val="21"/>
              </w:rPr>
            </w:pPr>
          </w:p>
        </w:tc>
        <w:tc>
          <w:tcPr>
            <w:tcW w:w="470" w:type="pct"/>
            <w:vMerge w:val="continue"/>
            <w:tcBorders>
              <w:tl2br w:val="nil"/>
              <w:tr2bl w:val="nil"/>
            </w:tcBorders>
            <w:vAlign w:val="center"/>
          </w:tcPr>
          <w:p w14:paraId="36737BEB">
            <w:pPr>
              <w:pStyle w:val="2191"/>
              <w:rPr>
                <w:color w:val="000000"/>
                <w:szCs w:val="21"/>
              </w:rPr>
            </w:pPr>
          </w:p>
        </w:tc>
        <w:tc>
          <w:tcPr>
            <w:tcW w:w="587" w:type="pct"/>
            <w:tcBorders>
              <w:tl2br w:val="nil"/>
              <w:tr2bl w:val="nil"/>
            </w:tcBorders>
            <w:vAlign w:val="center"/>
          </w:tcPr>
          <w:p w14:paraId="23477C70">
            <w:pPr>
              <w:pStyle w:val="2191"/>
              <w:rPr>
                <w:color w:val="000000"/>
                <w:szCs w:val="21"/>
              </w:rPr>
            </w:pPr>
            <w:r>
              <w:rPr>
                <w:color w:val="000000"/>
                <w:szCs w:val="21"/>
              </w:rPr>
              <w:t>SO</w:t>
            </w:r>
            <w:r>
              <w:rPr>
                <w:color w:val="000000"/>
                <w:szCs w:val="21"/>
                <w:vertAlign w:val="subscript"/>
              </w:rPr>
              <w:t>2</w:t>
            </w:r>
          </w:p>
        </w:tc>
        <w:tc>
          <w:tcPr>
            <w:tcW w:w="652" w:type="pct"/>
            <w:tcBorders>
              <w:tl2br w:val="nil"/>
              <w:tr2bl w:val="nil"/>
            </w:tcBorders>
            <w:vAlign w:val="center"/>
          </w:tcPr>
          <w:p w14:paraId="290FE065">
            <w:pPr>
              <w:spacing w:line="240" w:lineRule="auto"/>
              <w:jc w:val="center"/>
              <w:rPr>
                <w:color w:val="000000"/>
                <w:sz w:val="21"/>
              </w:rPr>
            </w:pPr>
            <w:r>
              <w:rPr>
                <w:rFonts w:hint="eastAsia"/>
                <w:color w:val="000000"/>
                <w:sz w:val="21"/>
              </w:rPr>
              <w:t>0.422</w:t>
            </w:r>
          </w:p>
        </w:tc>
        <w:tc>
          <w:tcPr>
            <w:tcW w:w="692" w:type="pct"/>
            <w:tcBorders>
              <w:tl2br w:val="nil"/>
              <w:tr2bl w:val="nil"/>
            </w:tcBorders>
            <w:vAlign w:val="center"/>
          </w:tcPr>
          <w:p w14:paraId="78DD1082">
            <w:pPr>
              <w:spacing w:line="240" w:lineRule="auto"/>
              <w:jc w:val="center"/>
              <w:rPr>
                <w:color w:val="000000"/>
                <w:sz w:val="21"/>
              </w:rPr>
            </w:pPr>
            <w:r>
              <w:rPr>
                <w:color w:val="000000"/>
                <w:sz w:val="21"/>
              </w:rPr>
              <w:t>0</w:t>
            </w:r>
          </w:p>
        </w:tc>
        <w:tc>
          <w:tcPr>
            <w:tcW w:w="692" w:type="pct"/>
            <w:tcBorders>
              <w:tl2br w:val="nil"/>
              <w:tr2bl w:val="nil"/>
            </w:tcBorders>
            <w:vAlign w:val="center"/>
          </w:tcPr>
          <w:p w14:paraId="7E82974A">
            <w:pPr>
              <w:spacing w:line="240" w:lineRule="auto"/>
              <w:jc w:val="center"/>
              <w:rPr>
                <w:color w:val="000000"/>
                <w:sz w:val="21"/>
              </w:rPr>
            </w:pPr>
            <w:r>
              <w:rPr>
                <w:color w:val="000000"/>
                <w:sz w:val="21"/>
              </w:rPr>
              <w:t>0</w:t>
            </w:r>
          </w:p>
        </w:tc>
        <w:tc>
          <w:tcPr>
            <w:tcW w:w="1287" w:type="dxa"/>
            <w:tcBorders>
              <w:tl2br w:val="nil"/>
              <w:tr2bl w:val="nil"/>
            </w:tcBorders>
            <w:vAlign w:val="center"/>
          </w:tcPr>
          <w:p w14:paraId="6AFF7B68">
            <w:pPr>
              <w:spacing w:line="240" w:lineRule="auto"/>
              <w:jc w:val="center"/>
              <w:rPr>
                <w:color w:val="000000"/>
                <w:sz w:val="21"/>
              </w:rPr>
            </w:pPr>
            <w:r>
              <w:rPr>
                <w:rFonts w:hint="eastAsia"/>
                <w:color w:val="000000"/>
                <w:sz w:val="21"/>
              </w:rPr>
              <w:t>0.422</w:t>
            </w:r>
          </w:p>
        </w:tc>
        <w:tc>
          <w:tcPr>
            <w:tcW w:w="777" w:type="pct"/>
            <w:tcBorders>
              <w:tl2br w:val="nil"/>
              <w:tr2bl w:val="nil"/>
            </w:tcBorders>
            <w:vAlign w:val="center"/>
          </w:tcPr>
          <w:p w14:paraId="711C1149">
            <w:pPr>
              <w:spacing w:line="240" w:lineRule="auto"/>
              <w:jc w:val="center"/>
              <w:rPr>
                <w:color w:val="000000"/>
                <w:sz w:val="21"/>
              </w:rPr>
            </w:pPr>
            <w:r>
              <w:rPr>
                <w:color w:val="000000"/>
                <w:sz w:val="21"/>
              </w:rPr>
              <w:t>0</w:t>
            </w:r>
          </w:p>
        </w:tc>
      </w:tr>
      <w:tr w14:paraId="56AC76D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93" w:hRule="atLeast"/>
        </w:trPr>
        <w:tc>
          <w:tcPr>
            <w:tcW w:w="417" w:type="pct"/>
            <w:vMerge w:val="continue"/>
            <w:tcBorders>
              <w:tl2br w:val="nil"/>
              <w:tr2bl w:val="nil"/>
            </w:tcBorders>
            <w:vAlign w:val="center"/>
          </w:tcPr>
          <w:p w14:paraId="37843437">
            <w:pPr>
              <w:pStyle w:val="2191"/>
              <w:rPr>
                <w:color w:val="000000"/>
                <w:szCs w:val="21"/>
              </w:rPr>
            </w:pPr>
          </w:p>
        </w:tc>
        <w:tc>
          <w:tcPr>
            <w:tcW w:w="470" w:type="pct"/>
            <w:vMerge w:val="continue"/>
            <w:tcBorders>
              <w:tl2br w:val="nil"/>
              <w:tr2bl w:val="nil"/>
            </w:tcBorders>
            <w:vAlign w:val="center"/>
          </w:tcPr>
          <w:p w14:paraId="2DFA3872">
            <w:pPr>
              <w:pStyle w:val="2191"/>
              <w:rPr>
                <w:color w:val="000000"/>
                <w:szCs w:val="21"/>
              </w:rPr>
            </w:pPr>
          </w:p>
        </w:tc>
        <w:tc>
          <w:tcPr>
            <w:tcW w:w="587" w:type="pct"/>
            <w:tcBorders>
              <w:tl2br w:val="nil"/>
              <w:tr2bl w:val="nil"/>
            </w:tcBorders>
            <w:vAlign w:val="center"/>
          </w:tcPr>
          <w:p w14:paraId="4A872523">
            <w:pPr>
              <w:pStyle w:val="2191"/>
              <w:rPr>
                <w:color w:val="000000"/>
                <w:szCs w:val="21"/>
              </w:rPr>
            </w:pPr>
            <w:r>
              <w:rPr>
                <w:color w:val="000000"/>
                <w:szCs w:val="21"/>
              </w:rPr>
              <w:t>NO</w:t>
            </w:r>
            <w:r>
              <w:rPr>
                <w:rFonts w:hint="eastAsia"/>
                <w:color w:val="000000"/>
                <w:szCs w:val="21"/>
                <w:vertAlign w:val="subscript"/>
              </w:rPr>
              <w:t>x</w:t>
            </w:r>
          </w:p>
        </w:tc>
        <w:tc>
          <w:tcPr>
            <w:tcW w:w="652" w:type="pct"/>
            <w:tcBorders>
              <w:tl2br w:val="nil"/>
              <w:tr2bl w:val="nil"/>
            </w:tcBorders>
            <w:vAlign w:val="center"/>
          </w:tcPr>
          <w:p w14:paraId="50F55F97">
            <w:pPr>
              <w:spacing w:line="240" w:lineRule="auto"/>
              <w:jc w:val="center"/>
              <w:rPr>
                <w:color w:val="000000"/>
                <w:sz w:val="21"/>
              </w:rPr>
            </w:pPr>
            <w:r>
              <w:rPr>
                <w:rFonts w:hint="eastAsia"/>
                <w:color w:val="000000"/>
                <w:sz w:val="21"/>
              </w:rPr>
              <w:t>2.848</w:t>
            </w:r>
          </w:p>
        </w:tc>
        <w:tc>
          <w:tcPr>
            <w:tcW w:w="692" w:type="pct"/>
            <w:tcBorders>
              <w:tl2br w:val="nil"/>
              <w:tr2bl w:val="nil"/>
            </w:tcBorders>
            <w:vAlign w:val="center"/>
          </w:tcPr>
          <w:p w14:paraId="22EDEE43">
            <w:pPr>
              <w:spacing w:line="240" w:lineRule="auto"/>
              <w:jc w:val="center"/>
              <w:rPr>
                <w:color w:val="000000"/>
                <w:sz w:val="21"/>
              </w:rPr>
            </w:pPr>
            <w:r>
              <w:rPr>
                <w:color w:val="000000"/>
                <w:sz w:val="21"/>
              </w:rPr>
              <w:t>0</w:t>
            </w:r>
          </w:p>
        </w:tc>
        <w:tc>
          <w:tcPr>
            <w:tcW w:w="692" w:type="pct"/>
            <w:tcBorders>
              <w:tl2br w:val="nil"/>
              <w:tr2bl w:val="nil"/>
            </w:tcBorders>
            <w:vAlign w:val="center"/>
          </w:tcPr>
          <w:p w14:paraId="08B537AF">
            <w:pPr>
              <w:spacing w:line="240" w:lineRule="auto"/>
              <w:jc w:val="center"/>
              <w:rPr>
                <w:color w:val="000000"/>
                <w:sz w:val="21"/>
              </w:rPr>
            </w:pPr>
            <w:r>
              <w:rPr>
                <w:color w:val="000000"/>
                <w:sz w:val="21"/>
              </w:rPr>
              <w:t>0</w:t>
            </w:r>
          </w:p>
        </w:tc>
        <w:tc>
          <w:tcPr>
            <w:tcW w:w="1287" w:type="dxa"/>
            <w:tcBorders>
              <w:tl2br w:val="nil"/>
              <w:tr2bl w:val="nil"/>
            </w:tcBorders>
            <w:vAlign w:val="center"/>
          </w:tcPr>
          <w:p w14:paraId="486AAB24">
            <w:pPr>
              <w:spacing w:line="240" w:lineRule="auto"/>
              <w:jc w:val="center"/>
              <w:rPr>
                <w:color w:val="000000"/>
                <w:sz w:val="21"/>
              </w:rPr>
            </w:pPr>
            <w:r>
              <w:rPr>
                <w:rFonts w:hint="eastAsia"/>
                <w:color w:val="000000"/>
                <w:sz w:val="21"/>
              </w:rPr>
              <w:t>2.848</w:t>
            </w:r>
          </w:p>
        </w:tc>
        <w:tc>
          <w:tcPr>
            <w:tcW w:w="777" w:type="pct"/>
            <w:tcBorders>
              <w:tl2br w:val="nil"/>
              <w:tr2bl w:val="nil"/>
            </w:tcBorders>
            <w:vAlign w:val="center"/>
          </w:tcPr>
          <w:p w14:paraId="15C4D302">
            <w:pPr>
              <w:spacing w:line="240" w:lineRule="auto"/>
              <w:jc w:val="center"/>
              <w:rPr>
                <w:color w:val="000000"/>
                <w:sz w:val="21"/>
              </w:rPr>
            </w:pPr>
            <w:r>
              <w:rPr>
                <w:color w:val="000000"/>
                <w:sz w:val="21"/>
              </w:rPr>
              <w:t>0</w:t>
            </w:r>
          </w:p>
        </w:tc>
      </w:tr>
      <w:tr w14:paraId="1C22F7B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417" w:type="pct"/>
            <w:vMerge w:val="restart"/>
            <w:tcBorders>
              <w:tl2br w:val="nil"/>
              <w:tr2bl w:val="nil"/>
            </w:tcBorders>
            <w:vAlign w:val="center"/>
          </w:tcPr>
          <w:p w14:paraId="083F7BF9">
            <w:pPr>
              <w:pStyle w:val="2191"/>
              <w:rPr>
                <w:color w:val="000000"/>
                <w:szCs w:val="21"/>
              </w:rPr>
            </w:pPr>
            <w:r>
              <w:rPr>
                <w:color w:val="000000"/>
                <w:szCs w:val="21"/>
              </w:rPr>
              <w:t>废水</w:t>
            </w:r>
          </w:p>
        </w:tc>
        <w:tc>
          <w:tcPr>
            <w:tcW w:w="470" w:type="pct"/>
            <w:vMerge w:val="restart"/>
            <w:tcBorders>
              <w:tl2br w:val="nil"/>
              <w:tr2bl w:val="nil"/>
            </w:tcBorders>
            <w:vAlign w:val="center"/>
          </w:tcPr>
          <w:p w14:paraId="78C432F2">
            <w:pPr>
              <w:pStyle w:val="2191"/>
              <w:rPr>
                <w:color w:val="000000"/>
                <w:szCs w:val="21"/>
              </w:rPr>
            </w:pPr>
            <w:r>
              <w:rPr>
                <w:color w:val="000000"/>
                <w:szCs w:val="21"/>
              </w:rPr>
              <w:t>生产废水</w:t>
            </w:r>
          </w:p>
        </w:tc>
        <w:tc>
          <w:tcPr>
            <w:tcW w:w="587" w:type="pct"/>
            <w:tcBorders>
              <w:tl2br w:val="nil"/>
              <w:tr2bl w:val="nil"/>
            </w:tcBorders>
            <w:vAlign w:val="center"/>
          </w:tcPr>
          <w:p w14:paraId="091E051F">
            <w:pPr>
              <w:pStyle w:val="2191"/>
              <w:rPr>
                <w:color w:val="000000"/>
                <w:szCs w:val="21"/>
              </w:rPr>
            </w:pPr>
            <w:r>
              <w:rPr>
                <w:color w:val="000000"/>
                <w:szCs w:val="21"/>
              </w:rPr>
              <w:t>COD</w:t>
            </w:r>
          </w:p>
        </w:tc>
        <w:tc>
          <w:tcPr>
            <w:tcW w:w="652" w:type="pct"/>
            <w:tcBorders>
              <w:tl2br w:val="nil"/>
              <w:tr2bl w:val="nil"/>
            </w:tcBorders>
            <w:vAlign w:val="center"/>
          </w:tcPr>
          <w:p w14:paraId="340CCD6C">
            <w:pPr>
              <w:spacing w:line="240" w:lineRule="auto"/>
              <w:jc w:val="center"/>
              <w:rPr>
                <w:color w:val="000000"/>
                <w:sz w:val="21"/>
              </w:rPr>
            </w:pPr>
            <w:r>
              <w:rPr>
                <w:color w:val="000000"/>
                <w:sz w:val="21"/>
              </w:rPr>
              <w:t>0.08</w:t>
            </w:r>
            <w:r>
              <w:rPr>
                <w:rFonts w:hint="eastAsia"/>
                <w:color w:val="000000"/>
                <w:sz w:val="21"/>
              </w:rPr>
              <w:t>33</w:t>
            </w:r>
          </w:p>
        </w:tc>
        <w:tc>
          <w:tcPr>
            <w:tcW w:w="692" w:type="pct"/>
            <w:tcBorders>
              <w:tl2br w:val="nil"/>
              <w:tr2bl w:val="nil"/>
            </w:tcBorders>
            <w:vAlign w:val="center"/>
          </w:tcPr>
          <w:p w14:paraId="4093F910">
            <w:pPr>
              <w:spacing w:line="240" w:lineRule="auto"/>
              <w:jc w:val="center"/>
              <w:rPr>
                <w:color w:val="000000"/>
                <w:sz w:val="21"/>
              </w:rPr>
            </w:pPr>
            <w:r>
              <w:rPr>
                <w:color w:val="000000"/>
                <w:sz w:val="21"/>
              </w:rPr>
              <w:t>0.004</w:t>
            </w:r>
          </w:p>
        </w:tc>
        <w:tc>
          <w:tcPr>
            <w:tcW w:w="692" w:type="pct"/>
            <w:tcBorders>
              <w:tl2br w:val="nil"/>
              <w:tr2bl w:val="nil"/>
            </w:tcBorders>
            <w:vAlign w:val="center"/>
          </w:tcPr>
          <w:p w14:paraId="138F0480">
            <w:pPr>
              <w:spacing w:line="240" w:lineRule="auto"/>
              <w:jc w:val="center"/>
              <w:rPr>
                <w:color w:val="000000"/>
                <w:sz w:val="21"/>
              </w:rPr>
            </w:pPr>
            <w:r>
              <w:rPr>
                <w:color w:val="000000"/>
                <w:sz w:val="21"/>
              </w:rPr>
              <w:t>0</w:t>
            </w:r>
          </w:p>
        </w:tc>
        <w:tc>
          <w:tcPr>
            <w:tcW w:w="1287" w:type="dxa"/>
            <w:tcBorders>
              <w:tl2br w:val="nil"/>
              <w:tr2bl w:val="nil"/>
            </w:tcBorders>
            <w:vAlign w:val="center"/>
          </w:tcPr>
          <w:p w14:paraId="2EA4BCD0">
            <w:pPr>
              <w:spacing w:line="240" w:lineRule="auto"/>
              <w:jc w:val="center"/>
              <w:rPr>
                <w:color w:val="000000"/>
                <w:sz w:val="21"/>
              </w:rPr>
            </w:pPr>
            <w:r>
              <w:rPr>
                <w:rFonts w:hint="eastAsia"/>
                <w:color w:val="000000"/>
                <w:sz w:val="21"/>
              </w:rPr>
              <w:t>0.0873</w:t>
            </w:r>
          </w:p>
        </w:tc>
        <w:tc>
          <w:tcPr>
            <w:tcW w:w="1408" w:type="dxa"/>
            <w:tcBorders>
              <w:tl2br w:val="nil"/>
              <w:tr2bl w:val="nil"/>
            </w:tcBorders>
            <w:vAlign w:val="center"/>
          </w:tcPr>
          <w:p w14:paraId="1AA927D2">
            <w:pPr>
              <w:spacing w:line="240" w:lineRule="auto"/>
              <w:jc w:val="center"/>
              <w:rPr>
                <w:color w:val="000000"/>
                <w:sz w:val="21"/>
              </w:rPr>
            </w:pPr>
            <w:r>
              <w:rPr>
                <w:color w:val="000000"/>
                <w:sz w:val="21"/>
              </w:rPr>
              <w:t>+0.004</w:t>
            </w:r>
          </w:p>
        </w:tc>
      </w:tr>
      <w:tr w14:paraId="1056C769">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417" w:type="pct"/>
            <w:vMerge w:val="continue"/>
            <w:tcBorders>
              <w:tl2br w:val="nil"/>
              <w:tr2bl w:val="nil"/>
            </w:tcBorders>
            <w:vAlign w:val="center"/>
          </w:tcPr>
          <w:p w14:paraId="2112925E">
            <w:pPr>
              <w:pStyle w:val="2191"/>
              <w:rPr>
                <w:color w:val="000000"/>
                <w:szCs w:val="21"/>
              </w:rPr>
            </w:pPr>
          </w:p>
        </w:tc>
        <w:tc>
          <w:tcPr>
            <w:tcW w:w="470" w:type="pct"/>
            <w:vMerge w:val="continue"/>
            <w:tcBorders>
              <w:tl2br w:val="nil"/>
              <w:tr2bl w:val="nil"/>
            </w:tcBorders>
            <w:vAlign w:val="center"/>
          </w:tcPr>
          <w:p w14:paraId="51E56B40">
            <w:pPr>
              <w:pStyle w:val="2191"/>
              <w:rPr>
                <w:color w:val="000000"/>
                <w:szCs w:val="21"/>
              </w:rPr>
            </w:pPr>
          </w:p>
        </w:tc>
        <w:tc>
          <w:tcPr>
            <w:tcW w:w="587" w:type="pct"/>
            <w:tcBorders>
              <w:tl2br w:val="nil"/>
              <w:tr2bl w:val="nil"/>
            </w:tcBorders>
            <w:vAlign w:val="center"/>
          </w:tcPr>
          <w:p w14:paraId="798044B5">
            <w:pPr>
              <w:pStyle w:val="2191"/>
              <w:rPr>
                <w:color w:val="000000"/>
                <w:szCs w:val="21"/>
              </w:rPr>
            </w:pPr>
            <w:r>
              <w:rPr>
                <w:color w:val="000000"/>
                <w:szCs w:val="21"/>
              </w:rPr>
              <w:t>SS</w:t>
            </w:r>
          </w:p>
        </w:tc>
        <w:tc>
          <w:tcPr>
            <w:tcW w:w="652" w:type="pct"/>
            <w:tcBorders>
              <w:tl2br w:val="nil"/>
              <w:tr2bl w:val="nil"/>
            </w:tcBorders>
            <w:vAlign w:val="center"/>
          </w:tcPr>
          <w:p w14:paraId="2171228B">
            <w:pPr>
              <w:spacing w:line="240" w:lineRule="auto"/>
              <w:jc w:val="center"/>
              <w:rPr>
                <w:color w:val="000000"/>
                <w:sz w:val="21"/>
              </w:rPr>
            </w:pPr>
            <w:r>
              <w:rPr>
                <w:color w:val="000000"/>
                <w:sz w:val="21"/>
              </w:rPr>
              <w:t>0.03</w:t>
            </w:r>
            <w:r>
              <w:rPr>
                <w:rFonts w:hint="eastAsia"/>
                <w:color w:val="000000"/>
                <w:sz w:val="21"/>
              </w:rPr>
              <w:t>3</w:t>
            </w:r>
          </w:p>
        </w:tc>
        <w:tc>
          <w:tcPr>
            <w:tcW w:w="692" w:type="pct"/>
            <w:tcBorders>
              <w:tl2br w:val="nil"/>
              <w:tr2bl w:val="nil"/>
            </w:tcBorders>
            <w:vAlign w:val="center"/>
          </w:tcPr>
          <w:p w14:paraId="4B7895ED">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0.003</w:t>
            </w:r>
          </w:p>
        </w:tc>
        <w:tc>
          <w:tcPr>
            <w:tcW w:w="692" w:type="pct"/>
            <w:tcBorders>
              <w:tl2br w:val="nil"/>
              <w:tr2bl w:val="nil"/>
            </w:tcBorders>
            <w:vAlign w:val="center"/>
          </w:tcPr>
          <w:p w14:paraId="61D9BF5D">
            <w:pPr>
              <w:spacing w:line="240" w:lineRule="auto"/>
              <w:jc w:val="center"/>
              <w:rPr>
                <w:color w:val="000000"/>
                <w:sz w:val="21"/>
              </w:rPr>
            </w:pPr>
            <w:r>
              <w:rPr>
                <w:color w:val="000000"/>
                <w:sz w:val="21"/>
              </w:rPr>
              <w:t>0</w:t>
            </w:r>
          </w:p>
        </w:tc>
        <w:tc>
          <w:tcPr>
            <w:tcW w:w="1287" w:type="dxa"/>
            <w:tcBorders>
              <w:tl2br w:val="nil"/>
              <w:tr2bl w:val="nil"/>
            </w:tcBorders>
            <w:vAlign w:val="center"/>
          </w:tcPr>
          <w:p w14:paraId="350C887B">
            <w:pPr>
              <w:spacing w:line="240" w:lineRule="auto"/>
              <w:jc w:val="center"/>
              <w:rPr>
                <w:color w:val="000000"/>
                <w:sz w:val="21"/>
              </w:rPr>
            </w:pPr>
            <w:r>
              <w:rPr>
                <w:rFonts w:hint="eastAsia"/>
                <w:color w:val="000000"/>
                <w:sz w:val="21"/>
              </w:rPr>
              <w:t>0.036</w:t>
            </w:r>
          </w:p>
        </w:tc>
        <w:tc>
          <w:tcPr>
            <w:tcW w:w="1408" w:type="dxa"/>
            <w:tcBorders>
              <w:tl2br w:val="nil"/>
              <w:tr2bl w:val="nil"/>
            </w:tcBorders>
            <w:vAlign w:val="center"/>
          </w:tcPr>
          <w:p w14:paraId="1544FCEF">
            <w:pPr>
              <w:spacing w:line="240" w:lineRule="auto"/>
              <w:jc w:val="center"/>
              <w:rPr>
                <w:color w:val="000000"/>
                <w:sz w:val="21"/>
              </w:rPr>
            </w:pPr>
            <w:r>
              <w:rPr>
                <w:color w:val="000000"/>
                <w:sz w:val="21"/>
              </w:rPr>
              <w:t>+0.003</w:t>
            </w:r>
          </w:p>
        </w:tc>
      </w:tr>
      <w:tr w14:paraId="3E86DDC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417" w:type="pct"/>
            <w:vMerge w:val="continue"/>
            <w:tcBorders>
              <w:tl2br w:val="nil"/>
              <w:tr2bl w:val="nil"/>
            </w:tcBorders>
            <w:vAlign w:val="center"/>
          </w:tcPr>
          <w:p w14:paraId="18859B1E">
            <w:pPr>
              <w:pStyle w:val="2191"/>
              <w:rPr>
                <w:color w:val="000000"/>
                <w:szCs w:val="21"/>
              </w:rPr>
            </w:pPr>
          </w:p>
        </w:tc>
        <w:tc>
          <w:tcPr>
            <w:tcW w:w="470" w:type="pct"/>
            <w:vMerge w:val="continue"/>
            <w:tcBorders>
              <w:tl2br w:val="nil"/>
              <w:tr2bl w:val="nil"/>
            </w:tcBorders>
            <w:vAlign w:val="center"/>
          </w:tcPr>
          <w:p w14:paraId="74DF97A0">
            <w:pPr>
              <w:pStyle w:val="2191"/>
              <w:rPr>
                <w:color w:val="000000"/>
                <w:szCs w:val="21"/>
              </w:rPr>
            </w:pPr>
          </w:p>
        </w:tc>
        <w:tc>
          <w:tcPr>
            <w:tcW w:w="587" w:type="pct"/>
            <w:tcBorders>
              <w:tl2br w:val="nil"/>
              <w:tr2bl w:val="nil"/>
            </w:tcBorders>
            <w:vAlign w:val="center"/>
          </w:tcPr>
          <w:p w14:paraId="5AC89F3D">
            <w:pPr>
              <w:pStyle w:val="2191"/>
              <w:rPr>
                <w:color w:val="000000"/>
                <w:szCs w:val="21"/>
              </w:rPr>
            </w:pPr>
            <w:r>
              <w:rPr>
                <w:color w:val="000000"/>
                <w:szCs w:val="21"/>
              </w:rPr>
              <w:t>石油类</w:t>
            </w:r>
          </w:p>
        </w:tc>
        <w:tc>
          <w:tcPr>
            <w:tcW w:w="652" w:type="pct"/>
            <w:tcBorders>
              <w:tl2br w:val="nil"/>
              <w:tr2bl w:val="nil"/>
            </w:tcBorders>
            <w:vAlign w:val="center"/>
          </w:tcPr>
          <w:p w14:paraId="7B1250A4">
            <w:pPr>
              <w:spacing w:line="240" w:lineRule="auto"/>
              <w:jc w:val="center"/>
              <w:rPr>
                <w:color w:val="000000"/>
                <w:sz w:val="21"/>
              </w:rPr>
            </w:pPr>
            <w:r>
              <w:rPr>
                <w:color w:val="000000"/>
                <w:sz w:val="21"/>
              </w:rPr>
              <w:t>0.00</w:t>
            </w:r>
            <w:r>
              <w:rPr>
                <w:rFonts w:hint="eastAsia"/>
                <w:color w:val="000000"/>
                <w:sz w:val="21"/>
              </w:rPr>
              <w:t>3</w:t>
            </w:r>
          </w:p>
        </w:tc>
        <w:tc>
          <w:tcPr>
            <w:tcW w:w="692" w:type="pct"/>
            <w:tcBorders>
              <w:tl2br w:val="nil"/>
              <w:tr2bl w:val="nil"/>
            </w:tcBorders>
            <w:vAlign w:val="center"/>
          </w:tcPr>
          <w:p w14:paraId="3EDE97EB">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w:t>
            </w:r>
          </w:p>
        </w:tc>
        <w:tc>
          <w:tcPr>
            <w:tcW w:w="692" w:type="pct"/>
            <w:tcBorders>
              <w:tl2br w:val="nil"/>
              <w:tr2bl w:val="nil"/>
            </w:tcBorders>
            <w:vAlign w:val="center"/>
          </w:tcPr>
          <w:p w14:paraId="7113B046">
            <w:pPr>
              <w:spacing w:line="240" w:lineRule="auto"/>
              <w:jc w:val="center"/>
              <w:rPr>
                <w:color w:val="000000"/>
                <w:sz w:val="21"/>
              </w:rPr>
            </w:pPr>
            <w:r>
              <w:rPr>
                <w:color w:val="000000"/>
                <w:sz w:val="21"/>
              </w:rPr>
              <w:t>0</w:t>
            </w:r>
          </w:p>
        </w:tc>
        <w:tc>
          <w:tcPr>
            <w:tcW w:w="1287" w:type="dxa"/>
            <w:tcBorders>
              <w:tl2br w:val="nil"/>
              <w:tr2bl w:val="nil"/>
            </w:tcBorders>
            <w:vAlign w:val="center"/>
          </w:tcPr>
          <w:p w14:paraId="76885C6B">
            <w:pPr>
              <w:spacing w:line="240" w:lineRule="auto"/>
              <w:jc w:val="center"/>
              <w:rPr>
                <w:color w:val="000000"/>
                <w:sz w:val="21"/>
              </w:rPr>
            </w:pPr>
            <w:r>
              <w:rPr>
                <w:rFonts w:hint="eastAsia"/>
                <w:color w:val="000000"/>
                <w:sz w:val="21"/>
              </w:rPr>
              <w:t>0.003</w:t>
            </w:r>
          </w:p>
        </w:tc>
        <w:tc>
          <w:tcPr>
            <w:tcW w:w="1408" w:type="dxa"/>
            <w:tcBorders>
              <w:tl2br w:val="nil"/>
              <w:tr2bl w:val="nil"/>
            </w:tcBorders>
            <w:vAlign w:val="center"/>
          </w:tcPr>
          <w:p w14:paraId="3D80B29D">
            <w:pPr>
              <w:spacing w:line="240" w:lineRule="auto"/>
              <w:jc w:val="center"/>
              <w:rPr>
                <w:color w:val="000000"/>
                <w:sz w:val="21"/>
              </w:rPr>
            </w:pPr>
            <w:r>
              <w:rPr>
                <w:color w:val="000000"/>
                <w:sz w:val="21"/>
              </w:rPr>
              <w:t>0</w:t>
            </w:r>
          </w:p>
        </w:tc>
      </w:tr>
      <w:tr w14:paraId="6C2976E2">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417" w:type="pct"/>
            <w:vMerge w:val="continue"/>
            <w:tcBorders>
              <w:tl2br w:val="nil"/>
              <w:tr2bl w:val="nil"/>
            </w:tcBorders>
            <w:vAlign w:val="center"/>
          </w:tcPr>
          <w:p w14:paraId="30684610">
            <w:pPr>
              <w:pStyle w:val="2191"/>
              <w:rPr>
                <w:color w:val="000000"/>
                <w:szCs w:val="21"/>
              </w:rPr>
            </w:pPr>
          </w:p>
        </w:tc>
        <w:tc>
          <w:tcPr>
            <w:tcW w:w="470" w:type="pct"/>
            <w:vMerge w:val="restart"/>
            <w:tcBorders>
              <w:tl2br w:val="nil"/>
              <w:tr2bl w:val="nil"/>
            </w:tcBorders>
            <w:vAlign w:val="center"/>
          </w:tcPr>
          <w:p w14:paraId="2134A116">
            <w:pPr>
              <w:pStyle w:val="2191"/>
              <w:rPr>
                <w:color w:val="000000"/>
                <w:szCs w:val="21"/>
              </w:rPr>
            </w:pPr>
            <w:r>
              <w:rPr>
                <w:color w:val="000000"/>
                <w:szCs w:val="21"/>
              </w:rPr>
              <w:t>生活污水</w:t>
            </w:r>
          </w:p>
        </w:tc>
        <w:tc>
          <w:tcPr>
            <w:tcW w:w="587" w:type="pct"/>
            <w:tcBorders>
              <w:tl2br w:val="nil"/>
              <w:tr2bl w:val="nil"/>
            </w:tcBorders>
            <w:vAlign w:val="center"/>
          </w:tcPr>
          <w:p w14:paraId="63E6924F">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COD</w:t>
            </w:r>
          </w:p>
        </w:tc>
        <w:tc>
          <w:tcPr>
            <w:tcW w:w="652" w:type="pct"/>
            <w:tcBorders>
              <w:tl2br w:val="nil"/>
              <w:tr2bl w:val="nil"/>
            </w:tcBorders>
            <w:vAlign w:val="center"/>
          </w:tcPr>
          <w:p w14:paraId="3F8BEB4D">
            <w:pPr>
              <w:pStyle w:val="2191"/>
              <w:rPr>
                <w:color w:val="000000"/>
                <w:szCs w:val="21"/>
              </w:rPr>
            </w:pPr>
            <w:r>
              <w:rPr>
                <w:color w:val="000000"/>
                <w:szCs w:val="21"/>
              </w:rPr>
              <w:t>0.2</w:t>
            </w:r>
            <w:r>
              <w:rPr>
                <w:rFonts w:hint="eastAsia"/>
                <w:color w:val="000000"/>
                <w:szCs w:val="21"/>
              </w:rPr>
              <w:t>2</w:t>
            </w:r>
          </w:p>
        </w:tc>
        <w:tc>
          <w:tcPr>
            <w:tcW w:w="1253" w:type="dxa"/>
            <w:tcBorders>
              <w:tl2br w:val="nil"/>
              <w:tr2bl w:val="nil"/>
            </w:tcBorders>
            <w:vAlign w:val="center"/>
          </w:tcPr>
          <w:p w14:paraId="3812D219">
            <w:pPr>
              <w:pStyle w:val="2191"/>
              <w:rPr>
                <w:color w:val="000000"/>
                <w:szCs w:val="21"/>
              </w:rPr>
            </w:pPr>
            <w:r>
              <w:rPr>
                <w:color w:val="000000"/>
                <w:szCs w:val="21"/>
              </w:rPr>
              <w:t>0.014</w:t>
            </w:r>
          </w:p>
        </w:tc>
        <w:tc>
          <w:tcPr>
            <w:tcW w:w="692" w:type="pct"/>
            <w:tcBorders>
              <w:tl2br w:val="nil"/>
              <w:tr2bl w:val="nil"/>
            </w:tcBorders>
            <w:vAlign w:val="center"/>
          </w:tcPr>
          <w:p w14:paraId="028988DD">
            <w:pPr>
              <w:pStyle w:val="2191"/>
              <w:rPr>
                <w:color w:val="000000"/>
                <w:szCs w:val="21"/>
              </w:rPr>
            </w:pPr>
            <w:r>
              <w:rPr>
                <w:color w:val="000000"/>
                <w:szCs w:val="21"/>
              </w:rPr>
              <w:t>0</w:t>
            </w:r>
          </w:p>
        </w:tc>
        <w:tc>
          <w:tcPr>
            <w:tcW w:w="1287" w:type="dxa"/>
            <w:tcBorders>
              <w:tl2br w:val="nil"/>
              <w:tr2bl w:val="nil"/>
            </w:tcBorders>
            <w:vAlign w:val="center"/>
          </w:tcPr>
          <w:p w14:paraId="2E1D63D7">
            <w:pPr>
              <w:spacing w:line="240" w:lineRule="auto"/>
              <w:jc w:val="center"/>
              <w:rPr>
                <w:color w:val="000000"/>
                <w:sz w:val="21"/>
              </w:rPr>
            </w:pPr>
            <w:r>
              <w:rPr>
                <w:rFonts w:hint="eastAsia"/>
                <w:color w:val="000000"/>
                <w:sz w:val="21"/>
              </w:rPr>
              <w:t>0.234</w:t>
            </w:r>
          </w:p>
        </w:tc>
        <w:tc>
          <w:tcPr>
            <w:tcW w:w="1408" w:type="dxa"/>
            <w:tcBorders>
              <w:tl2br w:val="nil"/>
              <w:tr2bl w:val="nil"/>
            </w:tcBorders>
            <w:vAlign w:val="center"/>
          </w:tcPr>
          <w:p w14:paraId="6392EAAD">
            <w:pPr>
              <w:pStyle w:val="2191"/>
              <w:rPr>
                <w:color w:val="000000"/>
                <w:szCs w:val="21"/>
              </w:rPr>
            </w:pPr>
            <w:r>
              <w:rPr>
                <w:color w:val="000000"/>
                <w:szCs w:val="21"/>
              </w:rPr>
              <w:t>+0.014</w:t>
            </w:r>
          </w:p>
        </w:tc>
      </w:tr>
      <w:tr w14:paraId="618F035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38" w:hRule="atLeast"/>
        </w:trPr>
        <w:tc>
          <w:tcPr>
            <w:tcW w:w="417" w:type="pct"/>
            <w:vMerge w:val="continue"/>
            <w:tcBorders>
              <w:tl2br w:val="nil"/>
              <w:tr2bl w:val="nil"/>
            </w:tcBorders>
            <w:vAlign w:val="center"/>
          </w:tcPr>
          <w:p w14:paraId="2B6BE487">
            <w:pPr>
              <w:pStyle w:val="2191"/>
              <w:rPr>
                <w:color w:val="000000"/>
                <w:szCs w:val="21"/>
              </w:rPr>
            </w:pPr>
          </w:p>
        </w:tc>
        <w:tc>
          <w:tcPr>
            <w:tcW w:w="470" w:type="pct"/>
            <w:vMerge w:val="continue"/>
            <w:tcBorders>
              <w:tl2br w:val="nil"/>
              <w:tr2bl w:val="nil"/>
            </w:tcBorders>
            <w:vAlign w:val="center"/>
          </w:tcPr>
          <w:p w14:paraId="5E2E4A88">
            <w:pPr>
              <w:pStyle w:val="2191"/>
              <w:rPr>
                <w:color w:val="000000"/>
                <w:szCs w:val="21"/>
              </w:rPr>
            </w:pPr>
          </w:p>
        </w:tc>
        <w:tc>
          <w:tcPr>
            <w:tcW w:w="587" w:type="pct"/>
            <w:tcBorders>
              <w:tl2br w:val="nil"/>
              <w:tr2bl w:val="nil"/>
            </w:tcBorders>
            <w:vAlign w:val="center"/>
          </w:tcPr>
          <w:p w14:paraId="3E337B5B">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BOD</w:t>
            </w:r>
            <w:r>
              <w:rPr>
                <w:rFonts w:ascii="Times New Roman" w:hAnsi="Times New Roman"/>
                <w:color w:val="000000"/>
                <w:kern w:val="2"/>
                <w:sz w:val="21"/>
                <w:szCs w:val="21"/>
                <w:vertAlign w:val="subscript"/>
              </w:rPr>
              <w:t>5</w:t>
            </w:r>
          </w:p>
        </w:tc>
        <w:tc>
          <w:tcPr>
            <w:tcW w:w="652" w:type="pct"/>
            <w:tcBorders>
              <w:tl2br w:val="nil"/>
              <w:tr2bl w:val="nil"/>
            </w:tcBorders>
            <w:vAlign w:val="center"/>
          </w:tcPr>
          <w:p w14:paraId="12205B18">
            <w:pPr>
              <w:pStyle w:val="2191"/>
              <w:rPr>
                <w:color w:val="000000"/>
                <w:szCs w:val="21"/>
              </w:rPr>
            </w:pPr>
            <w:r>
              <w:rPr>
                <w:color w:val="000000"/>
                <w:szCs w:val="21"/>
              </w:rPr>
              <w:t>0.05</w:t>
            </w:r>
          </w:p>
        </w:tc>
        <w:tc>
          <w:tcPr>
            <w:tcW w:w="1253" w:type="dxa"/>
            <w:tcBorders>
              <w:tl2br w:val="nil"/>
              <w:tr2bl w:val="nil"/>
            </w:tcBorders>
            <w:vAlign w:val="center"/>
          </w:tcPr>
          <w:p w14:paraId="23D29497">
            <w:pPr>
              <w:pStyle w:val="2191"/>
              <w:rPr>
                <w:color w:val="000000"/>
                <w:szCs w:val="21"/>
              </w:rPr>
            </w:pPr>
            <w:r>
              <w:rPr>
                <w:color w:val="000000"/>
                <w:szCs w:val="21"/>
              </w:rPr>
              <w:t>0.004</w:t>
            </w:r>
          </w:p>
        </w:tc>
        <w:tc>
          <w:tcPr>
            <w:tcW w:w="692" w:type="pct"/>
            <w:tcBorders>
              <w:tl2br w:val="nil"/>
              <w:tr2bl w:val="nil"/>
            </w:tcBorders>
            <w:vAlign w:val="center"/>
          </w:tcPr>
          <w:p w14:paraId="0C7CB85D">
            <w:pPr>
              <w:pStyle w:val="2191"/>
              <w:rPr>
                <w:color w:val="000000"/>
                <w:szCs w:val="21"/>
              </w:rPr>
            </w:pPr>
            <w:r>
              <w:rPr>
                <w:color w:val="000000"/>
                <w:szCs w:val="21"/>
              </w:rPr>
              <w:t>0</w:t>
            </w:r>
          </w:p>
        </w:tc>
        <w:tc>
          <w:tcPr>
            <w:tcW w:w="1287" w:type="dxa"/>
            <w:tcBorders>
              <w:tl2br w:val="nil"/>
              <w:tr2bl w:val="nil"/>
            </w:tcBorders>
            <w:vAlign w:val="center"/>
          </w:tcPr>
          <w:p w14:paraId="1834B44E">
            <w:pPr>
              <w:spacing w:line="240" w:lineRule="auto"/>
              <w:jc w:val="center"/>
              <w:rPr>
                <w:color w:val="000000"/>
                <w:sz w:val="21"/>
              </w:rPr>
            </w:pPr>
            <w:r>
              <w:rPr>
                <w:rFonts w:hint="eastAsia"/>
                <w:color w:val="000000"/>
                <w:sz w:val="21"/>
              </w:rPr>
              <w:t>0.054</w:t>
            </w:r>
          </w:p>
        </w:tc>
        <w:tc>
          <w:tcPr>
            <w:tcW w:w="1408" w:type="dxa"/>
            <w:tcBorders>
              <w:tl2br w:val="nil"/>
              <w:tr2bl w:val="nil"/>
            </w:tcBorders>
            <w:vAlign w:val="center"/>
          </w:tcPr>
          <w:p w14:paraId="337D7010">
            <w:pPr>
              <w:pStyle w:val="2191"/>
              <w:rPr>
                <w:color w:val="000000"/>
                <w:szCs w:val="21"/>
              </w:rPr>
            </w:pPr>
            <w:r>
              <w:rPr>
                <w:color w:val="000000"/>
                <w:szCs w:val="21"/>
              </w:rPr>
              <w:t>+0.004</w:t>
            </w:r>
          </w:p>
        </w:tc>
      </w:tr>
      <w:tr w14:paraId="461F3340">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219" w:hRule="atLeast"/>
        </w:trPr>
        <w:tc>
          <w:tcPr>
            <w:tcW w:w="417" w:type="pct"/>
            <w:vMerge w:val="continue"/>
            <w:tcBorders>
              <w:tl2br w:val="nil"/>
              <w:tr2bl w:val="nil"/>
            </w:tcBorders>
            <w:vAlign w:val="center"/>
          </w:tcPr>
          <w:p w14:paraId="1561335A">
            <w:pPr>
              <w:pStyle w:val="2191"/>
              <w:rPr>
                <w:color w:val="000000"/>
                <w:szCs w:val="21"/>
              </w:rPr>
            </w:pPr>
          </w:p>
        </w:tc>
        <w:tc>
          <w:tcPr>
            <w:tcW w:w="470" w:type="pct"/>
            <w:vMerge w:val="continue"/>
            <w:tcBorders>
              <w:tl2br w:val="nil"/>
              <w:tr2bl w:val="nil"/>
            </w:tcBorders>
            <w:vAlign w:val="center"/>
          </w:tcPr>
          <w:p w14:paraId="29E7B4F8">
            <w:pPr>
              <w:pStyle w:val="2191"/>
              <w:rPr>
                <w:color w:val="000000"/>
                <w:szCs w:val="21"/>
              </w:rPr>
            </w:pPr>
          </w:p>
        </w:tc>
        <w:tc>
          <w:tcPr>
            <w:tcW w:w="587" w:type="pct"/>
            <w:tcBorders>
              <w:tl2br w:val="nil"/>
              <w:tr2bl w:val="nil"/>
            </w:tcBorders>
            <w:vAlign w:val="center"/>
          </w:tcPr>
          <w:p w14:paraId="60F39676">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NH</w:t>
            </w:r>
            <w:r>
              <w:rPr>
                <w:rFonts w:ascii="Times New Roman" w:hAnsi="Times New Roman"/>
                <w:color w:val="000000"/>
                <w:kern w:val="2"/>
                <w:sz w:val="21"/>
                <w:szCs w:val="21"/>
                <w:vertAlign w:val="subscript"/>
              </w:rPr>
              <w:t>3</w:t>
            </w:r>
            <w:r>
              <w:rPr>
                <w:rFonts w:ascii="Times New Roman" w:hAnsi="Times New Roman"/>
                <w:color w:val="000000"/>
                <w:kern w:val="2"/>
                <w:sz w:val="21"/>
                <w:szCs w:val="21"/>
              </w:rPr>
              <w:t>-N</w:t>
            </w:r>
          </w:p>
        </w:tc>
        <w:tc>
          <w:tcPr>
            <w:tcW w:w="652" w:type="pct"/>
            <w:tcBorders>
              <w:tl2br w:val="nil"/>
              <w:tr2bl w:val="nil"/>
            </w:tcBorders>
            <w:vAlign w:val="center"/>
          </w:tcPr>
          <w:p w14:paraId="34E6737B">
            <w:pPr>
              <w:pStyle w:val="2191"/>
              <w:rPr>
                <w:color w:val="000000"/>
                <w:szCs w:val="21"/>
              </w:rPr>
            </w:pPr>
            <w:r>
              <w:rPr>
                <w:color w:val="000000"/>
                <w:szCs w:val="21"/>
              </w:rPr>
              <w:t>0.0</w:t>
            </w:r>
            <w:r>
              <w:rPr>
                <w:rFonts w:hint="eastAsia"/>
                <w:color w:val="000000"/>
                <w:szCs w:val="21"/>
              </w:rPr>
              <w:t>3</w:t>
            </w:r>
          </w:p>
        </w:tc>
        <w:tc>
          <w:tcPr>
            <w:tcW w:w="1253" w:type="dxa"/>
            <w:tcBorders>
              <w:tl2br w:val="nil"/>
              <w:tr2bl w:val="nil"/>
            </w:tcBorders>
            <w:vAlign w:val="center"/>
          </w:tcPr>
          <w:p w14:paraId="2A2763FE">
            <w:pPr>
              <w:pStyle w:val="2191"/>
              <w:rPr>
                <w:color w:val="000000"/>
                <w:szCs w:val="21"/>
              </w:rPr>
            </w:pPr>
            <w:r>
              <w:rPr>
                <w:color w:val="000000"/>
                <w:szCs w:val="21"/>
              </w:rPr>
              <w:t>0.002</w:t>
            </w:r>
          </w:p>
        </w:tc>
        <w:tc>
          <w:tcPr>
            <w:tcW w:w="692" w:type="pct"/>
            <w:tcBorders>
              <w:tl2br w:val="nil"/>
              <w:tr2bl w:val="nil"/>
            </w:tcBorders>
            <w:vAlign w:val="center"/>
          </w:tcPr>
          <w:p w14:paraId="29CA081A">
            <w:pPr>
              <w:pStyle w:val="2191"/>
              <w:rPr>
                <w:color w:val="000000"/>
                <w:szCs w:val="21"/>
              </w:rPr>
            </w:pPr>
            <w:r>
              <w:rPr>
                <w:color w:val="000000"/>
                <w:szCs w:val="21"/>
              </w:rPr>
              <w:t>0</w:t>
            </w:r>
          </w:p>
        </w:tc>
        <w:tc>
          <w:tcPr>
            <w:tcW w:w="1287" w:type="dxa"/>
            <w:tcBorders>
              <w:tl2br w:val="nil"/>
              <w:tr2bl w:val="nil"/>
            </w:tcBorders>
            <w:vAlign w:val="center"/>
          </w:tcPr>
          <w:p w14:paraId="10B8AB06">
            <w:pPr>
              <w:pStyle w:val="2191"/>
              <w:rPr>
                <w:color w:val="000000"/>
                <w:szCs w:val="21"/>
              </w:rPr>
            </w:pPr>
            <w:r>
              <w:rPr>
                <w:rFonts w:hint="eastAsia"/>
                <w:color w:val="000000"/>
                <w:szCs w:val="21"/>
              </w:rPr>
              <w:t>0.032</w:t>
            </w:r>
          </w:p>
        </w:tc>
        <w:tc>
          <w:tcPr>
            <w:tcW w:w="1408" w:type="dxa"/>
            <w:tcBorders>
              <w:tl2br w:val="nil"/>
              <w:tr2bl w:val="nil"/>
            </w:tcBorders>
            <w:vAlign w:val="center"/>
          </w:tcPr>
          <w:p w14:paraId="12144FE6">
            <w:pPr>
              <w:pStyle w:val="2191"/>
              <w:rPr>
                <w:color w:val="000000"/>
                <w:szCs w:val="21"/>
              </w:rPr>
            </w:pPr>
            <w:r>
              <w:rPr>
                <w:color w:val="000000"/>
                <w:szCs w:val="21"/>
              </w:rPr>
              <w:t>+0.002</w:t>
            </w:r>
          </w:p>
        </w:tc>
      </w:tr>
      <w:tr w14:paraId="488B12ED">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417" w:type="pct"/>
            <w:vMerge w:val="continue"/>
            <w:tcBorders>
              <w:tl2br w:val="nil"/>
              <w:tr2bl w:val="nil"/>
            </w:tcBorders>
            <w:vAlign w:val="center"/>
          </w:tcPr>
          <w:p w14:paraId="22949382">
            <w:pPr>
              <w:pStyle w:val="2191"/>
              <w:rPr>
                <w:color w:val="000000"/>
                <w:szCs w:val="21"/>
              </w:rPr>
            </w:pPr>
          </w:p>
        </w:tc>
        <w:tc>
          <w:tcPr>
            <w:tcW w:w="470" w:type="pct"/>
            <w:vMerge w:val="continue"/>
            <w:tcBorders>
              <w:tl2br w:val="nil"/>
              <w:tr2bl w:val="nil"/>
            </w:tcBorders>
            <w:vAlign w:val="center"/>
          </w:tcPr>
          <w:p w14:paraId="01B2FF42">
            <w:pPr>
              <w:pStyle w:val="2191"/>
              <w:rPr>
                <w:color w:val="000000"/>
                <w:szCs w:val="21"/>
              </w:rPr>
            </w:pPr>
          </w:p>
        </w:tc>
        <w:tc>
          <w:tcPr>
            <w:tcW w:w="587" w:type="pct"/>
            <w:tcBorders>
              <w:tl2br w:val="nil"/>
              <w:tr2bl w:val="nil"/>
            </w:tcBorders>
            <w:vAlign w:val="center"/>
          </w:tcPr>
          <w:p w14:paraId="6C4CBB36">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SS</w:t>
            </w:r>
          </w:p>
        </w:tc>
        <w:tc>
          <w:tcPr>
            <w:tcW w:w="652" w:type="pct"/>
            <w:tcBorders>
              <w:tl2br w:val="nil"/>
              <w:tr2bl w:val="nil"/>
            </w:tcBorders>
            <w:vAlign w:val="center"/>
          </w:tcPr>
          <w:p w14:paraId="21E1E83A">
            <w:pPr>
              <w:pStyle w:val="2191"/>
              <w:rPr>
                <w:color w:val="000000"/>
                <w:szCs w:val="21"/>
              </w:rPr>
            </w:pPr>
            <w:r>
              <w:rPr>
                <w:color w:val="000000"/>
                <w:szCs w:val="21"/>
              </w:rPr>
              <w:t>0.1</w:t>
            </w:r>
            <w:r>
              <w:rPr>
                <w:rFonts w:hint="eastAsia"/>
                <w:color w:val="000000"/>
                <w:szCs w:val="21"/>
              </w:rPr>
              <w:t>9</w:t>
            </w:r>
          </w:p>
        </w:tc>
        <w:tc>
          <w:tcPr>
            <w:tcW w:w="1253" w:type="dxa"/>
            <w:tcBorders>
              <w:tl2br w:val="nil"/>
              <w:tr2bl w:val="nil"/>
            </w:tcBorders>
            <w:vAlign w:val="center"/>
          </w:tcPr>
          <w:p w14:paraId="4065F7E1">
            <w:pPr>
              <w:pStyle w:val="2191"/>
              <w:rPr>
                <w:color w:val="000000"/>
                <w:szCs w:val="21"/>
              </w:rPr>
            </w:pPr>
            <w:r>
              <w:rPr>
                <w:color w:val="000000"/>
                <w:szCs w:val="21"/>
              </w:rPr>
              <w:t>0.013</w:t>
            </w:r>
          </w:p>
        </w:tc>
        <w:tc>
          <w:tcPr>
            <w:tcW w:w="692" w:type="pct"/>
            <w:tcBorders>
              <w:tl2br w:val="nil"/>
              <w:tr2bl w:val="nil"/>
            </w:tcBorders>
            <w:vAlign w:val="center"/>
          </w:tcPr>
          <w:p w14:paraId="7192D2E2">
            <w:pPr>
              <w:pStyle w:val="2191"/>
              <w:rPr>
                <w:color w:val="000000"/>
                <w:szCs w:val="21"/>
              </w:rPr>
            </w:pPr>
            <w:r>
              <w:rPr>
                <w:color w:val="000000"/>
                <w:szCs w:val="21"/>
              </w:rPr>
              <w:t>0</w:t>
            </w:r>
          </w:p>
        </w:tc>
        <w:tc>
          <w:tcPr>
            <w:tcW w:w="1287" w:type="dxa"/>
            <w:tcBorders>
              <w:tl2br w:val="nil"/>
              <w:tr2bl w:val="nil"/>
            </w:tcBorders>
            <w:vAlign w:val="center"/>
          </w:tcPr>
          <w:p w14:paraId="2E2488AE">
            <w:pPr>
              <w:pStyle w:val="2191"/>
              <w:rPr>
                <w:color w:val="000000"/>
                <w:szCs w:val="21"/>
              </w:rPr>
            </w:pPr>
            <w:r>
              <w:rPr>
                <w:rFonts w:hint="eastAsia"/>
                <w:color w:val="000000"/>
                <w:szCs w:val="21"/>
              </w:rPr>
              <w:t>0.203</w:t>
            </w:r>
          </w:p>
        </w:tc>
        <w:tc>
          <w:tcPr>
            <w:tcW w:w="1408" w:type="dxa"/>
            <w:tcBorders>
              <w:tl2br w:val="nil"/>
              <w:tr2bl w:val="nil"/>
            </w:tcBorders>
            <w:vAlign w:val="center"/>
          </w:tcPr>
          <w:p w14:paraId="1B0C954F">
            <w:pPr>
              <w:pStyle w:val="2191"/>
              <w:rPr>
                <w:color w:val="000000"/>
                <w:szCs w:val="21"/>
              </w:rPr>
            </w:pPr>
            <w:r>
              <w:rPr>
                <w:color w:val="000000"/>
                <w:szCs w:val="21"/>
              </w:rPr>
              <w:t>+0.013</w:t>
            </w:r>
          </w:p>
        </w:tc>
      </w:tr>
      <w:tr w14:paraId="10F28815">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417" w:type="pct"/>
            <w:vMerge w:val="continue"/>
            <w:tcBorders>
              <w:tl2br w:val="nil"/>
              <w:tr2bl w:val="nil"/>
            </w:tcBorders>
            <w:vAlign w:val="center"/>
          </w:tcPr>
          <w:p w14:paraId="1EA26DC9">
            <w:pPr>
              <w:pStyle w:val="2191"/>
              <w:rPr>
                <w:color w:val="000000"/>
                <w:szCs w:val="21"/>
              </w:rPr>
            </w:pPr>
          </w:p>
        </w:tc>
        <w:tc>
          <w:tcPr>
            <w:tcW w:w="470" w:type="pct"/>
            <w:vMerge w:val="continue"/>
            <w:tcBorders>
              <w:tl2br w:val="nil"/>
              <w:tr2bl w:val="nil"/>
            </w:tcBorders>
            <w:vAlign w:val="center"/>
          </w:tcPr>
          <w:p w14:paraId="336837C0">
            <w:pPr>
              <w:pStyle w:val="2191"/>
              <w:rPr>
                <w:color w:val="000000"/>
                <w:szCs w:val="21"/>
              </w:rPr>
            </w:pPr>
          </w:p>
        </w:tc>
        <w:tc>
          <w:tcPr>
            <w:tcW w:w="587" w:type="pct"/>
            <w:tcBorders>
              <w:tl2br w:val="nil"/>
              <w:tr2bl w:val="nil"/>
            </w:tcBorders>
            <w:vAlign w:val="center"/>
          </w:tcPr>
          <w:p w14:paraId="2BA0FDC2">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TP</w:t>
            </w:r>
          </w:p>
        </w:tc>
        <w:tc>
          <w:tcPr>
            <w:tcW w:w="652" w:type="pct"/>
            <w:tcBorders>
              <w:tl2br w:val="nil"/>
              <w:tr2bl w:val="nil"/>
            </w:tcBorders>
            <w:vAlign w:val="center"/>
          </w:tcPr>
          <w:p w14:paraId="3EEB8243">
            <w:pPr>
              <w:pStyle w:val="2191"/>
              <w:rPr>
                <w:color w:val="000000"/>
                <w:szCs w:val="21"/>
              </w:rPr>
            </w:pPr>
            <w:r>
              <w:rPr>
                <w:color w:val="000000"/>
                <w:szCs w:val="21"/>
              </w:rPr>
              <w:t>0.001</w:t>
            </w:r>
          </w:p>
        </w:tc>
        <w:tc>
          <w:tcPr>
            <w:tcW w:w="1253" w:type="dxa"/>
            <w:tcBorders>
              <w:tl2br w:val="nil"/>
              <w:tr2bl w:val="nil"/>
            </w:tcBorders>
            <w:vAlign w:val="center"/>
          </w:tcPr>
          <w:p w14:paraId="618F1F2C">
            <w:pPr>
              <w:pStyle w:val="2191"/>
              <w:rPr>
                <w:color w:val="000000"/>
                <w:szCs w:val="21"/>
              </w:rPr>
            </w:pPr>
            <w:r>
              <w:rPr>
                <w:color w:val="000000"/>
                <w:szCs w:val="21"/>
              </w:rPr>
              <w:t>0.0001</w:t>
            </w:r>
          </w:p>
        </w:tc>
        <w:tc>
          <w:tcPr>
            <w:tcW w:w="692" w:type="pct"/>
            <w:tcBorders>
              <w:tl2br w:val="nil"/>
              <w:tr2bl w:val="nil"/>
            </w:tcBorders>
            <w:vAlign w:val="center"/>
          </w:tcPr>
          <w:p w14:paraId="16C1D3FB">
            <w:pPr>
              <w:pStyle w:val="2191"/>
              <w:rPr>
                <w:color w:val="000000"/>
                <w:szCs w:val="21"/>
              </w:rPr>
            </w:pPr>
            <w:r>
              <w:rPr>
                <w:color w:val="000000"/>
                <w:szCs w:val="21"/>
              </w:rPr>
              <w:t>0</w:t>
            </w:r>
          </w:p>
        </w:tc>
        <w:tc>
          <w:tcPr>
            <w:tcW w:w="1287" w:type="dxa"/>
            <w:tcBorders>
              <w:tl2br w:val="nil"/>
              <w:tr2bl w:val="nil"/>
            </w:tcBorders>
            <w:vAlign w:val="center"/>
          </w:tcPr>
          <w:p w14:paraId="4B85CC65">
            <w:pPr>
              <w:pStyle w:val="2191"/>
              <w:rPr>
                <w:color w:val="000000"/>
                <w:szCs w:val="21"/>
              </w:rPr>
            </w:pPr>
            <w:r>
              <w:rPr>
                <w:rFonts w:hint="eastAsia"/>
                <w:color w:val="000000"/>
                <w:szCs w:val="21"/>
              </w:rPr>
              <w:t>0.0011</w:t>
            </w:r>
          </w:p>
        </w:tc>
        <w:tc>
          <w:tcPr>
            <w:tcW w:w="1408" w:type="dxa"/>
            <w:tcBorders>
              <w:tl2br w:val="nil"/>
              <w:tr2bl w:val="nil"/>
            </w:tcBorders>
            <w:vAlign w:val="center"/>
          </w:tcPr>
          <w:p w14:paraId="192D66CE">
            <w:pPr>
              <w:pStyle w:val="2191"/>
              <w:rPr>
                <w:color w:val="000000"/>
                <w:szCs w:val="21"/>
              </w:rPr>
            </w:pPr>
            <w:r>
              <w:rPr>
                <w:color w:val="000000"/>
                <w:szCs w:val="21"/>
              </w:rPr>
              <w:t>+0.0001</w:t>
            </w:r>
          </w:p>
        </w:tc>
      </w:tr>
      <w:tr w14:paraId="23E1620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417" w:type="pct"/>
            <w:vMerge w:val="restart"/>
            <w:tcBorders>
              <w:tl2br w:val="nil"/>
              <w:tr2bl w:val="nil"/>
            </w:tcBorders>
            <w:vAlign w:val="center"/>
          </w:tcPr>
          <w:p w14:paraId="6B23506F">
            <w:pPr>
              <w:pStyle w:val="2191"/>
              <w:rPr>
                <w:color w:val="000000"/>
                <w:szCs w:val="21"/>
              </w:rPr>
            </w:pPr>
            <w:r>
              <w:rPr>
                <w:color w:val="000000"/>
                <w:szCs w:val="21"/>
              </w:rPr>
              <w:t>固废（产生量）</w:t>
            </w:r>
          </w:p>
        </w:tc>
        <w:tc>
          <w:tcPr>
            <w:tcW w:w="1057" w:type="pct"/>
            <w:gridSpan w:val="2"/>
            <w:tcBorders>
              <w:tl2br w:val="nil"/>
              <w:tr2bl w:val="nil"/>
            </w:tcBorders>
            <w:vAlign w:val="center"/>
          </w:tcPr>
          <w:p w14:paraId="7D754EC5">
            <w:pPr>
              <w:pStyle w:val="2191"/>
              <w:rPr>
                <w:color w:val="000000"/>
                <w:szCs w:val="21"/>
              </w:rPr>
            </w:pPr>
            <w:r>
              <w:rPr>
                <w:color w:val="000000"/>
                <w:szCs w:val="21"/>
              </w:rPr>
              <w:t>一般固废</w:t>
            </w:r>
          </w:p>
        </w:tc>
        <w:tc>
          <w:tcPr>
            <w:tcW w:w="652" w:type="pct"/>
            <w:tcBorders>
              <w:tl2br w:val="nil"/>
              <w:tr2bl w:val="nil"/>
            </w:tcBorders>
            <w:vAlign w:val="center"/>
          </w:tcPr>
          <w:p w14:paraId="346D243D">
            <w:pPr>
              <w:pStyle w:val="2191"/>
              <w:rPr>
                <w:color w:val="000000"/>
                <w:szCs w:val="21"/>
              </w:rPr>
            </w:pPr>
            <w:r>
              <w:rPr>
                <w:rFonts w:hint="eastAsia"/>
                <w:color w:val="000000"/>
                <w:szCs w:val="21"/>
              </w:rPr>
              <w:t>5.25</w:t>
            </w:r>
          </w:p>
        </w:tc>
        <w:tc>
          <w:tcPr>
            <w:tcW w:w="692" w:type="pct"/>
            <w:tcBorders>
              <w:tl2br w:val="nil"/>
              <w:tr2bl w:val="nil"/>
            </w:tcBorders>
            <w:vAlign w:val="center"/>
          </w:tcPr>
          <w:p w14:paraId="06444E88">
            <w:pPr>
              <w:pStyle w:val="2191"/>
              <w:rPr>
                <w:color w:val="000000"/>
                <w:szCs w:val="21"/>
              </w:rPr>
            </w:pPr>
            <w:r>
              <w:rPr>
                <w:color w:val="000000"/>
                <w:szCs w:val="21"/>
              </w:rPr>
              <w:t>1.6536</w:t>
            </w:r>
          </w:p>
        </w:tc>
        <w:tc>
          <w:tcPr>
            <w:tcW w:w="692" w:type="pct"/>
            <w:tcBorders>
              <w:tl2br w:val="nil"/>
              <w:tr2bl w:val="nil"/>
            </w:tcBorders>
            <w:vAlign w:val="center"/>
          </w:tcPr>
          <w:p w14:paraId="2E4B1C96">
            <w:pPr>
              <w:pStyle w:val="2191"/>
              <w:rPr>
                <w:color w:val="000000"/>
                <w:szCs w:val="21"/>
              </w:rPr>
            </w:pPr>
            <w:r>
              <w:rPr>
                <w:color w:val="000000"/>
                <w:szCs w:val="21"/>
              </w:rPr>
              <w:t>0</w:t>
            </w:r>
          </w:p>
        </w:tc>
        <w:tc>
          <w:tcPr>
            <w:tcW w:w="1287" w:type="dxa"/>
            <w:tcBorders>
              <w:tl2br w:val="nil"/>
              <w:tr2bl w:val="nil"/>
            </w:tcBorders>
            <w:vAlign w:val="bottom"/>
          </w:tcPr>
          <w:p w14:paraId="69649318">
            <w:pPr>
              <w:pStyle w:val="2191"/>
              <w:rPr>
                <w:color w:val="000000"/>
                <w:szCs w:val="21"/>
              </w:rPr>
            </w:pPr>
            <w:r>
              <w:rPr>
                <w:rFonts w:hint="eastAsia"/>
                <w:color w:val="000000"/>
                <w:szCs w:val="21"/>
              </w:rPr>
              <w:t>6.9036</w:t>
            </w:r>
          </w:p>
        </w:tc>
        <w:tc>
          <w:tcPr>
            <w:tcW w:w="777" w:type="pct"/>
            <w:tcBorders>
              <w:tl2br w:val="nil"/>
              <w:tr2bl w:val="nil"/>
            </w:tcBorders>
            <w:vAlign w:val="center"/>
          </w:tcPr>
          <w:p w14:paraId="315BB2E9">
            <w:pPr>
              <w:pStyle w:val="2191"/>
              <w:rPr>
                <w:color w:val="000000"/>
                <w:szCs w:val="21"/>
              </w:rPr>
            </w:pPr>
            <w:r>
              <w:rPr>
                <w:color w:val="000000"/>
                <w:szCs w:val="21"/>
              </w:rPr>
              <w:t>+1.6536</w:t>
            </w:r>
          </w:p>
        </w:tc>
      </w:tr>
      <w:tr w14:paraId="1540951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417" w:type="pct"/>
            <w:vMerge w:val="continue"/>
            <w:tcBorders>
              <w:tl2br w:val="nil"/>
              <w:tr2bl w:val="nil"/>
            </w:tcBorders>
            <w:vAlign w:val="center"/>
          </w:tcPr>
          <w:p w14:paraId="6E58BF0E">
            <w:pPr>
              <w:pStyle w:val="2191"/>
              <w:rPr>
                <w:color w:val="000000"/>
                <w:szCs w:val="21"/>
              </w:rPr>
            </w:pPr>
          </w:p>
        </w:tc>
        <w:tc>
          <w:tcPr>
            <w:tcW w:w="1057" w:type="pct"/>
            <w:gridSpan w:val="2"/>
            <w:tcBorders>
              <w:tl2br w:val="nil"/>
              <w:tr2bl w:val="nil"/>
            </w:tcBorders>
            <w:vAlign w:val="center"/>
          </w:tcPr>
          <w:p w14:paraId="28F22A1E">
            <w:pPr>
              <w:pStyle w:val="2191"/>
              <w:rPr>
                <w:color w:val="000000"/>
                <w:szCs w:val="21"/>
              </w:rPr>
            </w:pPr>
            <w:r>
              <w:rPr>
                <w:color w:val="000000"/>
                <w:szCs w:val="21"/>
              </w:rPr>
              <w:t>危险固废</w:t>
            </w:r>
          </w:p>
        </w:tc>
        <w:tc>
          <w:tcPr>
            <w:tcW w:w="652" w:type="pct"/>
            <w:tcBorders>
              <w:tl2br w:val="nil"/>
              <w:tr2bl w:val="nil"/>
            </w:tcBorders>
            <w:vAlign w:val="center"/>
          </w:tcPr>
          <w:p w14:paraId="67456FA5">
            <w:pPr>
              <w:pStyle w:val="2191"/>
              <w:rPr>
                <w:color w:val="000000"/>
                <w:szCs w:val="21"/>
              </w:rPr>
            </w:pPr>
            <w:r>
              <w:rPr>
                <w:rFonts w:hint="eastAsia"/>
                <w:color w:val="000000"/>
                <w:szCs w:val="21"/>
              </w:rPr>
              <w:t>3.7</w:t>
            </w:r>
          </w:p>
        </w:tc>
        <w:tc>
          <w:tcPr>
            <w:tcW w:w="692" w:type="pct"/>
            <w:tcBorders>
              <w:tl2br w:val="nil"/>
              <w:tr2bl w:val="nil"/>
            </w:tcBorders>
            <w:vAlign w:val="center"/>
          </w:tcPr>
          <w:p w14:paraId="5597F020">
            <w:pPr>
              <w:pStyle w:val="2191"/>
              <w:rPr>
                <w:color w:val="000000"/>
                <w:szCs w:val="21"/>
              </w:rPr>
            </w:pPr>
            <w:r>
              <w:rPr>
                <w:color w:val="000000"/>
                <w:szCs w:val="21"/>
              </w:rPr>
              <w:t>0.4135</w:t>
            </w:r>
          </w:p>
        </w:tc>
        <w:tc>
          <w:tcPr>
            <w:tcW w:w="692" w:type="pct"/>
            <w:tcBorders>
              <w:tl2br w:val="nil"/>
              <w:tr2bl w:val="nil"/>
            </w:tcBorders>
            <w:vAlign w:val="center"/>
          </w:tcPr>
          <w:p w14:paraId="3AA64AE0">
            <w:pPr>
              <w:pStyle w:val="2191"/>
              <w:rPr>
                <w:color w:val="000000"/>
                <w:szCs w:val="21"/>
              </w:rPr>
            </w:pPr>
            <w:r>
              <w:rPr>
                <w:color w:val="000000"/>
                <w:szCs w:val="21"/>
              </w:rPr>
              <w:t>0</w:t>
            </w:r>
          </w:p>
        </w:tc>
        <w:tc>
          <w:tcPr>
            <w:tcW w:w="1287" w:type="dxa"/>
            <w:tcBorders>
              <w:tl2br w:val="nil"/>
              <w:tr2bl w:val="nil"/>
            </w:tcBorders>
            <w:vAlign w:val="bottom"/>
          </w:tcPr>
          <w:p w14:paraId="5A276A44">
            <w:pPr>
              <w:pStyle w:val="2191"/>
              <w:rPr>
                <w:color w:val="000000"/>
                <w:szCs w:val="21"/>
              </w:rPr>
            </w:pPr>
            <w:r>
              <w:rPr>
                <w:rFonts w:hint="eastAsia"/>
                <w:color w:val="000000"/>
                <w:szCs w:val="21"/>
              </w:rPr>
              <w:t>4.1135</w:t>
            </w:r>
          </w:p>
        </w:tc>
        <w:tc>
          <w:tcPr>
            <w:tcW w:w="777" w:type="pct"/>
            <w:tcBorders>
              <w:tl2br w:val="nil"/>
              <w:tr2bl w:val="nil"/>
            </w:tcBorders>
            <w:vAlign w:val="center"/>
          </w:tcPr>
          <w:p w14:paraId="100B1769">
            <w:pPr>
              <w:pStyle w:val="2191"/>
              <w:rPr>
                <w:color w:val="000000"/>
                <w:szCs w:val="21"/>
              </w:rPr>
            </w:pPr>
            <w:r>
              <w:rPr>
                <w:color w:val="000000"/>
                <w:szCs w:val="21"/>
              </w:rPr>
              <w:t>+0.4135</w:t>
            </w:r>
          </w:p>
        </w:tc>
      </w:tr>
    </w:tbl>
    <w:p w14:paraId="1C1D8C23">
      <w:pPr>
        <w:keepNext/>
        <w:keepLines/>
        <w:spacing w:line="240" w:lineRule="atLeast"/>
        <w:rPr>
          <w:color w:val="000000"/>
          <w:sz w:val="21"/>
        </w:rPr>
      </w:pPr>
      <w:r>
        <w:rPr>
          <w:color w:val="000000"/>
          <w:sz w:val="21"/>
        </w:rPr>
        <w:t>备注：①现有工程排放量来源于原环评及批复的量；</w:t>
      </w:r>
    </w:p>
    <w:p w14:paraId="54D846FD">
      <w:pPr>
        <w:keepNext/>
        <w:keepLines/>
        <w:spacing w:line="240" w:lineRule="atLeast"/>
        <w:rPr>
          <w:color w:val="000000"/>
          <w:sz w:val="21"/>
        </w:rPr>
      </w:pPr>
      <w:r>
        <w:rPr>
          <w:color w:val="000000"/>
          <w:sz w:val="21"/>
        </w:rPr>
        <w:t>②废水量为排入环境的量。</w:t>
      </w:r>
    </w:p>
    <w:p w14:paraId="5146C0A8">
      <w:pPr>
        <w:pStyle w:val="770"/>
        <w:rPr>
          <w:bCs w:val="0"/>
          <w:color w:val="000000"/>
        </w:rPr>
      </w:pPr>
      <w:bookmarkStart w:id="404" w:name="_Toc11111"/>
      <w:r>
        <w:rPr>
          <w:bCs w:val="0"/>
          <w:color w:val="000000"/>
        </w:rPr>
        <w:t>3.3清洁生产</w:t>
      </w:r>
      <w:bookmarkEnd w:id="404"/>
    </w:p>
    <w:p w14:paraId="20249E06">
      <w:pPr>
        <w:pStyle w:val="206"/>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推行清洁生产、实施可持续发展战略，是我国经济建设应遵循的根本方针，也是工业污染防治的基本原则和根本任务，清洁生产的实质就是在生产发展的过程中，坚持采用新工艺、新技术，通过生产全过程的控制和资源、能源的合理配置，最大限度地把原料转化为产品，把污染消灭在生产过程中，从而达到节能、降耗、减污、增效的目的，实现经济建设与环境保护的协调发展。</w:t>
      </w:r>
    </w:p>
    <w:p w14:paraId="03A66B08">
      <w:pPr>
        <w:pStyle w:val="206"/>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根据上述清洁生产的基本原则，本评价将生产工艺与装备要求、资源能源利用指标、产品指标、污染物产生指标、废物回收利用指标等方面进行综合分析。</w:t>
      </w:r>
    </w:p>
    <w:p w14:paraId="28D9087C">
      <w:pPr>
        <w:pStyle w:val="771"/>
        <w:rPr>
          <w:color w:val="000000"/>
        </w:rPr>
      </w:pPr>
      <w:r>
        <w:rPr>
          <w:color w:val="000000"/>
        </w:rPr>
        <w:t>3.3.1生产工艺与装备要求</w:t>
      </w:r>
    </w:p>
    <w:p w14:paraId="0993FC5F">
      <w:pPr>
        <w:ind w:firstLine="480" w:firstLineChars="200"/>
        <w:rPr>
          <w:color w:val="000000"/>
        </w:rPr>
      </w:pPr>
      <w:r>
        <w:rPr>
          <w:color w:val="000000"/>
        </w:rPr>
        <w:t>本项目BOG尾气提氦装置工艺路线为BOG尾气→催化燃烧脱氢→压缩脱碳干燥→深冷分离→膜分离→低温精制→装瓶（99.999%（摩尔比）氦气产品），为国内先进设备和工艺，采用分散控制系统（DCS）、安全仪表系统（SIS）、可燃气体/有毒气体检测系统（GDS）、在线分析仪系统（PAS）、设备包控制系统（PLC）控制，可实现整体系统长时间稳定运行，生产设备技术性能达到国内先进水平。</w:t>
      </w:r>
    </w:p>
    <w:p w14:paraId="1E09DC60">
      <w:pPr>
        <w:outlineLvl w:val="2"/>
        <w:rPr>
          <w:color w:val="000000"/>
          <w:szCs w:val="24"/>
        </w:rPr>
      </w:pPr>
      <w:r>
        <w:rPr>
          <w:color w:val="000000"/>
          <w:szCs w:val="24"/>
        </w:rPr>
        <w:t>3.3.2资源能源利用指标</w:t>
      </w:r>
    </w:p>
    <w:p w14:paraId="73B8E835">
      <w:pPr>
        <w:ind w:firstLine="480"/>
        <w:rPr>
          <w:color w:val="000000"/>
          <w:szCs w:val="20"/>
        </w:rPr>
      </w:pPr>
      <w:r>
        <w:rPr>
          <w:color w:val="000000"/>
          <w:szCs w:val="20"/>
        </w:rPr>
        <w:t>本项目主要使用LNG工厂LNG储罐产生的闪蒸汽（即BOG尾气），外购液氮、液氧，对BOG尾气进行了综合利用，不直接使用天然气，减少了能源消耗，另外项目主要使用电、冷却循环水，循环水可</w:t>
      </w:r>
      <w:r>
        <w:rPr>
          <w:color w:val="000000"/>
        </w:rPr>
        <w:t>实现资源综合利用，电力购入约1219万kW.h/a，折标煤150吨标煤/年</w:t>
      </w:r>
      <w:r>
        <w:rPr>
          <w:color w:val="000000"/>
          <w:szCs w:val="20"/>
        </w:rPr>
        <w:t>，远小于“两高行业”（当量值在5000吨标准煤及以上）指标要求。</w:t>
      </w:r>
    </w:p>
    <w:p w14:paraId="7699957D">
      <w:pPr>
        <w:outlineLvl w:val="2"/>
        <w:rPr>
          <w:color w:val="000000"/>
        </w:rPr>
      </w:pPr>
      <w:r>
        <w:rPr>
          <w:color w:val="000000"/>
        </w:rPr>
        <w:t>3.3.3产品指标</w:t>
      </w:r>
    </w:p>
    <w:p w14:paraId="386B9CC7">
      <w:pPr>
        <w:ind w:firstLine="480"/>
        <w:rPr>
          <w:color w:val="000000"/>
          <w:szCs w:val="20"/>
        </w:rPr>
      </w:pPr>
      <w:r>
        <w:rPr>
          <w:color w:val="000000"/>
          <w:szCs w:val="20"/>
        </w:rPr>
        <w:t>本项目产品为高纯氦气，产品质量符合5N级氦气标准，具有清洁生产性。</w:t>
      </w:r>
    </w:p>
    <w:p w14:paraId="39FE931D">
      <w:pPr>
        <w:pStyle w:val="131"/>
        <w:adjustRightInd w:val="0"/>
        <w:snapToGrid w:val="0"/>
        <w:outlineLvl w:val="2"/>
        <w:rPr>
          <w:rFonts w:ascii="Times New Roman"/>
        </w:rPr>
      </w:pPr>
      <w:r>
        <w:rPr>
          <w:rFonts w:ascii="Times New Roman"/>
        </w:rPr>
        <w:t>3.3.4污染物产生指标</w:t>
      </w:r>
    </w:p>
    <w:p w14:paraId="134998A2">
      <w:pPr>
        <w:ind w:firstLine="480"/>
        <w:rPr>
          <w:color w:val="000000"/>
        </w:rPr>
      </w:pPr>
      <w:r>
        <w:rPr>
          <w:color w:val="000000"/>
          <w:szCs w:val="24"/>
        </w:rPr>
        <w:t>本项目</w:t>
      </w:r>
      <w:r>
        <w:rPr>
          <w:color w:val="000000"/>
        </w:rPr>
        <w:t>采用成熟的分离工艺组合，实现了高回收率和高效率，废水、废气污染物排放量小。项目排放的氮气等，基本无污染，直接排空，项目其他工艺废气采用火炬燃烧，</w:t>
      </w:r>
      <w:r>
        <w:rPr>
          <w:color w:val="000000"/>
          <w:szCs w:val="24"/>
        </w:rPr>
        <w:t>废气、废水及噪声治理措施成熟可靠、运行稳定，可实现污染物的达标排放；采取的固体废物处置措施合理可行，不会造成二次污染。</w:t>
      </w:r>
    </w:p>
    <w:p w14:paraId="41470311">
      <w:pPr>
        <w:pStyle w:val="17"/>
        <w:spacing w:line="360" w:lineRule="auto"/>
        <w:ind w:left="0" w:leftChars="0" w:firstLine="0" w:firstLineChars="0"/>
        <w:outlineLvl w:val="2"/>
        <w:rPr>
          <w:color w:val="000000"/>
          <w:sz w:val="24"/>
        </w:rPr>
      </w:pPr>
      <w:r>
        <w:rPr>
          <w:color w:val="000000"/>
          <w:sz w:val="24"/>
        </w:rPr>
        <w:t>3.3.5废物回收利用指标</w:t>
      </w:r>
    </w:p>
    <w:p w14:paraId="1EE4B99E">
      <w:pPr>
        <w:ind w:firstLine="480" w:firstLineChars="200"/>
        <w:rPr>
          <w:color w:val="000000"/>
        </w:rPr>
      </w:pPr>
      <w:r>
        <w:rPr>
          <w:color w:val="000000"/>
        </w:rPr>
        <w:t>本项目原料为</w:t>
      </w:r>
      <w:r>
        <w:rPr>
          <w:color w:val="000000"/>
          <w:szCs w:val="20"/>
        </w:rPr>
        <w:t>LNG工厂LNG储罐产生的闪蒸汽（即BOG尾气）</w:t>
      </w:r>
      <w:r>
        <w:rPr>
          <w:color w:val="000000"/>
        </w:rPr>
        <w:t>，本身就实现了废物回收利用，产品为高纯氦气，氦气是一种重要的工业气体，在航空航天、重大科学工程、电子工业、生物医疗等高端技术领域和核武器制造等方面具有不可替代的作用，有助于科研的发展。项目产生废气、废水量较少，一般固废可综合利用。</w:t>
      </w:r>
    </w:p>
    <w:p w14:paraId="7F7B2073">
      <w:pPr>
        <w:ind w:firstLine="480"/>
        <w:rPr>
          <w:color w:val="000000"/>
        </w:rPr>
      </w:pPr>
      <w:r>
        <w:rPr>
          <w:color w:val="000000"/>
          <w:szCs w:val="20"/>
        </w:rPr>
        <w:t>综上所述，</w:t>
      </w:r>
      <w:r>
        <w:rPr>
          <w:color w:val="000000"/>
        </w:rPr>
        <w:t>本项目采用BOG尾气作为原料气变废为宝，原料和产品均具有清洁生产性。项目采用的生产工艺和设备为行业先进的生产工艺、设备。同时自动控制水平较高，项目生产具有环保低污染特点，废水、废气污染物排放量小，各项污染物均可实现达标排放或妥善处置，其整体清洁生产水平达到国内先进水平</w:t>
      </w:r>
      <w:r>
        <w:rPr>
          <w:color w:val="000000"/>
          <w:szCs w:val="20"/>
        </w:rPr>
        <w:t>。</w:t>
      </w:r>
    </w:p>
    <w:p w14:paraId="4857C25D">
      <w:pPr>
        <w:pStyle w:val="771"/>
        <w:rPr>
          <w:color w:val="000000"/>
        </w:rPr>
      </w:pPr>
      <w:r>
        <w:rPr>
          <w:color w:val="000000"/>
        </w:rPr>
        <w:t>3.3.6进一步实施清洁生产的途径</w:t>
      </w:r>
    </w:p>
    <w:p w14:paraId="549C7F36">
      <w:pPr>
        <w:ind w:firstLine="480"/>
        <w:rPr>
          <w:color w:val="000000"/>
          <w:szCs w:val="20"/>
        </w:rPr>
      </w:pPr>
      <w:r>
        <w:rPr>
          <w:color w:val="000000"/>
          <w:szCs w:val="20"/>
        </w:rPr>
        <w:t>加强员工的清洁生产知识培训，提高员工的操作技术水平和责任意识；关注同行业的先进的清洁生产措施及管理体系，持续改进。</w:t>
      </w:r>
    </w:p>
    <w:p w14:paraId="4C1A6649">
      <w:pPr>
        <w:ind w:firstLine="480"/>
        <w:rPr>
          <w:color w:val="000000"/>
          <w:szCs w:val="20"/>
        </w:rPr>
      </w:pPr>
    </w:p>
    <w:p w14:paraId="55F51FC9">
      <w:pPr>
        <w:ind w:firstLine="480"/>
        <w:rPr>
          <w:color w:val="000000"/>
          <w:szCs w:val="20"/>
        </w:rPr>
      </w:pPr>
    </w:p>
    <w:p w14:paraId="02AEF46C">
      <w:pPr>
        <w:pStyle w:val="6"/>
        <w:rPr>
          <w:rFonts w:ascii="Times New Roman" w:hAnsi="Times New Roman"/>
          <w:color w:val="000000"/>
        </w:rPr>
        <w:sectPr>
          <w:pgSz w:w="11905" w:h="16838"/>
          <w:pgMar w:top="1440" w:right="1531" w:bottom="1440" w:left="1531" w:header="850" w:footer="907" w:gutter="0"/>
          <w:cols w:space="720" w:num="1"/>
          <w:docGrid w:type="lines" w:linePitch="332" w:charSpace="0"/>
        </w:sectPr>
      </w:pPr>
    </w:p>
    <w:p w14:paraId="66B5A379">
      <w:pPr>
        <w:pStyle w:val="781"/>
        <w:rPr>
          <w:color w:val="000000"/>
        </w:rPr>
      </w:pPr>
      <w:bookmarkStart w:id="405" w:name="_Toc30846"/>
      <w:r>
        <w:rPr>
          <w:color w:val="000000"/>
        </w:rPr>
        <w:t xml:space="preserve">4 </w:t>
      </w:r>
      <w:bookmarkEnd w:id="1"/>
      <w:r>
        <w:rPr>
          <w:color w:val="000000"/>
        </w:rPr>
        <w:t>环境现状调查与评价</w:t>
      </w:r>
      <w:bookmarkEnd w:id="405"/>
    </w:p>
    <w:p w14:paraId="5A7D9282">
      <w:pPr>
        <w:pStyle w:val="770"/>
        <w:rPr>
          <w:color w:val="000000"/>
        </w:rPr>
      </w:pPr>
      <w:bookmarkStart w:id="406" w:name="_Toc26895338"/>
      <w:bookmarkStart w:id="407" w:name="_Toc499492785"/>
      <w:bookmarkStart w:id="408" w:name="_Toc26773"/>
      <w:bookmarkStart w:id="409" w:name="_Toc504084417"/>
      <w:bookmarkStart w:id="410" w:name="_Toc519673423"/>
      <w:bookmarkStart w:id="411" w:name="_Toc500935230"/>
      <w:r>
        <w:rPr>
          <w:color w:val="000000"/>
        </w:rPr>
        <w:t>4.1 自然环境</w:t>
      </w:r>
      <w:bookmarkEnd w:id="406"/>
      <w:bookmarkEnd w:id="407"/>
      <w:bookmarkEnd w:id="408"/>
      <w:bookmarkEnd w:id="409"/>
      <w:bookmarkEnd w:id="410"/>
      <w:bookmarkEnd w:id="411"/>
    </w:p>
    <w:p w14:paraId="496BADBB">
      <w:pPr>
        <w:pStyle w:val="771"/>
        <w:rPr>
          <w:color w:val="000000"/>
        </w:rPr>
      </w:pPr>
      <w:bookmarkStart w:id="412" w:name="_Toc499492786"/>
      <w:r>
        <w:rPr>
          <w:color w:val="000000"/>
        </w:rPr>
        <w:t>4.1.1 地理位置与交通</w:t>
      </w:r>
      <w:bookmarkEnd w:id="412"/>
    </w:p>
    <w:p w14:paraId="70593416">
      <w:pPr>
        <w:ind w:firstLine="480"/>
        <w:rPr>
          <w:color w:val="000000"/>
        </w:rPr>
      </w:pPr>
      <w:r>
        <w:rPr>
          <w:color w:val="000000"/>
        </w:rPr>
        <w:t>涪陵区位于重庆市东北侧，北纬 29°21′～30°01′之间、东经106°56′～107°43′之间。涪陵区西侧紧邻主城巴南区，距离渝中半岛80km（区政府与市政府距离），西北接长寿区，西南接南川区，东北接渝东北的垫江县与丰都县，东南接渝东南的武隆县。</w:t>
      </w:r>
    </w:p>
    <w:p w14:paraId="24DA0663">
      <w:pPr>
        <w:ind w:firstLine="480"/>
        <w:rPr>
          <w:color w:val="000000"/>
        </w:rPr>
      </w:pPr>
      <w:r>
        <w:rPr>
          <w:color w:val="000000"/>
        </w:rPr>
        <w:t>涪陵在长江上游中部，距宜昌约536km，距三峡大坝约490km，距宜宾约504km。是枯水期5000吨级货轮能够</w:t>
      </w:r>
      <w:r>
        <w:rPr>
          <w:rFonts w:hint="eastAsia"/>
          <w:color w:val="000000"/>
        </w:rPr>
        <w:t>通过</w:t>
      </w:r>
      <w:r>
        <w:rPr>
          <w:color w:val="000000"/>
        </w:rPr>
        <w:t>的最上游港。下行可达武汉、南京、上海等重要城市，可出江达海，与国际城市直接通商。涪陵在成（成都）渝（重庆）经济区的东部，是成渝经济区的东部中心城市。涪陵溯乌江而上可达贵州省沿江各地。</w:t>
      </w:r>
    </w:p>
    <w:p w14:paraId="1AAA0F42">
      <w:pPr>
        <w:ind w:firstLine="480"/>
        <w:rPr>
          <w:color w:val="000000"/>
        </w:rPr>
      </w:pPr>
      <w:r>
        <w:rPr>
          <w:color w:val="000000"/>
        </w:rPr>
        <w:t>白涛化工园区位于涪陵区白涛街道，是重庆市重点打造的两大化工基地之一，地处乌江东岸，距白涛老街1.5km（直线距离），新街约2.5km（乌江西岸），距涪陵城区约26km，距在建的渝怀铁路白涛火车站约3km，距其现有码头作业区约1km。</w:t>
      </w:r>
    </w:p>
    <w:p w14:paraId="3589C0C1">
      <w:pPr>
        <w:ind w:firstLine="480"/>
        <w:rPr>
          <w:color w:val="000000"/>
        </w:rPr>
      </w:pPr>
      <w:r>
        <w:rPr>
          <w:color w:val="000000"/>
        </w:rPr>
        <w:t>本项目位于重庆白涛化工园区（现涪陵LNG工厂厂区内），地理位置见附图1。</w:t>
      </w:r>
    </w:p>
    <w:p w14:paraId="2B8DF196">
      <w:pPr>
        <w:pStyle w:val="771"/>
        <w:rPr>
          <w:color w:val="000000"/>
        </w:rPr>
      </w:pPr>
      <w:bookmarkStart w:id="413" w:name="_Toc499492787"/>
      <w:r>
        <w:rPr>
          <w:color w:val="000000"/>
        </w:rPr>
        <w:t>4.1.2 地形、地貌</w:t>
      </w:r>
      <w:bookmarkEnd w:id="413"/>
    </w:p>
    <w:p w14:paraId="6FF4B293">
      <w:pPr>
        <w:ind w:firstLine="480"/>
        <w:rPr>
          <w:color w:val="000000"/>
        </w:rPr>
      </w:pPr>
      <w:r>
        <w:rPr>
          <w:color w:val="000000"/>
        </w:rPr>
        <w:t>涪陵地处渝东平行岭谷区，地形以丘陵为主，地面坡度10°~25°。按其外观形态，可以分为山地、丘陵、平坝、阶地等7个基本类型，以山地、丘陵为主，占总面积的82.5％。</w:t>
      </w:r>
    </w:p>
    <w:p w14:paraId="4249A297">
      <w:pPr>
        <w:ind w:firstLine="480"/>
        <w:rPr>
          <w:color w:val="000000"/>
        </w:rPr>
      </w:pPr>
      <w:r>
        <w:rPr>
          <w:color w:val="000000"/>
        </w:rPr>
        <w:t>园区地处川东盆地东南边缘的金子山北麓，其东南属武陵山系，东北为铜矿山系。乌江由南东流经白涛街道折转，由南向北流，最枯水位148.35m，最小水深1.65m。园区系乌江河谷的凹岸，发育有I级阶地，台面高程168～170m，由河流冲积物(Q4a1)的</w:t>
      </w:r>
      <w:r>
        <w:rPr>
          <w:rFonts w:hint="eastAsia"/>
          <w:color w:val="000000"/>
        </w:rPr>
        <w:t>黏土</w:t>
      </w:r>
      <w:r>
        <w:rPr>
          <w:color w:val="000000"/>
        </w:rPr>
        <w:t>、粉质粘土、淤泥质粉质粘土及卵石层组成，构成二元结构。后溪河下游原始河道主河曲形展布，谷底高程150m，后裁弯取直，废弃的谷地人工填土厚达10～20m。</w:t>
      </w:r>
    </w:p>
    <w:p w14:paraId="0002DB95">
      <w:pPr>
        <w:ind w:firstLine="480"/>
        <w:rPr>
          <w:color w:val="000000"/>
        </w:rPr>
      </w:pPr>
      <w:r>
        <w:rPr>
          <w:color w:val="000000"/>
        </w:rPr>
        <w:t>园区内有一条发育较大的冲沟，呈北西一近东西分布，横贯园区至后溪河，宽约5～10m，切割深度大于5m，局部基岩出露，构成天然排水沟。园区南东侧与山体毗连，山体高程430～520m，山体走向为北北东向，山体斜坡坡度大于30°，三迭系基岩裸露，岩层走向北东，倾向北西，倾角20～30°，坡向与岩层倾向一致，呈顺向坡。</w:t>
      </w:r>
    </w:p>
    <w:p w14:paraId="7581E90A">
      <w:pPr>
        <w:pStyle w:val="771"/>
        <w:rPr>
          <w:color w:val="000000"/>
        </w:rPr>
      </w:pPr>
      <w:r>
        <w:rPr>
          <w:color w:val="000000"/>
        </w:rPr>
        <w:t>4.1.3 地质构造</w:t>
      </w:r>
    </w:p>
    <w:p w14:paraId="70CB0AD5">
      <w:pPr>
        <w:ind w:firstLine="480"/>
        <w:rPr>
          <w:color w:val="000000"/>
        </w:rPr>
      </w:pPr>
      <w:r>
        <w:rPr>
          <w:color w:val="000000"/>
        </w:rPr>
        <w:t>涪陵区地质构造属于新华厦构造体系，出露岩层为基岩、砂岩、页岩及灰岩。岩层地质属侏罗系珍珠沉淀和自流井沉积的泥（页）岩和突砂岩组成，场地处于自然稳定状态，周围未发现构造裂缝和滑坡迹象及其他不利于项目建设的地质问题。</w:t>
      </w:r>
    </w:p>
    <w:p w14:paraId="7662CBE2">
      <w:pPr>
        <w:ind w:firstLine="480"/>
        <w:rPr>
          <w:color w:val="000000"/>
        </w:rPr>
      </w:pPr>
      <w:r>
        <w:rPr>
          <w:color w:val="000000"/>
        </w:rPr>
        <w:t>园区构造为上扬子台褶带(又称八面山弧台褶带)的川东褶皱带，由一系列走向北北东、北东向的褶皱和断裂组成，背斜紧密狭长，向斜宽缓。园区规划范围位于区域向斜构造南东翼的单斜构造上由三迭系于下统嘉陵江组(T1j)及中统雷口坡组(T2L)碳酸盐岩夹碎小岩组成。园区内分布有第四系松散堆积物及三迭系中、下统碳酸盐岩与碎屑岩，现将岩层自老至新简述如下：</w:t>
      </w:r>
    </w:p>
    <w:p w14:paraId="30E42559">
      <w:pPr>
        <w:ind w:firstLine="480"/>
        <w:rPr>
          <w:color w:val="000000"/>
        </w:rPr>
      </w:pPr>
      <w:r>
        <w:rPr>
          <w:color w:val="000000"/>
        </w:rPr>
        <w:t>①三迭系下统嘉陵江组(T1j)</w:t>
      </w:r>
    </w:p>
    <w:p w14:paraId="0092F3E5">
      <w:pPr>
        <w:ind w:firstLine="480"/>
        <w:rPr>
          <w:color w:val="000000"/>
        </w:rPr>
      </w:pPr>
      <w:r>
        <w:rPr>
          <w:color w:val="000000"/>
        </w:rPr>
        <w:t>分布于园区及南东部山地。园区所辖地段根据区域地层对比，属于嘉陵江组第四段(T1j)，岩性为浅灰色中一厚白云质灰岩、石灰岩夹薄层页岩，泥灰岩、灰色溶崩角砾岩，偶见石膏假晶白云岩。厚度91～490m。</w:t>
      </w:r>
    </w:p>
    <w:p w14:paraId="199B074D">
      <w:pPr>
        <w:ind w:firstLine="480"/>
        <w:rPr>
          <w:color w:val="000000"/>
        </w:rPr>
      </w:pPr>
      <w:r>
        <w:rPr>
          <w:color w:val="000000"/>
        </w:rPr>
        <w:t>②三迭系中统雷口坡组(T1L)</w:t>
      </w:r>
    </w:p>
    <w:p w14:paraId="0DB6CA64">
      <w:pPr>
        <w:ind w:firstLine="480"/>
        <w:rPr>
          <w:color w:val="000000"/>
        </w:rPr>
      </w:pPr>
      <w:r>
        <w:rPr>
          <w:color w:val="000000"/>
        </w:rPr>
        <w:t>根据区域地层对比，为雷口坡组第一级(T12L)，厚14～180m。分布于灰场及01、02、03码头一带。岩性下部为灰一浅灰色中一厚层灰岩、泥质灰岩、白云质灰岩，中上部为黄绿色薄层钙质页岩、砂质页岩。</w:t>
      </w:r>
    </w:p>
    <w:p w14:paraId="04F17F63">
      <w:pPr>
        <w:ind w:firstLine="480"/>
        <w:rPr>
          <w:color w:val="000000"/>
        </w:rPr>
      </w:pPr>
      <w:r>
        <w:rPr>
          <w:color w:val="000000"/>
        </w:rPr>
        <w:t>③第四系松散堆积物(Q)</w:t>
      </w:r>
    </w:p>
    <w:p w14:paraId="58DB19E6">
      <w:pPr>
        <w:ind w:firstLine="480"/>
        <w:rPr>
          <w:color w:val="000000"/>
        </w:rPr>
      </w:pPr>
      <w:r>
        <w:rPr>
          <w:color w:val="000000"/>
        </w:rPr>
        <w:t>该类型广布于规划区域内，按成因类型及物质组成分述如下：</w:t>
      </w:r>
    </w:p>
    <w:p w14:paraId="7FA34AEF">
      <w:pPr>
        <w:ind w:firstLine="480"/>
        <w:rPr>
          <w:color w:val="000000"/>
        </w:rPr>
      </w:pPr>
      <w:r>
        <w:rPr>
          <w:color w:val="000000"/>
        </w:rPr>
        <w:t>人工填土(杂填土)(KC)：分布较普遍，厚薄变化大，一般2～5m，最厚可达20余米(如后溪河埋藏的老河槽)。主要成分为黄褐色、灰色的灰岩矿渣和建筑垃圾(砂卵石、砖瓦碎块)、天然气渣、混有</w:t>
      </w:r>
      <w:r>
        <w:rPr>
          <w:rFonts w:hint="eastAsia"/>
          <w:color w:val="000000"/>
        </w:rPr>
        <w:t>黏性</w:t>
      </w:r>
      <w:r>
        <w:rPr>
          <w:color w:val="000000"/>
        </w:rPr>
        <w:t>土，结构松散，极不均一，成分复杂。</w:t>
      </w:r>
    </w:p>
    <w:p w14:paraId="0B2CB853">
      <w:pPr>
        <w:ind w:firstLine="480"/>
        <w:rPr>
          <w:color w:val="000000"/>
        </w:rPr>
      </w:pPr>
      <w:r>
        <w:rPr>
          <w:color w:val="000000"/>
        </w:rPr>
        <w:t>粘土(Q4a1)：为河流冲积的粘土，较广泛分布于工程场地及灰场一带。岩性为黄色、黄褐色粘土，稍湿至湿，密实至中密，可塑至硬塑，含少量灰岩碎屑，成分较均一，呈层状或透镜状分布。厚度一般3～5m，最厚达10m。</w:t>
      </w:r>
    </w:p>
    <w:p w14:paraId="65B9FB01">
      <w:pPr>
        <w:ind w:firstLine="480"/>
        <w:rPr>
          <w:color w:val="000000"/>
        </w:rPr>
      </w:pPr>
      <w:r>
        <w:rPr>
          <w:color w:val="000000"/>
        </w:rPr>
        <w:t>粉质粘土(Q4a1)：本层与上述粘土层呈过渡渐变，岩性为黄褐、灰褐色粉质粘</w:t>
      </w:r>
      <w:r>
        <w:rPr>
          <w:rFonts w:hint="eastAsia"/>
          <w:color w:val="000000"/>
          <w:lang w:eastAsia="zh-CN"/>
        </w:rPr>
        <w:t>土</w:t>
      </w:r>
      <w:r>
        <w:rPr>
          <w:color w:val="000000"/>
        </w:rPr>
        <w:t>(原称“亚粘土，)，稍湿至湿，中密，可塑至硬塑。厚度一般2～3m，最厚6.25m。</w:t>
      </w:r>
    </w:p>
    <w:p w14:paraId="42D05626">
      <w:pPr>
        <w:ind w:firstLine="480"/>
        <w:rPr>
          <w:color w:val="000000"/>
        </w:rPr>
      </w:pPr>
      <w:r>
        <w:rPr>
          <w:color w:val="000000"/>
        </w:rPr>
        <w:t>淤泥质粉质粘土(Q4a1)：为灰色、深灰色含</w:t>
      </w:r>
      <w:r>
        <w:rPr>
          <w:rFonts w:hint="eastAsia"/>
          <w:color w:val="000000"/>
          <w:lang w:eastAsia="zh-CN"/>
        </w:rPr>
        <w:t>腐殖质</w:t>
      </w:r>
      <w:r>
        <w:rPr>
          <w:color w:val="000000"/>
        </w:rPr>
        <w:t>的粉质粘土，湿至饱和，中密，可塑至软塑，有臭味，含小碎石及砂粒，土质较均一，呈层状或透镜状分布，厚度一般1.5～5m，最厚达6m。</w:t>
      </w:r>
    </w:p>
    <w:p w14:paraId="36257076">
      <w:pPr>
        <w:ind w:firstLine="480"/>
        <w:rPr>
          <w:color w:val="000000"/>
        </w:rPr>
      </w:pPr>
      <w:r>
        <w:rPr>
          <w:color w:val="000000"/>
        </w:rPr>
        <w:t>粘土夹碎块石(Q3c1_d1)：灰黄、黄褐色粘土，混有含量不等的碎块石。上部粘上夹少量碎块石，下部含量较多，碎块石为灰岩、页岩、泥灰岩组成，块径不等，棱角明显。风化残积一坡积物，分布普遍，主要分布于远离河岸的台面上。</w:t>
      </w:r>
    </w:p>
    <w:p w14:paraId="7A23C0C4">
      <w:pPr>
        <w:ind w:firstLine="480"/>
        <w:rPr>
          <w:color w:val="000000"/>
        </w:rPr>
      </w:pPr>
      <w:r>
        <w:rPr>
          <w:color w:val="000000"/>
        </w:rPr>
        <w:t>碎块石(Q4co1)：主要为大块石、碎石崩积物，成分为泥质灰岩，块径不等，大者大于1m，小者仅数厘米，混有少量粘性土，分布不普遍。</w:t>
      </w:r>
    </w:p>
    <w:p w14:paraId="52CD9FED">
      <w:pPr>
        <w:ind w:firstLine="480"/>
        <w:rPr>
          <w:color w:val="000000"/>
        </w:rPr>
      </w:pPr>
      <w:r>
        <w:rPr>
          <w:color w:val="000000"/>
        </w:rPr>
        <w:t>卵石层(Q4a1)：为河流冲积的卵石层．分布于乌江岸边，埋藏于</w:t>
      </w:r>
      <w:r>
        <w:rPr>
          <w:rFonts w:hint="eastAsia"/>
          <w:color w:val="000000"/>
          <w:lang w:eastAsia="zh-CN"/>
        </w:rPr>
        <w:t>粉质粘土</w:t>
      </w:r>
      <w:r>
        <w:rPr>
          <w:color w:val="000000"/>
        </w:rPr>
        <w:t>之下，卵石成分为灰岩、砂岩，粒径一枚5cm左右，大者大于l1cm，呈次园状，含较多砂，结构松散，钻探难钻进，钻孔揭露厚度为0.44～3m。分布高程139.94～143.9m间。</w:t>
      </w:r>
    </w:p>
    <w:p w14:paraId="6F03A653">
      <w:pPr>
        <w:pStyle w:val="771"/>
        <w:rPr>
          <w:color w:val="000000"/>
        </w:rPr>
      </w:pPr>
      <w:bookmarkStart w:id="414" w:name="_Toc499492788"/>
      <w:bookmarkStart w:id="415" w:name="_Toc499492789"/>
      <w:r>
        <w:rPr>
          <w:color w:val="000000"/>
        </w:rPr>
        <w:t>4.1.4 气候与气象</w:t>
      </w:r>
      <w:bookmarkEnd w:id="414"/>
    </w:p>
    <w:p w14:paraId="3A13FFD5">
      <w:pPr>
        <w:ind w:firstLine="480"/>
        <w:rPr>
          <w:color w:val="000000"/>
        </w:rPr>
      </w:pPr>
      <w:r>
        <w:rPr>
          <w:color w:val="000000"/>
        </w:rPr>
        <w:t>涪陵区属中亚热带湿润季风气候，其特点是气候温和，无霜期长，雨量充沛，日照不足，四季分明。根据涪陵区多年气象观测资料，年平均气温18.1℃，极端最高气温45.2℃，极端最低气温-5.7℃。年均降水量1075.3mm，年均相对湿度79％，年平均日照时数为1248h。区域全年主导风向为NE，年均频率为9.69%；次主导风向为NNE，频率为7.30%。年平均风速0.6m/s，静风频率高，平均风速小，不利于大气扩散。</w:t>
      </w:r>
    </w:p>
    <w:p w14:paraId="71E4A317">
      <w:pPr>
        <w:ind w:firstLine="480"/>
        <w:rPr>
          <w:color w:val="000000"/>
        </w:rPr>
      </w:pPr>
      <w:r>
        <w:rPr>
          <w:color w:val="000000"/>
        </w:rPr>
        <w:t>区内多年平均气温18.1℃，年际间变化幅度在1～1.5℃之间，极端最高气温为42.2℃(1985.8.19，1972.8.26)，最低为-2.7℃(1962.1.3)。多年平均日照数为1248.1小时，最多日照数为1549.2小时(1956年)，最少日照数为914.7小时(1982年)。相对湿度多年平均值为79%，无霜期历年平均值为317.4天，最长为353天(1981年)，最短为282天(1962年)。</w:t>
      </w:r>
    </w:p>
    <w:p w14:paraId="5E0E79D5">
      <w:pPr>
        <w:pStyle w:val="771"/>
        <w:rPr>
          <w:color w:val="000000"/>
        </w:rPr>
      </w:pPr>
      <w:r>
        <w:rPr>
          <w:color w:val="000000"/>
        </w:rPr>
        <w:t xml:space="preserve">4.1.5 </w:t>
      </w:r>
      <w:bookmarkEnd w:id="415"/>
      <w:r>
        <w:rPr>
          <w:color w:val="000000"/>
        </w:rPr>
        <w:t>地表水</w:t>
      </w:r>
    </w:p>
    <w:p w14:paraId="7D0871E9">
      <w:pPr>
        <w:ind w:firstLine="480"/>
        <w:rPr>
          <w:color w:val="000000"/>
        </w:rPr>
      </w:pPr>
      <w:r>
        <w:rPr>
          <w:color w:val="000000"/>
        </w:rPr>
        <w:t>乌江为长江上游主要的支流之一，于白沙沱入区境，经白涛于涪陵城大东门处注入长江。乌江全长1050km，流域总面积88200km</w:t>
      </w:r>
      <w:r>
        <w:rPr>
          <w:color w:val="000000"/>
          <w:vertAlign w:val="superscript"/>
        </w:rPr>
        <w:t>2</w:t>
      </w:r>
      <w:r>
        <w:rPr>
          <w:color w:val="000000"/>
        </w:rPr>
        <w:t>，在涪陵境内流域面积907km2，长31km，河床平均宽度274m，终年通航，水量充沛，根据乌江武隆水文站多年资料统计，年平均流量1554m</w:t>
      </w:r>
      <w:r>
        <w:rPr>
          <w:color w:val="000000"/>
          <w:vertAlign w:val="superscript"/>
        </w:rPr>
        <w:t>3</w:t>
      </w:r>
      <w:r>
        <w:rPr>
          <w:color w:val="000000"/>
        </w:rPr>
        <w:t>/s，最大流量15790m</w:t>
      </w:r>
      <w:r>
        <w:rPr>
          <w:color w:val="000000"/>
          <w:vertAlign w:val="superscript"/>
        </w:rPr>
        <w:t>3</w:t>
      </w:r>
      <w:r>
        <w:rPr>
          <w:color w:val="000000"/>
        </w:rPr>
        <w:t>/s，最小流量315m</w:t>
      </w:r>
      <w:r>
        <w:rPr>
          <w:color w:val="000000"/>
          <w:vertAlign w:val="superscript"/>
        </w:rPr>
        <w:t>3</w:t>
      </w:r>
      <w:r>
        <w:rPr>
          <w:color w:val="000000"/>
        </w:rPr>
        <w:t>/s，平均流速1.03m</w:t>
      </w:r>
      <w:r>
        <w:rPr>
          <w:color w:val="000000"/>
          <w:vertAlign w:val="superscript"/>
        </w:rPr>
        <w:t>3</w:t>
      </w:r>
      <w:r>
        <w:rPr>
          <w:color w:val="000000"/>
        </w:rPr>
        <w:t>/s，洪、枯水位落差很大，历年平均水位为149.8m。三峡工程建成库区水位提高后，乌江最高洪水位为187m。</w:t>
      </w:r>
    </w:p>
    <w:p w14:paraId="1ACBAFC9">
      <w:pPr>
        <w:ind w:firstLine="480"/>
        <w:rPr>
          <w:color w:val="000000"/>
        </w:rPr>
      </w:pPr>
      <w:r>
        <w:rPr>
          <w:color w:val="000000"/>
        </w:rPr>
        <w:t>园区内后溪河流入乌江。后溪河是乌江的支流之一，河流长度20km，流域面积124km</w:t>
      </w:r>
      <w:r>
        <w:rPr>
          <w:color w:val="000000"/>
          <w:vertAlign w:val="superscript"/>
        </w:rPr>
        <w:t>2</w:t>
      </w:r>
      <w:r>
        <w:rPr>
          <w:color w:val="000000"/>
        </w:rPr>
        <w:t>，最大流量97.4m</w:t>
      </w:r>
      <w:r>
        <w:rPr>
          <w:color w:val="000000"/>
          <w:vertAlign w:val="superscript"/>
        </w:rPr>
        <w:t>3</w:t>
      </w:r>
      <w:r>
        <w:rPr>
          <w:color w:val="000000"/>
        </w:rPr>
        <w:t>/s，历年平均流量3.16m</w:t>
      </w:r>
      <w:r>
        <w:rPr>
          <w:color w:val="000000"/>
          <w:vertAlign w:val="superscript"/>
        </w:rPr>
        <w:t>3</w:t>
      </w:r>
      <w:r>
        <w:rPr>
          <w:color w:val="000000"/>
        </w:rPr>
        <w:t>/s，百年一遇洪峰流量308m</w:t>
      </w:r>
      <w:r>
        <w:rPr>
          <w:color w:val="000000"/>
          <w:vertAlign w:val="superscript"/>
        </w:rPr>
        <w:t>3</w:t>
      </w:r>
      <w:r>
        <w:rPr>
          <w:color w:val="000000"/>
        </w:rPr>
        <w:t>/s，百年一遇洪水水位178.3m。</w:t>
      </w:r>
    </w:p>
    <w:p w14:paraId="3CB13B3C">
      <w:pPr>
        <w:pStyle w:val="771"/>
        <w:rPr>
          <w:color w:val="000000"/>
        </w:rPr>
      </w:pPr>
      <w:bookmarkStart w:id="416" w:name="_Toc499492790"/>
      <w:r>
        <w:rPr>
          <w:color w:val="000000"/>
        </w:rPr>
        <w:t xml:space="preserve">4.1.6 </w:t>
      </w:r>
      <w:bookmarkEnd w:id="416"/>
      <w:r>
        <w:rPr>
          <w:color w:val="000000"/>
        </w:rPr>
        <w:t>地下水</w:t>
      </w:r>
    </w:p>
    <w:p w14:paraId="21D7DA4F">
      <w:pPr>
        <w:ind w:firstLine="480"/>
        <w:rPr>
          <w:color w:val="000000"/>
        </w:rPr>
      </w:pPr>
      <w:r>
        <w:rPr>
          <w:color w:val="000000"/>
        </w:rPr>
        <w:t>根据《重庆中石化通汇能源有限公司LNG工厂项目）岩土工程勘察报告》中地下水的相关描述：</w:t>
      </w:r>
    </w:p>
    <w:p w14:paraId="4A2822D0">
      <w:pPr>
        <w:pStyle w:val="771"/>
        <w:ind w:firstLine="480" w:firstLineChars="200"/>
        <w:outlineLvl w:val="9"/>
        <w:rPr>
          <w:color w:val="000000"/>
          <w:szCs w:val="21"/>
        </w:rPr>
      </w:pPr>
      <w:r>
        <w:rPr>
          <w:color w:val="000000"/>
          <w:szCs w:val="21"/>
        </w:rPr>
        <w:t>1、地下水类型</w:t>
      </w:r>
    </w:p>
    <w:p w14:paraId="3711096A">
      <w:pPr>
        <w:ind w:firstLine="480"/>
        <w:rPr>
          <w:color w:val="000000"/>
        </w:rPr>
      </w:pPr>
      <w:r>
        <w:rPr>
          <w:color w:val="000000"/>
        </w:rPr>
        <w:t>勘查区地下水赋存形式主要为第四系松散岩类孔隙水、基岩岩溶裂隙水及岩溶管道水（暗河）。</w:t>
      </w:r>
    </w:p>
    <w:p w14:paraId="5BECB002">
      <w:pPr>
        <w:ind w:firstLine="480"/>
        <w:rPr>
          <w:color w:val="000000"/>
        </w:rPr>
      </w:pPr>
      <w:r>
        <w:rPr>
          <w:color w:val="000000"/>
        </w:rPr>
        <w:t>⑴松散岩类孔隙水</w:t>
      </w:r>
    </w:p>
    <w:p w14:paraId="6F9FD990">
      <w:pPr>
        <w:ind w:firstLine="480"/>
        <w:rPr>
          <w:color w:val="000000"/>
        </w:rPr>
      </w:pPr>
      <w:r>
        <w:rPr>
          <w:color w:val="000000"/>
        </w:rPr>
        <w:t>该类地下水赋存于第四系全新统人工填土层、残坡积层中，接受大气降雨补给，向地势较低的斜坡坡脚处排泄，由于该层孔隙率大，透水性好，厚度小，含水性差，水量贫乏，在暴雨后有短暂孔隙水存在。</w:t>
      </w:r>
    </w:p>
    <w:p w14:paraId="3B1C2817">
      <w:pPr>
        <w:ind w:firstLine="480"/>
        <w:rPr>
          <w:color w:val="000000"/>
        </w:rPr>
      </w:pPr>
      <w:r>
        <w:rPr>
          <w:color w:val="000000"/>
        </w:rPr>
        <w:t>⑵基岩岩溶裂隙水</w:t>
      </w:r>
    </w:p>
    <w:p w14:paraId="3B02DA9C">
      <w:pPr>
        <w:ind w:firstLine="480"/>
        <w:rPr>
          <w:color w:val="000000"/>
        </w:rPr>
      </w:pPr>
      <w:r>
        <w:rPr>
          <w:color w:val="000000"/>
        </w:rPr>
        <w:t>勘察区受悦来场向斜影响，岩溶发育状况属开启式岩溶地貌，发育方向与构造展布方向基本一致，呈北东向南西向发育，地下水沿走向运动，岩溶作用较强烈。</w:t>
      </w:r>
    </w:p>
    <w:p w14:paraId="49CD732C">
      <w:pPr>
        <w:ind w:firstLine="480"/>
        <w:rPr>
          <w:color w:val="000000"/>
        </w:rPr>
      </w:pPr>
      <w:r>
        <w:rPr>
          <w:color w:val="000000"/>
        </w:rPr>
        <w:t>勘察区岩溶局部强烈发育，地表溶沟、溶槽发育，落水洞较多，成为大气降水地表水渗入的通道，场地地表水主要经落水洞排入地下，补给地下水，地下水汇集在岩溶管道中贮存、运移，形成岩溶地下水。</w:t>
      </w:r>
    </w:p>
    <w:p w14:paraId="2156FDE0">
      <w:pPr>
        <w:ind w:firstLine="480"/>
        <w:rPr>
          <w:color w:val="000000"/>
        </w:rPr>
      </w:pPr>
      <w:r>
        <w:rPr>
          <w:color w:val="000000"/>
        </w:rPr>
        <w:t>⑶岩溶管道水（暗河）</w:t>
      </w:r>
    </w:p>
    <w:p w14:paraId="13BD95CA">
      <w:pPr>
        <w:ind w:firstLine="480"/>
        <w:rPr>
          <w:color w:val="000000"/>
        </w:rPr>
      </w:pPr>
      <w:r>
        <w:rPr>
          <w:color w:val="000000"/>
        </w:rPr>
        <w:t>勘察区南东侧有地下暗河发育，地下暗河出口位于勘察区南西侧溶洞湾处，场地暗河埋深较深。</w:t>
      </w:r>
    </w:p>
    <w:p w14:paraId="477DED3D">
      <w:pPr>
        <w:ind w:firstLine="480"/>
        <w:rPr>
          <w:color w:val="000000"/>
        </w:rPr>
      </w:pPr>
      <w:r>
        <w:rPr>
          <w:color w:val="000000"/>
        </w:rPr>
        <w:t>综上所述：勘察区地表水不发育，对岩土体的稳定性影响小；地下水主要为岩溶（洞）裂隙水，为重HCO3-Ca型，对灰岩有溶蚀作用。</w:t>
      </w:r>
    </w:p>
    <w:p w14:paraId="79A713B2">
      <w:pPr>
        <w:ind w:firstLine="480"/>
        <w:rPr>
          <w:color w:val="000000"/>
        </w:rPr>
      </w:pPr>
      <w:r>
        <w:rPr>
          <w:color w:val="000000"/>
        </w:rPr>
        <w:t>2、万丈坑、长坑封填后水文地质预测</w:t>
      </w:r>
    </w:p>
    <w:p w14:paraId="63F5AEBC">
      <w:pPr>
        <w:ind w:firstLine="480"/>
        <w:rPr>
          <w:color w:val="000000"/>
        </w:rPr>
      </w:pPr>
      <w:r>
        <w:rPr>
          <w:color w:val="000000"/>
        </w:rPr>
        <w:t>为充分利用场地，不影响场地使用功能，考虑封堵万丈坑及长坑，如全密闭封填，将影响地下暗河管道排水，堵塞地下岩溶管道，影响暗河排水系统，故在封填时考虑不堵塞地下暗河岩溶管道（采用直径大于3m的块石架空回填处理，保证地下暗河过水通畅），同时对地表岩溶冲沟改道，避免地表水经岩溶冲沟流入万丈坑及长坑，减小地下暗河排水压力。场地万丈坑、长坑只是地下岩溶暗河系统的一部分，是地表水补给地下水的一个通道，该暗河系统在山窝及白涛一带存在多个像万丈坑类似的落水洞，故如将地表岩溶冲沟水改道外排及万丈坑、长坑按上述方法填埋后，出现涌水、堵水情况可能性极低，同时建议场地地表做防渗处理，封填后对地面做沉降观测，防止地下暗河反吸，致使地面塌陷。</w:t>
      </w:r>
    </w:p>
    <w:p w14:paraId="5DDAB443">
      <w:pPr>
        <w:pStyle w:val="31"/>
        <w:spacing w:after="0"/>
        <w:rPr>
          <w:color w:val="000000"/>
        </w:rPr>
      </w:pPr>
      <w:r>
        <w:rPr>
          <w:color w:val="000000"/>
        </w:rPr>
        <w:t xml:space="preserve">   目前，建设单位将万丈坑、长坑已封填，其余溶洞封填，地下暗河畅通。</w:t>
      </w:r>
    </w:p>
    <w:p w14:paraId="3EFC578C">
      <w:pPr>
        <w:ind w:firstLine="480"/>
        <w:rPr>
          <w:color w:val="000000"/>
        </w:rPr>
      </w:pPr>
      <w:r>
        <w:rPr>
          <w:color w:val="000000"/>
        </w:rPr>
        <w:t>3、水、土腐蚀性</w:t>
      </w:r>
    </w:p>
    <w:p w14:paraId="35FF626E">
      <w:pPr>
        <w:ind w:firstLine="480"/>
        <w:rPr>
          <w:color w:val="000000"/>
        </w:rPr>
      </w:pPr>
      <w:r>
        <w:rPr>
          <w:color w:val="000000"/>
        </w:rPr>
        <w:t>本次勘察对区内地下水和地表水采取代表性水样进行了简分析和侵蚀性CO</w:t>
      </w:r>
      <w:r>
        <w:rPr>
          <w:color w:val="000000"/>
          <w:vertAlign w:val="subscript"/>
        </w:rPr>
        <w:t>2</w:t>
      </w:r>
      <w:r>
        <w:rPr>
          <w:color w:val="000000"/>
        </w:rPr>
        <w:t>分析，共取地下水及地表水各一组，共2组。从试验成果可知，地表水、地下水</w:t>
      </w:r>
      <w:r>
        <w:rPr>
          <w:rFonts w:hint="eastAsia"/>
          <w:color w:val="000000"/>
          <w:lang w:eastAsia="zh-CN"/>
        </w:rPr>
        <w:t>均为</w:t>
      </w:r>
      <w:r>
        <w:rPr>
          <w:color w:val="000000"/>
        </w:rPr>
        <w:t>HCO</w:t>
      </w:r>
      <w:r>
        <w:rPr>
          <w:color w:val="000000"/>
          <w:vertAlign w:val="subscript"/>
        </w:rPr>
        <w:t>3</w:t>
      </w:r>
      <w:r>
        <w:rPr>
          <w:color w:val="000000"/>
        </w:rPr>
        <w:t>·SO</w:t>
      </w:r>
      <w:r>
        <w:rPr>
          <w:color w:val="000000"/>
          <w:vertAlign w:val="subscript"/>
        </w:rPr>
        <w:t>4</w:t>
      </w:r>
      <w:r>
        <w:rPr>
          <w:color w:val="000000"/>
        </w:rPr>
        <w:t>-Ca型，依据《岩土工程勘察规范》GB50021-2001（2009年版）II类环境水判定：水样对混凝土结构有微腐蚀；按地层透水性:水样对混凝土结构有微腐蚀；对钢筋混凝土结构中钢筋有微腐蚀。</w:t>
      </w:r>
    </w:p>
    <w:p w14:paraId="3A2A3A94">
      <w:pPr>
        <w:pStyle w:val="771"/>
        <w:ind w:firstLine="480" w:firstLineChars="200"/>
        <w:outlineLvl w:val="9"/>
        <w:rPr>
          <w:color w:val="000000"/>
        </w:rPr>
      </w:pPr>
      <w:r>
        <w:rPr>
          <w:color w:val="000000"/>
        </w:rPr>
        <w:t>4、勘查区溶洞、暗河情况</w:t>
      </w:r>
    </w:p>
    <w:p w14:paraId="513D7220">
      <w:pPr>
        <w:pStyle w:val="2197"/>
        <w:ind w:firstLine="480"/>
        <w:rPr>
          <w:rFonts w:cs="Times New Roman"/>
          <w:color w:val="000000"/>
          <w:sz w:val="24"/>
          <w:szCs w:val="21"/>
        </w:rPr>
      </w:pPr>
      <w:r>
        <w:rPr>
          <w:rFonts w:cs="Times New Roman"/>
          <w:color w:val="000000"/>
          <w:sz w:val="24"/>
          <w:szCs w:val="21"/>
        </w:rPr>
        <w:t>（1）溶沟、溶槽</w:t>
      </w:r>
    </w:p>
    <w:p w14:paraId="57744097">
      <w:pPr>
        <w:pStyle w:val="2197"/>
        <w:ind w:firstLine="480"/>
        <w:rPr>
          <w:rFonts w:cs="Times New Roman"/>
          <w:color w:val="000000"/>
          <w:sz w:val="24"/>
          <w:szCs w:val="21"/>
        </w:rPr>
      </w:pPr>
      <w:r>
        <w:rPr>
          <w:rFonts w:cs="Times New Roman"/>
          <w:color w:val="000000"/>
          <w:sz w:val="24"/>
          <w:szCs w:val="21"/>
        </w:rPr>
        <w:t>场地溶沟、溶槽及石芽分布广泛，主要发育在厚层质纯灰岩、白云质灰岩中，发育方向受构造裂隙控制，为区域性纵、横张裂隙及层面裂隙溶蚀后加宽而形成。其中嘉陵江组四段（T1j4）白云质灰岩溶蚀后，多具刀砍纹，表面粗糙，主要分布于勘察区南西侧及南东附近，根据现场实测统计其溶沟、槽宽一般0.6～2.6m，深一般为0.2～5.0m（见照片3.1.1-1）；嘉陵江组三段（T1j3）灰岩溶蚀后，一般呈</w:t>
      </w:r>
      <w:r>
        <w:rPr>
          <w:rFonts w:hint="eastAsia" w:cs="Times New Roman"/>
          <w:color w:val="000000"/>
          <w:sz w:val="24"/>
          <w:szCs w:val="21"/>
          <w:lang w:eastAsia="zh-CN"/>
        </w:rPr>
        <w:t>圆</w:t>
      </w:r>
      <w:r>
        <w:rPr>
          <w:rFonts w:cs="Times New Roman"/>
          <w:color w:val="000000"/>
          <w:sz w:val="24"/>
          <w:szCs w:val="21"/>
        </w:rPr>
        <w:t>柱状塔状，表面光滑，主要分布于嘉陵江四段以外的区域，根据现场实测统计其溶沟、槽宽一般0.6～1.5m，高一般为0.3～2.5m。</w:t>
      </w:r>
    </w:p>
    <w:p w14:paraId="0DE576ED">
      <w:pPr>
        <w:pStyle w:val="2197"/>
        <w:ind w:firstLine="480"/>
        <w:rPr>
          <w:rFonts w:cs="Times New Roman"/>
          <w:color w:val="000000"/>
          <w:sz w:val="24"/>
          <w:szCs w:val="21"/>
        </w:rPr>
      </w:pPr>
      <w:r>
        <w:rPr>
          <w:rFonts w:cs="Times New Roman"/>
          <w:color w:val="000000"/>
          <w:sz w:val="24"/>
          <w:szCs w:val="21"/>
        </w:rPr>
        <w:t>探明LNG工厂内场地内有发育三个大的落水洞，一个小落水洞，场地内发育有地下岩溶管道（暗河）。</w:t>
      </w:r>
    </w:p>
    <w:p w14:paraId="563EBD48">
      <w:pPr>
        <w:pStyle w:val="2197"/>
        <w:ind w:firstLine="480"/>
        <w:rPr>
          <w:rFonts w:cs="Times New Roman"/>
          <w:color w:val="000000"/>
          <w:sz w:val="24"/>
          <w:szCs w:val="21"/>
        </w:rPr>
      </w:pPr>
      <w:r>
        <w:rPr>
          <w:rFonts w:cs="Times New Roman"/>
          <w:color w:val="000000"/>
          <w:sz w:val="24"/>
          <w:szCs w:val="21"/>
        </w:rPr>
        <w:t>（2）岩溶漏斗与落水洞</w:t>
      </w:r>
    </w:p>
    <w:p w14:paraId="375E322D">
      <w:pPr>
        <w:pStyle w:val="2197"/>
        <w:ind w:firstLine="480"/>
        <w:rPr>
          <w:rFonts w:cs="Times New Roman"/>
          <w:color w:val="000000"/>
          <w:sz w:val="24"/>
          <w:szCs w:val="21"/>
        </w:rPr>
      </w:pPr>
      <w:r>
        <w:rPr>
          <w:rFonts w:cs="Times New Roman"/>
          <w:color w:val="000000"/>
          <w:sz w:val="24"/>
          <w:szCs w:val="21"/>
        </w:rPr>
        <w:t>在勘察区内岩溶漏斗与落水洞零星发育，呈串珠状分布，一般发育在岩溶暗河顶部及地形相对低洼地段，据现场调查，落水洞一般深1~3m，最大可达27.0m平面形态呈椭圆形、圆形，长轴方向NE30°~NE45°，长轴方向长度12~42m，短轴方向长度5~37m；剖面形态呈漏斗和地堑形，塌陷深度3~27.0m，底部地形坡角3°~5°，第四系覆盖层厚度1.0~5.0m。</w:t>
      </w:r>
    </w:p>
    <w:p w14:paraId="657D5425">
      <w:pPr>
        <w:pStyle w:val="2203"/>
        <w:spacing w:after="0" w:line="360" w:lineRule="auto"/>
        <w:jc w:val="center"/>
        <w:rPr>
          <w:rFonts w:ascii="Times New Roman" w:cs="Times New Roman"/>
          <w:bCs w:val="0"/>
          <w:kern w:val="2"/>
          <w:sz w:val="24"/>
          <w:szCs w:val="21"/>
        </w:rPr>
      </w:pPr>
    </w:p>
    <w:p w14:paraId="57EF619A">
      <w:pPr>
        <w:pStyle w:val="2203"/>
        <w:spacing w:after="0" w:line="360" w:lineRule="auto"/>
        <w:jc w:val="center"/>
        <w:rPr>
          <w:rFonts w:ascii="Times New Roman" w:cs="Times New Roman"/>
          <w:bCs w:val="0"/>
          <w:kern w:val="2"/>
          <w:sz w:val="24"/>
          <w:szCs w:val="21"/>
        </w:rPr>
      </w:pPr>
    </w:p>
    <w:p w14:paraId="7D3A0E52">
      <w:pPr>
        <w:pStyle w:val="2203"/>
        <w:spacing w:after="0" w:line="360" w:lineRule="auto"/>
        <w:jc w:val="center"/>
        <w:rPr>
          <w:rFonts w:ascii="Times New Roman" w:cs="Times New Roman"/>
          <w:bCs w:val="0"/>
          <w:kern w:val="2"/>
          <w:sz w:val="24"/>
          <w:szCs w:val="21"/>
        </w:rPr>
      </w:pPr>
      <w:r>
        <w:rPr>
          <w:rFonts w:ascii="Times New Roman" w:cs="Times New Roman"/>
          <w:bCs w:val="0"/>
          <w:kern w:val="2"/>
          <w:sz w:val="24"/>
          <w:szCs w:val="21"/>
        </w:rPr>
        <w:t>表4.1.6.3-1   LNG工厂勘察区主要岩溶塌陷特征表</w:t>
      </w:r>
    </w:p>
    <w:tbl>
      <w:tblPr>
        <w:tblStyle w:val="73"/>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8"/>
        <w:gridCol w:w="649"/>
        <w:gridCol w:w="1037"/>
        <w:gridCol w:w="868"/>
        <w:gridCol w:w="817"/>
        <w:gridCol w:w="1493"/>
        <w:gridCol w:w="1419"/>
        <w:gridCol w:w="1004"/>
        <w:gridCol w:w="900"/>
      </w:tblGrid>
      <w:tr w14:paraId="125143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 w:hRule="atLeast"/>
        </w:trPr>
        <w:tc>
          <w:tcPr>
            <w:tcW w:w="479" w:type="pct"/>
            <w:tcBorders>
              <w:top w:val="single" w:color="auto" w:sz="2" w:space="0"/>
              <w:left w:val="single" w:color="auto" w:sz="2" w:space="0"/>
              <w:bottom w:val="single" w:color="auto" w:sz="4" w:space="0"/>
              <w:right w:val="single" w:color="auto" w:sz="4" w:space="0"/>
            </w:tcBorders>
            <w:vAlign w:val="center"/>
          </w:tcPr>
          <w:p w14:paraId="09D11E06">
            <w:pPr>
              <w:spacing w:line="280" w:lineRule="exact"/>
              <w:jc w:val="center"/>
              <w:rPr>
                <w:color w:val="000000"/>
                <w:sz w:val="21"/>
              </w:rPr>
            </w:pPr>
            <w:r>
              <w:rPr>
                <w:color w:val="000000"/>
                <w:sz w:val="21"/>
              </w:rPr>
              <w:t>名称</w:t>
            </w:r>
          </w:p>
        </w:tc>
        <w:tc>
          <w:tcPr>
            <w:tcW w:w="358" w:type="pct"/>
            <w:tcBorders>
              <w:top w:val="single" w:color="auto" w:sz="2" w:space="0"/>
              <w:left w:val="single" w:color="auto" w:sz="4" w:space="0"/>
              <w:bottom w:val="single" w:color="auto" w:sz="4" w:space="0"/>
              <w:right w:val="single" w:color="auto" w:sz="4" w:space="0"/>
            </w:tcBorders>
            <w:vAlign w:val="center"/>
          </w:tcPr>
          <w:p w14:paraId="36755DA0">
            <w:pPr>
              <w:spacing w:line="280" w:lineRule="exact"/>
              <w:jc w:val="center"/>
              <w:rPr>
                <w:color w:val="000000"/>
                <w:sz w:val="21"/>
              </w:rPr>
            </w:pPr>
            <w:r>
              <w:rPr>
                <w:color w:val="000000"/>
                <w:sz w:val="21"/>
              </w:rPr>
              <w:t>地层</w:t>
            </w:r>
          </w:p>
        </w:tc>
        <w:tc>
          <w:tcPr>
            <w:tcW w:w="572" w:type="pct"/>
            <w:tcBorders>
              <w:top w:val="single" w:color="auto" w:sz="2" w:space="0"/>
              <w:left w:val="single" w:color="auto" w:sz="4" w:space="0"/>
              <w:bottom w:val="single" w:color="auto" w:sz="4" w:space="0"/>
              <w:right w:val="single" w:color="auto" w:sz="4" w:space="0"/>
            </w:tcBorders>
            <w:vAlign w:val="center"/>
          </w:tcPr>
          <w:p w14:paraId="3B0D401D">
            <w:pPr>
              <w:spacing w:line="280" w:lineRule="exact"/>
              <w:jc w:val="center"/>
              <w:rPr>
                <w:color w:val="000000"/>
                <w:sz w:val="21"/>
              </w:rPr>
            </w:pPr>
            <w:r>
              <w:rPr>
                <w:color w:val="000000"/>
                <w:sz w:val="21"/>
              </w:rPr>
              <w:t>平面形态</w:t>
            </w:r>
          </w:p>
        </w:tc>
        <w:tc>
          <w:tcPr>
            <w:tcW w:w="479" w:type="pct"/>
            <w:tcBorders>
              <w:top w:val="single" w:color="auto" w:sz="2" w:space="0"/>
              <w:left w:val="single" w:color="auto" w:sz="4" w:space="0"/>
              <w:bottom w:val="single" w:color="auto" w:sz="4" w:space="0"/>
              <w:right w:val="single" w:color="auto" w:sz="4" w:space="0"/>
            </w:tcBorders>
            <w:vAlign w:val="center"/>
          </w:tcPr>
          <w:p w14:paraId="031C764D">
            <w:pPr>
              <w:spacing w:line="280" w:lineRule="exact"/>
              <w:jc w:val="center"/>
              <w:rPr>
                <w:color w:val="000000"/>
                <w:sz w:val="21"/>
              </w:rPr>
            </w:pPr>
            <w:r>
              <w:rPr>
                <w:color w:val="000000"/>
                <w:sz w:val="21"/>
              </w:rPr>
              <w:t>剖面形态</w:t>
            </w:r>
          </w:p>
        </w:tc>
        <w:tc>
          <w:tcPr>
            <w:tcW w:w="451" w:type="pct"/>
            <w:tcBorders>
              <w:top w:val="single" w:color="auto" w:sz="2" w:space="0"/>
              <w:left w:val="single" w:color="auto" w:sz="4" w:space="0"/>
              <w:bottom w:val="single" w:color="auto" w:sz="4" w:space="0"/>
              <w:right w:val="single" w:color="auto" w:sz="4" w:space="0"/>
            </w:tcBorders>
            <w:vAlign w:val="center"/>
          </w:tcPr>
          <w:p w14:paraId="6D875069">
            <w:pPr>
              <w:spacing w:line="280" w:lineRule="exact"/>
              <w:jc w:val="center"/>
              <w:rPr>
                <w:color w:val="000000"/>
                <w:sz w:val="21"/>
              </w:rPr>
            </w:pPr>
            <w:r>
              <w:rPr>
                <w:color w:val="000000"/>
                <w:sz w:val="21"/>
              </w:rPr>
              <w:t>塌陷深度（m）</w:t>
            </w:r>
          </w:p>
        </w:tc>
        <w:tc>
          <w:tcPr>
            <w:tcW w:w="824" w:type="pct"/>
            <w:tcBorders>
              <w:top w:val="single" w:color="auto" w:sz="2" w:space="0"/>
              <w:left w:val="single" w:color="auto" w:sz="4" w:space="0"/>
              <w:bottom w:val="single" w:color="auto" w:sz="4" w:space="0"/>
              <w:right w:val="single" w:color="auto" w:sz="4" w:space="0"/>
            </w:tcBorders>
            <w:vAlign w:val="center"/>
          </w:tcPr>
          <w:p w14:paraId="04294873">
            <w:pPr>
              <w:spacing w:line="280" w:lineRule="exact"/>
              <w:jc w:val="center"/>
              <w:rPr>
                <w:color w:val="000000"/>
                <w:sz w:val="21"/>
              </w:rPr>
            </w:pPr>
            <w:r>
              <w:rPr>
                <w:color w:val="000000"/>
                <w:sz w:val="21"/>
              </w:rPr>
              <w:t>地下水状况</w:t>
            </w:r>
          </w:p>
        </w:tc>
        <w:tc>
          <w:tcPr>
            <w:tcW w:w="783" w:type="pct"/>
            <w:tcBorders>
              <w:top w:val="single" w:color="auto" w:sz="2" w:space="0"/>
              <w:left w:val="single" w:color="auto" w:sz="4" w:space="0"/>
              <w:bottom w:val="single" w:color="auto" w:sz="4" w:space="0"/>
              <w:right w:val="single" w:color="auto" w:sz="4" w:space="0"/>
            </w:tcBorders>
            <w:vAlign w:val="center"/>
          </w:tcPr>
          <w:p w14:paraId="1F3F0D7A">
            <w:pPr>
              <w:spacing w:line="280" w:lineRule="exact"/>
              <w:jc w:val="center"/>
              <w:rPr>
                <w:color w:val="000000"/>
                <w:sz w:val="21"/>
              </w:rPr>
            </w:pPr>
            <w:r>
              <w:rPr>
                <w:color w:val="000000"/>
                <w:sz w:val="21"/>
              </w:rPr>
              <w:t>现状稳定状态</w:t>
            </w:r>
          </w:p>
        </w:tc>
        <w:tc>
          <w:tcPr>
            <w:tcW w:w="554" w:type="pct"/>
            <w:tcBorders>
              <w:top w:val="single" w:color="auto" w:sz="2" w:space="0"/>
              <w:left w:val="single" w:color="auto" w:sz="4" w:space="0"/>
              <w:bottom w:val="single" w:color="auto" w:sz="4" w:space="0"/>
              <w:right w:val="single" w:color="auto" w:sz="4" w:space="0"/>
            </w:tcBorders>
            <w:vAlign w:val="center"/>
          </w:tcPr>
          <w:p w14:paraId="24078119">
            <w:pPr>
              <w:spacing w:line="280" w:lineRule="exact"/>
              <w:jc w:val="center"/>
              <w:rPr>
                <w:color w:val="000000"/>
                <w:sz w:val="21"/>
              </w:rPr>
            </w:pPr>
            <w:r>
              <w:rPr>
                <w:color w:val="000000"/>
                <w:sz w:val="21"/>
              </w:rPr>
              <w:t>塌陷面积（m</w:t>
            </w:r>
            <w:r>
              <w:rPr>
                <w:color w:val="000000"/>
                <w:sz w:val="21"/>
                <w:vertAlign w:val="superscript"/>
              </w:rPr>
              <w:t>2</w:t>
            </w:r>
            <w:r>
              <w:rPr>
                <w:color w:val="000000"/>
                <w:sz w:val="21"/>
              </w:rPr>
              <w:t>）</w:t>
            </w:r>
          </w:p>
        </w:tc>
        <w:tc>
          <w:tcPr>
            <w:tcW w:w="496" w:type="pct"/>
            <w:tcBorders>
              <w:top w:val="single" w:color="auto" w:sz="2" w:space="0"/>
              <w:left w:val="single" w:color="auto" w:sz="4" w:space="0"/>
              <w:bottom w:val="single" w:color="auto" w:sz="4" w:space="0"/>
              <w:right w:val="single" w:color="auto" w:sz="2" w:space="0"/>
            </w:tcBorders>
            <w:vAlign w:val="center"/>
          </w:tcPr>
          <w:p w14:paraId="04A92A51">
            <w:pPr>
              <w:spacing w:line="280" w:lineRule="exact"/>
              <w:jc w:val="both"/>
              <w:rPr>
                <w:color w:val="000000"/>
                <w:sz w:val="21"/>
              </w:rPr>
            </w:pPr>
            <w:r>
              <w:rPr>
                <w:color w:val="000000"/>
                <w:sz w:val="21"/>
              </w:rPr>
              <w:t>影响面积（m</w:t>
            </w:r>
            <w:r>
              <w:rPr>
                <w:color w:val="000000"/>
                <w:sz w:val="21"/>
                <w:vertAlign w:val="superscript"/>
              </w:rPr>
              <w:t>2</w:t>
            </w:r>
            <w:r>
              <w:rPr>
                <w:color w:val="000000"/>
                <w:sz w:val="21"/>
              </w:rPr>
              <w:t>）</w:t>
            </w:r>
          </w:p>
        </w:tc>
      </w:tr>
      <w:tr w14:paraId="79350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79" w:type="pct"/>
            <w:tcBorders>
              <w:top w:val="single" w:color="auto" w:sz="4" w:space="0"/>
              <w:left w:val="single" w:color="auto" w:sz="2" w:space="0"/>
              <w:bottom w:val="single" w:color="auto" w:sz="4" w:space="0"/>
              <w:right w:val="single" w:color="auto" w:sz="4" w:space="0"/>
            </w:tcBorders>
            <w:vAlign w:val="center"/>
          </w:tcPr>
          <w:p w14:paraId="6D486BF8">
            <w:pPr>
              <w:spacing w:line="280" w:lineRule="exact"/>
              <w:jc w:val="center"/>
              <w:rPr>
                <w:color w:val="000000"/>
                <w:sz w:val="21"/>
              </w:rPr>
            </w:pPr>
            <w:r>
              <w:rPr>
                <w:color w:val="000000"/>
                <w:sz w:val="21"/>
              </w:rPr>
              <w:t>万丈坑</w:t>
            </w:r>
          </w:p>
        </w:tc>
        <w:tc>
          <w:tcPr>
            <w:tcW w:w="358" w:type="pct"/>
            <w:tcBorders>
              <w:top w:val="single" w:color="auto" w:sz="4" w:space="0"/>
              <w:left w:val="single" w:color="auto" w:sz="4" w:space="0"/>
              <w:bottom w:val="single" w:color="auto" w:sz="4" w:space="0"/>
              <w:right w:val="single" w:color="auto" w:sz="4" w:space="0"/>
            </w:tcBorders>
            <w:vAlign w:val="center"/>
          </w:tcPr>
          <w:p w14:paraId="768CDEE9">
            <w:pPr>
              <w:spacing w:line="280" w:lineRule="exact"/>
              <w:jc w:val="center"/>
              <w:rPr>
                <w:color w:val="000000"/>
                <w:sz w:val="21"/>
              </w:rPr>
            </w:pPr>
            <w:r>
              <w:rPr>
                <w:color w:val="000000"/>
                <w:sz w:val="21"/>
              </w:rPr>
              <w:t>T</w:t>
            </w:r>
            <w:r>
              <w:rPr>
                <w:color w:val="000000"/>
                <w:sz w:val="21"/>
                <w:vertAlign w:val="subscript"/>
              </w:rPr>
              <w:t>1j</w:t>
            </w:r>
            <w:r>
              <w:rPr>
                <w:color w:val="000000"/>
                <w:sz w:val="21"/>
                <w:vertAlign w:val="superscript"/>
              </w:rPr>
              <w:t>3</w:t>
            </w:r>
          </w:p>
        </w:tc>
        <w:tc>
          <w:tcPr>
            <w:tcW w:w="572" w:type="pct"/>
            <w:tcBorders>
              <w:top w:val="single" w:color="auto" w:sz="4" w:space="0"/>
              <w:left w:val="single" w:color="auto" w:sz="4" w:space="0"/>
              <w:bottom w:val="single" w:color="auto" w:sz="4" w:space="0"/>
              <w:right w:val="single" w:color="auto" w:sz="4" w:space="0"/>
            </w:tcBorders>
            <w:vAlign w:val="center"/>
          </w:tcPr>
          <w:p w14:paraId="5B9714C0">
            <w:pPr>
              <w:spacing w:line="280" w:lineRule="exact"/>
              <w:jc w:val="center"/>
              <w:rPr>
                <w:color w:val="000000"/>
                <w:sz w:val="21"/>
              </w:rPr>
            </w:pPr>
            <w:r>
              <w:rPr>
                <w:color w:val="000000"/>
                <w:sz w:val="21"/>
              </w:rPr>
              <w:t>圆形</w:t>
            </w:r>
          </w:p>
        </w:tc>
        <w:tc>
          <w:tcPr>
            <w:tcW w:w="479" w:type="pct"/>
            <w:tcBorders>
              <w:top w:val="single" w:color="auto" w:sz="4" w:space="0"/>
              <w:left w:val="single" w:color="auto" w:sz="4" w:space="0"/>
              <w:bottom w:val="single" w:color="auto" w:sz="4" w:space="0"/>
              <w:right w:val="single" w:color="auto" w:sz="4" w:space="0"/>
            </w:tcBorders>
            <w:vAlign w:val="center"/>
          </w:tcPr>
          <w:p w14:paraId="6AA3BBB5">
            <w:pPr>
              <w:spacing w:line="280" w:lineRule="exact"/>
              <w:jc w:val="center"/>
              <w:rPr>
                <w:color w:val="000000"/>
                <w:sz w:val="21"/>
              </w:rPr>
            </w:pPr>
            <w:r>
              <w:rPr>
                <w:color w:val="000000"/>
                <w:sz w:val="21"/>
              </w:rPr>
              <w:t>地堑</w:t>
            </w:r>
          </w:p>
        </w:tc>
        <w:tc>
          <w:tcPr>
            <w:tcW w:w="451" w:type="pct"/>
            <w:tcBorders>
              <w:top w:val="single" w:color="auto" w:sz="4" w:space="0"/>
              <w:left w:val="single" w:color="auto" w:sz="4" w:space="0"/>
              <w:bottom w:val="single" w:color="auto" w:sz="4" w:space="0"/>
              <w:right w:val="single" w:color="auto" w:sz="4" w:space="0"/>
            </w:tcBorders>
            <w:vAlign w:val="center"/>
          </w:tcPr>
          <w:p w14:paraId="3BE7F7F6">
            <w:pPr>
              <w:spacing w:line="280" w:lineRule="exact"/>
              <w:jc w:val="center"/>
              <w:rPr>
                <w:color w:val="000000"/>
                <w:sz w:val="21"/>
              </w:rPr>
            </w:pPr>
            <w:r>
              <w:rPr>
                <w:color w:val="000000"/>
                <w:sz w:val="21"/>
              </w:rPr>
              <w:t>25</w:t>
            </w:r>
          </w:p>
        </w:tc>
        <w:tc>
          <w:tcPr>
            <w:tcW w:w="824" w:type="pct"/>
            <w:tcBorders>
              <w:top w:val="single" w:color="auto" w:sz="4" w:space="0"/>
              <w:left w:val="single" w:color="auto" w:sz="4" w:space="0"/>
              <w:bottom w:val="single" w:color="auto" w:sz="4" w:space="0"/>
              <w:right w:val="single" w:color="auto" w:sz="4" w:space="0"/>
            </w:tcBorders>
            <w:vAlign w:val="center"/>
          </w:tcPr>
          <w:p w14:paraId="65018B70">
            <w:pPr>
              <w:spacing w:line="280" w:lineRule="exact"/>
              <w:jc w:val="center"/>
              <w:rPr>
                <w:color w:val="000000"/>
                <w:sz w:val="21"/>
              </w:rPr>
            </w:pPr>
            <w:r>
              <w:rPr>
                <w:color w:val="000000"/>
                <w:sz w:val="21"/>
              </w:rPr>
              <w:t>无，降雨下渗</w:t>
            </w:r>
          </w:p>
        </w:tc>
        <w:tc>
          <w:tcPr>
            <w:tcW w:w="783" w:type="pct"/>
            <w:tcBorders>
              <w:top w:val="single" w:color="auto" w:sz="4" w:space="0"/>
              <w:left w:val="single" w:color="auto" w:sz="4" w:space="0"/>
              <w:bottom w:val="single" w:color="auto" w:sz="4" w:space="0"/>
              <w:right w:val="single" w:color="auto" w:sz="4" w:space="0"/>
            </w:tcBorders>
            <w:vAlign w:val="center"/>
          </w:tcPr>
          <w:p w14:paraId="16D43F5C">
            <w:pPr>
              <w:spacing w:line="280" w:lineRule="exact"/>
              <w:jc w:val="center"/>
              <w:rPr>
                <w:color w:val="000000"/>
                <w:sz w:val="21"/>
              </w:rPr>
            </w:pPr>
            <w:r>
              <w:rPr>
                <w:color w:val="000000"/>
                <w:sz w:val="21"/>
              </w:rPr>
              <w:t>稳定</w:t>
            </w:r>
          </w:p>
        </w:tc>
        <w:tc>
          <w:tcPr>
            <w:tcW w:w="554" w:type="pct"/>
            <w:tcBorders>
              <w:top w:val="single" w:color="auto" w:sz="4" w:space="0"/>
              <w:left w:val="single" w:color="auto" w:sz="4" w:space="0"/>
              <w:bottom w:val="single" w:color="auto" w:sz="4" w:space="0"/>
              <w:right w:val="single" w:color="auto" w:sz="4" w:space="0"/>
            </w:tcBorders>
            <w:vAlign w:val="center"/>
          </w:tcPr>
          <w:p w14:paraId="34C0202F">
            <w:pPr>
              <w:spacing w:line="280" w:lineRule="exact"/>
              <w:jc w:val="center"/>
              <w:rPr>
                <w:color w:val="000000"/>
                <w:sz w:val="21"/>
              </w:rPr>
            </w:pPr>
            <w:r>
              <w:rPr>
                <w:color w:val="000000"/>
                <w:sz w:val="21"/>
              </w:rPr>
              <w:t>1297.20</w:t>
            </w:r>
          </w:p>
        </w:tc>
        <w:tc>
          <w:tcPr>
            <w:tcW w:w="496" w:type="pct"/>
            <w:tcBorders>
              <w:top w:val="single" w:color="auto" w:sz="4" w:space="0"/>
              <w:left w:val="single" w:color="auto" w:sz="4" w:space="0"/>
              <w:bottom w:val="single" w:color="auto" w:sz="4" w:space="0"/>
              <w:right w:val="single" w:color="auto" w:sz="2" w:space="0"/>
            </w:tcBorders>
            <w:vAlign w:val="center"/>
          </w:tcPr>
          <w:p w14:paraId="6EE7043B">
            <w:pPr>
              <w:spacing w:line="280" w:lineRule="exact"/>
              <w:jc w:val="center"/>
              <w:rPr>
                <w:color w:val="000000"/>
                <w:sz w:val="21"/>
              </w:rPr>
            </w:pPr>
            <w:r>
              <w:rPr>
                <w:color w:val="000000"/>
                <w:sz w:val="21"/>
              </w:rPr>
              <w:t>2172.36</w:t>
            </w:r>
          </w:p>
        </w:tc>
      </w:tr>
      <w:tr w14:paraId="150009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79" w:type="pct"/>
            <w:tcBorders>
              <w:top w:val="single" w:color="auto" w:sz="4" w:space="0"/>
              <w:left w:val="single" w:color="auto" w:sz="2" w:space="0"/>
              <w:bottom w:val="single" w:color="auto" w:sz="4" w:space="0"/>
              <w:right w:val="single" w:color="auto" w:sz="4" w:space="0"/>
            </w:tcBorders>
            <w:vAlign w:val="center"/>
          </w:tcPr>
          <w:p w14:paraId="4AD87567">
            <w:pPr>
              <w:spacing w:line="280" w:lineRule="exact"/>
              <w:jc w:val="center"/>
              <w:rPr>
                <w:color w:val="000000"/>
                <w:sz w:val="21"/>
              </w:rPr>
            </w:pPr>
            <w:r>
              <w:rPr>
                <w:color w:val="000000"/>
                <w:sz w:val="21"/>
              </w:rPr>
              <w:t>长坑</w:t>
            </w:r>
          </w:p>
        </w:tc>
        <w:tc>
          <w:tcPr>
            <w:tcW w:w="358" w:type="pct"/>
            <w:tcBorders>
              <w:top w:val="single" w:color="auto" w:sz="4" w:space="0"/>
              <w:left w:val="single" w:color="auto" w:sz="4" w:space="0"/>
              <w:bottom w:val="single" w:color="auto" w:sz="4" w:space="0"/>
              <w:right w:val="single" w:color="auto" w:sz="4" w:space="0"/>
            </w:tcBorders>
            <w:vAlign w:val="center"/>
          </w:tcPr>
          <w:p w14:paraId="3984752E">
            <w:pPr>
              <w:spacing w:line="280" w:lineRule="exact"/>
              <w:jc w:val="center"/>
              <w:rPr>
                <w:color w:val="000000"/>
                <w:sz w:val="21"/>
              </w:rPr>
            </w:pPr>
            <w:r>
              <w:rPr>
                <w:color w:val="000000"/>
                <w:sz w:val="21"/>
              </w:rPr>
              <w:t>T</w:t>
            </w:r>
            <w:r>
              <w:rPr>
                <w:color w:val="000000"/>
                <w:sz w:val="21"/>
                <w:vertAlign w:val="subscript"/>
              </w:rPr>
              <w:t>1j</w:t>
            </w:r>
            <w:r>
              <w:rPr>
                <w:color w:val="000000"/>
                <w:sz w:val="21"/>
                <w:vertAlign w:val="superscript"/>
              </w:rPr>
              <w:t>3</w:t>
            </w:r>
          </w:p>
        </w:tc>
        <w:tc>
          <w:tcPr>
            <w:tcW w:w="572" w:type="pct"/>
            <w:tcBorders>
              <w:top w:val="single" w:color="auto" w:sz="4" w:space="0"/>
              <w:left w:val="single" w:color="auto" w:sz="4" w:space="0"/>
              <w:bottom w:val="single" w:color="auto" w:sz="4" w:space="0"/>
              <w:right w:val="single" w:color="auto" w:sz="4" w:space="0"/>
            </w:tcBorders>
            <w:vAlign w:val="center"/>
          </w:tcPr>
          <w:p w14:paraId="141EC786">
            <w:pPr>
              <w:spacing w:line="280" w:lineRule="exact"/>
              <w:jc w:val="center"/>
              <w:rPr>
                <w:color w:val="000000"/>
                <w:sz w:val="21"/>
              </w:rPr>
            </w:pPr>
            <w:r>
              <w:rPr>
                <w:color w:val="000000"/>
                <w:sz w:val="21"/>
              </w:rPr>
              <w:t>椭圆形</w:t>
            </w:r>
          </w:p>
        </w:tc>
        <w:tc>
          <w:tcPr>
            <w:tcW w:w="479" w:type="pct"/>
            <w:tcBorders>
              <w:top w:val="single" w:color="auto" w:sz="4" w:space="0"/>
              <w:left w:val="single" w:color="auto" w:sz="4" w:space="0"/>
              <w:bottom w:val="single" w:color="auto" w:sz="4" w:space="0"/>
              <w:right w:val="single" w:color="auto" w:sz="4" w:space="0"/>
            </w:tcBorders>
            <w:vAlign w:val="center"/>
          </w:tcPr>
          <w:p w14:paraId="672EB825">
            <w:pPr>
              <w:spacing w:line="280" w:lineRule="exact"/>
              <w:jc w:val="center"/>
              <w:rPr>
                <w:color w:val="000000"/>
                <w:sz w:val="21"/>
              </w:rPr>
            </w:pPr>
            <w:r>
              <w:rPr>
                <w:color w:val="000000"/>
                <w:sz w:val="21"/>
              </w:rPr>
              <w:t>漏斗</w:t>
            </w:r>
          </w:p>
        </w:tc>
        <w:tc>
          <w:tcPr>
            <w:tcW w:w="451" w:type="pct"/>
            <w:tcBorders>
              <w:top w:val="single" w:color="auto" w:sz="4" w:space="0"/>
              <w:left w:val="single" w:color="auto" w:sz="4" w:space="0"/>
              <w:bottom w:val="single" w:color="auto" w:sz="4" w:space="0"/>
              <w:right w:val="single" w:color="auto" w:sz="4" w:space="0"/>
            </w:tcBorders>
            <w:vAlign w:val="center"/>
          </w:tcPr>
          <w:p w14:paraId="6F9A38D3">
            <w:pPr>
              <w:spacing w:line="280" w:lineRule="exact"/>
              <w:jc w:val="center"/>
              <w:rPr>
                <w:color w:val="000000"/>
                <w:sz w:val="21"/>
              </w:rPr>
            </w:pPr>
            <w:r>
              <w:rPr>
                <w:color w:val="000000"/>
                <w:sz w:val="21"/>
              </w:rPr>
              <w:t>27</w:t>
            </w:r>
          </w:p>
        </w:tc>
        <w:tc>
          <w:tcPr>
            <w:tcW w:w="824" w:type="pct"/>
            <w:tcBorders>
              <w:top w:val="single" w:color="auto" w:sz="4" w:space="0"/>
              <w:left w:val="single" w:color="auto" w:sz="4" w:space="0"/>
              <w:bottom w:val="single" w:color="auto" w:sz="4" w:space="0"/>
              <w:right w:val="single" w:color="auto" w:sz="4" w:space="0"/>
            </w:tcBorders>
            <w:vAlign w:val="center"/>
          </w:tcPr>
          <w:p w14:paraId="603C2E75">
            <w:pPr>
              <w:spacing w:line="280" w:lineRule="exact"/>
              <w:jc w:val="center"/>
              <w:rPr>
                <w:color w:val="000000"/>
                <w:sz w:val="21"/>
              </w:rPr>
            </w:pPr>
            <w:r>
              <w:rPr>
                <w:color w:val="000000"/>
                <w:sz w:val="21"/>
              </w:rPr>
              <w:t>无，降雨下渗</w:t>
            </w:r>
          </w:p>
        </w:tc>
        <w:tc>
          <w:tcPr>
            <w:tcW w:w="783" w:type="pct"/>
            <w:tcBorders>
              <w:top w:val="single" w:color="auto" w:sz="4" w:space="0"/>
              <w:left w:val="single" w:color="auto" w:sz="4" w:space="0"/>
              <w:bottom w:val="single" w:color="auto" w:sz="4" w:space="0"/>
              <w:right w:val="single" w:color="auto" w:sz="4" w:space="0"/>
            </w:tcBorders>
            <w:vAlign w:val="center"/>
          </w:tcPr>
          <w:p w14:paraId="10815651">
            <w:pPr>
              <w:spacing w:line="280" w:lineRule="exact"/>
              <w:jc w:val="center"/>
              <w:rPr>
                <w:color w:val="000000"/>
                <w:sz w:val="21"/>
              </w:rPr>
            </w:pPr>
            <w:r>
              <w:rPr>
                <w:color w:val="000000"/>
                <w:sz w:val="21"/>
              </w:rPr>
              <w:t>稳定</w:t>
            </w:r>
          </w:p>
        </w:tc>
        <w:tc>
          <w:tcPr>
            <w:tcW w:w="554" w:type="pct"/>
            <w:tcBorders>
              <w:top w:val="single" w:color="auto" w:sz="4" w:space="0"/>
              <w:left w:val="single" w:color="auto" w:sz="4" w:space="0"/>
              <w:bottom w:val="single" w:color="auto" w:sz="4" w:space="0"/>
              <w:right w:val="single" w:color="auto" w:sz="4" w:space="0"/>
            </w:tcBorders>
            <w:vAlign w:val="center"/>
          </w:tcPr>
          <w:p w14:paraId="54F41CF1">
            <w:pPr>
              <w:spacing w:line="280" w:lineRule="exact"/>
              <w:jc w:val="center"/>
              <w:rPr>
                <w:color w:val="000000"/>
                <w:sz w:val="21"/>
              </w:rPr>
            </w:pPr>
            <w:r>
              <w:rPr>
                <w:color w:val="000000"/>
                <w:sz w:val="21"/>
              </w:rPr>
              <w:t>420.03</w:t>
            </w:r>
          </w:p>
        </w:tc>
        <w:tc>
          <w:tcPr>
            <w:tcW w:w="496" w:type="pct"/>
            <w:tcBorders>
              <w:top w:val="single" w:color="auto" w:sz="4" w:space="0"/>
              <w:left w:val="single" w:color="auto" w:sz="4" w:space="0"/>
              <w:bottom w:val="single" w:color="auto" w:sz="4" w:space="0"/>
              <w:right w:val="single" w:color="auto" w:sz="2" w:space="0"/>
            </w:tcBorders>
            <w:vAlign w:val="center"/>
          </w:tcPr>
          <w:p w14:paraId="1F5A79AA">
            <w:pPr>
              <w:spacing w:line="280" w:lineRule="exact"/>
              <w:jc w:val="center"/>
              <w:rPr>
                <w:color w:val="000000"/>
                <w:sz w:val="21"/>
              </w:rPr>
            </w:pPr>
            <w:r>
              <w:rPr>
                <w:color w:val="000000"/>
                <w:sz w:val="21"/>
              </w:rPr>
              <w:t>854.85</w:t>
            </w:r>
          </w:p>
        </w:tc>
      </w:tr>
      <w:tr w14:paraId="10AA35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79" w:type="pct"/>
            <w:tcBorders>
              <w:top w:val="single" w:color="auto" w:sz="4" w:space="0"/>
              <w:left w:val="single" w:color="auto" w:sz="2" w:space="0"/>
              <w:bottom w:val="single" w:color="auto" w:sz="4" w:space="0"/>
              <w:right w:val="single" w:color="auto" w:sz="4" w:space="0"/>
            </w:tcBorders>
            <w:vAlign w:val="center"/>
          </w:tcPr>
          <w:p w14:paraId="2445FE17">
            <w:pPr>
              <w:spacing w:line="280" w:lineRule="exact"/>
              <w:jc w:val="center"/>
              <w:rPr>
                <w:color w:val="000000"/>
                <w:sz w:val="21"/>
              </w:rPr>
            </w:pPr>
            <w:r>
              <w:rPr>
                <w:color w:val="000000"/>
                <w:sz w:val="21"/>
              </w:rPr>
              <w:t>大坑</w:t>
            </w:r>
          </w:p>
        </w:tc>
        <w:tc>
          <w:tcPr>
            <w:tcW w:w="358" w:type="pct"/>
            <w:tcBorders>
              <w:top w:val="single" w:color="auto" w:sz="4" w:space="0"/>
              <w:left w:val="single" w:color="auto" w:sz="4" w:space="0"/>
              <w:bottom w:val="single" w:color="auto" w:sz="4" w:space="0"/>
              <w:right w:val="single" w:color="auto" w:sz="4" w:space="0"/>
            </w:tcBorders>
            <w:vAlign w:val="center"/>
          </w:tcPr>
          <w:p w14:paraId="3D8B70BE">
            <w:pPr>
              <w:spacing w:line="280" w:lineRule="exact"/>
              <w:jc w:val="center"/>
              <w:rPr>
                <w:color w:val="000000"/>
                <w:sz w:val="21"/>
              </w:rPr>
            </w:pPr>
            <w:r>
              <w:rPr>
                <w:color w:val="000000"/>
                <w:sz w:val="21"/>
              </w:rPr>
              <w:t>T</w:t>
            </w:r>
            <w:r>
              <w:rPr>
                <w:color w:val="000000"/>
                <w:sz w:val="21"/>
                <w:vertAlign w:val="subscript"/>
              </w:rPr>
              <w:t>1j</w:t>
            </w:r>
            <w:r>
              <w:rPr>
                <w:color w:val="000000"/>
                <w:sz w:val="21"/>
                <w:vertAlign w:val="superscript"/>
              </w:rPr>
              <w:t>4</w:t>
            </w:r>
          </w:p>
        </w:tc>
        <w:tc>
          <w:tcPr>
            <w:tcW w:w="572" w:type="pct"/>
            <w:tcBorders>
              <w:top w:val="single" w:color="auto" w:sz="4" w:space="0"/>
              <w:left w:val="single" w:color="auto" w:sz="4" w:space="0"/>
              <w:bottom w:val="single" w:color="auto" w:sz="4" w:space="0"/>
              <w:right w:val="single" w:color="auto" w:sz="4" w:space="0"/>
            </w:tcBorders>
            <w:vAlign w:val="center"/>
          </w:tcPr>
          <w:p w14:paraId="346663DF">
            <w:pPr>
              <w:spacing w:line="280" w:lineRule="exact"/>
              <w:jc w:val="center"/>
              <w:rPr>
                <w:color w:val="000000"/>
                <w:sz w:val="21"/>
              </w:rPr>
            </w:pPr>
            <w:r>
              <w:rPr>
                <w:color w:val="000000"/>
                <w:sz w:val="21"/>
              </w:rPr>
              <w:t>圆形</w:t>
            </w:r>
          </w:p>
        </w:tc>
        <w:tc>
          <w:tcPr>
            <w:tcW w:w="479" w:type="pct"/>
            <w:tcBorders>
              <w:top w:val="single" w:color="auto" w:sz="4" w:space="0"/>
              <w:left w:val="single" w:color="auto" w:sz="4" w:space="0"/>
              <w:bottom w:val="single" w:color="auto" w:sz="4" w:space="0"/>
              <w:right w:val="single" w:color="auto" w:sz="4" w:space="0"/>
            </w:tcBorders>
            <w:vAlign w:val="center"/>
          </w:tcPr>
          <w:p w14:paraId="2A11E25D">
            <w:pPr>
              <w:spacing w:line="280" w:lineRule="exact"/>
              <w:jc w:val="center"/>
              <w:rPr>
                <w:color w:val="000000"/>
                <w:sz w:val="21"/>
              </w:rPr>
            </w:pPr>
            <w:r>
              <w:rPr>
                <w:color w:val="000000"/>
                <w:sz w:val="21"/>
              </w:rPr>
              <w:t>地堑</w:t>
            </w:r>
          </w:p>
        </w:tc>
        <w:tc>
          <w:tcPr>
            <w:tcW w:w="451" w:type="pct"/>
            <w:tcBorders>
              <w:top w:val="single" w:color="auto" w:sz="4" w:space="0"/>
              <w:left w:val="single" w:color="auto" w:sz="4" w:space="0"/>
              <w:bottom w:val="single" w:color="auto" w:sz="4" w:space="0"/>
              <w:right w:val="single" w:color="auto" w:sz="4" w:space="0"/>
            </w:tcBorders>
            <w:vAlign w:val="center"/>
          </w:tcPr>
          <w:p w14:paraId="0E7D8146">
            <w:pPr>
              <w:spacing w:line="280" w:lineRule="exact"/>
              <w:jc w:val="center"/>
              <w:rPr>
                <w:color w:val="000000"/>
                <w:sz w:val="21"/>
              </w:rPr>
            </w:pPr>
            <w:r>
              <w:rPr>
                <w:color w:val="000000"/>
                <w:sz w:val="21"/>
              </w:rPr>
              <w:t>16.2</w:t>
            </w:r>
          </w:p>
        </w:tc>
        <w:tc>
          <w:tcPr>
            <w:tcW w:w="824" w:type="pct"/>
            <w:tcBorders>
              <w:top w:val="single" w:color="auto" w:sz="4" w:space="0"/>
              <w:left w:val="single" w:color="auto" w:sz="4" w:space="0"/>
              <w:bottom w:val="single" w:color="auto" w:sz="4" w:space="0"/>
              <w:right w:val="single" w:color="auto" w:sz="4" w:space="0"/>
            </w:tcBorders>
            <w:vAlign w:val="center"/>
          </w:tcPr>
          <w:p w14:paraId="4426C365">
            <w:pPr>
              <w:spacing w:line="280" w:lineRule="exact"/>
              <w:jc w:val="center"/>
              <w:rPr>
                <w:color w:val="000000"/>
                <w:sz w:val="21"/>
              </w:rPr>
            </w:pPr>
            <w:r>
              <w:rPr>
                <w:color w:val="000000"/>
                <w:sz w:val="21"/>
              </w:rPr>
              <w:t>无，降雨下渗</w:t>
            </w:r>
          </w:p>
        </w:tc>
        <w:tc>
          <w:tcPr>
            <w:tcW w:w="783" w:type="pct"/>
            <w:tcBorders>
              <w:top w:val="single" w:color="auto" w:sz="4" w:space="0"/>
              <w:left w:val="single" w:color="auto" w:sz="4" w:space="0"/>
              <w:bottom w:val="single" w:color="auto" w:sz="4" w:space="0"/>
              <w:right w:val="single" w:color="auto" w:sz="4" w:space="0"/>
            </w:tcBorders>
            <w:vAlign w:val="center"/>
          </w:tcPr>
          <w:p w14:paraId="5688F5B3">
            <w:pPr>
              <w:spacing w:line="280" w:lineRule="exact"/>
              <w:jc w:val="center"/>
              <w:rPr>
                <w:color w:val="000000"/>
                <w:sz w:val="21"/>
              </w:rPr>
            </w:pPr>
            <w:r>
              <w:rPr>
                <w:color w:val="000000"/>
                <w:sz w:val="21"/>
              </w:rPr>
              <w:t>稳定（有弃土)</w:t>
            </w:r>
          </w:p>
        </w:tc>
        <w:tc>
          <w:tcPr>
            <w:tcW w:w="554" w:type="pct"/>
            <w:tcBorders>
              <w:top w:val="single" w:color="auto" w:sz="4" w:space="0"/>
              <w:left w:val="single" w:color="auto" w:sz="4" w:space="0"/>
              <w:bottom w:val="single" w:color="auto" w:sz="4" w:space="0"/>
              <w:right w:val="single" w:color="auto" w:sz="4" w:space="0"/>
            </w:tcBorders>
            <w:vAlign w:val="center"/>
          </w:tcPr>
          <w:p w14:paraId="73FC114B">
            <w:pPr>
              <w:spacing w:line="280" w:lineRule="exact"/>
              <w:jc w:val="center"/>
              <w:rPr>
                <w:color w:val="000000"/>
                <w:sz w:val="21"/>
              </w:rPr>
            </w:pPr>
            <w:r>
              <w:rPr>
                <w:color w:val="000000"/>
                <w:sz w:val="21"/>
              </w:rPr>
              <w:t>812.39</w:t>
            </w:r>
          </w:p>
        </w:tc>
        <w:tc>
          <w:tcPr>
            <w:tcW w:w="496" w:type="pct"/>
            <w:tcBorders>
              <w:top w:val="single" w:color="auto" w:sz="4" w:space="0"/>
              <w:left w:val="single" w:color="auto" w:sz="4" w:space="0"/>
              <w:bottom w:val="single" w:color="auto" w:sz="4" w:space="0"/>
              <w:right w:val="single" w:color="auto" w:sz="2" w:space="0"/>
            </w:tcBorders>
            <w:vAlign w:val="center"/>
          </w:tcPr>
          <w:p w14:paraId="32321BB0">
            <w:pPr>
              <w:spacing w:line="280" w:lineRule="exact"/>
              <w:jc w:val="center"/>
              <w:rPr>
                <w:color w:val="000000"/>
                <w:sz w:val="21"/>
              </w:rPr>
            </w:pPr>
            <w:r>
              <w:rPr>
                <w:color w:val="000000"/>
                <w:sz w:val="21"/>
              </w:rPr>
              <w:t>1711.63</w:t>
            </w:r>
          </w:p>
        </w:tc>
      </w:tr>
      <w:tr w14:paraId="43CDCB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79" w:type="pct"/>
            <w:tcBorders>
              <w:top w:val="single" w:color="auto" w:sz="4" w:space="0"/>
              <w:left w:val="single" w:color="auto" w:sz="2" w:space="0"/>
              <w:bottom w:val="single" w:color="auto" w:sz="2" w:space="0"/>
              <w:right w:val="single" w:color="auto" w:sz="4" w:space="0"/>
            </w:tcBorders>
            <w:vAlign w:val="center"/>
          </w:tcPr>
          <w:p w14:paraId="52250D8A">
            <w:pPr>
              <w:spacing w:line="280" w:lineRule="exact"/>
              <w:jc w:val="center"/>
              <w:rPr>
                <w:color w:val="000000"/>
                <w:sz w:val="21"/>
              </w:rPr>
            </w:pPr>
            <w:r>
              <w:rPr>
                <w:color w:val="000000"/>
                <w:sz w:val="21"/>
              </w:rPr>
              <w:t>TX1</w:t>
            </w:r>
          </w:p>
        </w:tc>
        <w:tc>
          <w:tcPr>
            <w:tcW w:w="358" w:type="pct"/>
            <w:tcBorders>
              <w:top w:val="single" w:color="auto" w:sz="4" w:space="0"/>
              <w:left w:val="single" w:color="auto" w:sz="4" w:space="0"/>
              <w:bottom w:val="single" w:color="auto" w:sz="2" w:space="0"/>
              <w:right w:val="single" w:color="auto" w:sz="4" w:space="0"/>
            </w:tcBorders>
            <w:vAlign w:val="center"/>
          </w:tcPr>
          <w:p w14:paraId="7714F74C">
            <w:pPr>
              <w:spacing w:line="280" w:lineRule="exact"/>
              <w:jc w:val="center"/>
              <w:rPr>
                <w:color w:val="000000"/>
                <w:sz w:val="21"/>
              </w:rPr>
            </w:pPr>
            <w:r>
              <w:rPr>
                <w:color w:val="000000"/>
                <w:sz w:val="21"/>
              </w:rPr>
              <w:t>T</w:t>
            </w:r>
            <w:r>
              <w:rPr>
                <w:color w:val="000000"/>
                <w:sz w:val="21"/>
                <w:vertAlign w:val="subscript"/>
              </w:rPr>
              <w:t>1j</w:t>
            </w:r>
            <w:r>
              <w:rPr>
                <w:color w:val="000000"/>
                <w:sz w:val="21"/>
                <w:vertAlign w:val="superscript"/>
              </w:rPr>
              <w:t>3</w:t>
            </w:r>
          </w:p>
        </w:tc>
        <w:tc>
          <w:tcPr>
            <w:tcW w:w="572" w:type="pct"/>
            <w:tcBorders>
              <w:top w:val="single" w:color="auto" w:sz="4" w:space="0"/>
              <w:left w:val="single" w:color="auto" w:sz="4" w:space="0"/>
              <w:bottom w:val="single" w:color="auto" w:sz="2" w:space="0"/>
              <w:right w:val="single" w:color="auto" w:sz="4" w:space="0"/>
            </w:tcBorders>
            <w:vAlign w:val="center"/>
          </w:tcPr>
          <w:p w14:paraId="07F80F2D">
            <w:pPr>
              <w:spacing w:line="280" w:lineRule="exact"/>
              <w:jc w:val="center"/>
              <w:rPr>
                <w:color w:val="000000"/>
                <w:sz w:val="21"/>
              </w:rPr>
            </w:pPr>
            <w:r>
              <w:rPr>
                <w:color w:val="000000"/>
                <w:sz w:val="21"/>
              </w:rPr>
              <w:t>圆形</w:t>
            </w:r>
          </w:p>
        </w:tc>
        <w:tc>
          <w:tcPr>
            <w:tcW w:w="479" w:type="pct"/>
            <w:tcBorders>
              <w:top w:val="single" w:color="auto" w:sz="4" w:space="0"/>
              <w:left w:val="single" w:color="auto" w:sz="4" w:space="0"/>
              <w:bottom w:val="single" w:color="auto" w:sz="2" w:space="0"/>
              <w:right w:val="single" w:color="auto" w:sz="4" w:space="0"/>
            </w:tcBorders>
            <w:vAlign w:val="center"/>
          </w:tcPr>
          <w:p w14:paraId="50C01407">
            <w:pPr>
              <w:spacing w:line="280" w:lineRule="exact"/>
              <w:jc w:val="center"/>
              <w:rPr>
                <w:color w:val="000000"/>
                <w:sz w:val="21"/>
              </w:rPr>
            </w:pPr>
            <w:r>
              <w:rPr>
                <w:color w:val="000000"/>
                <w:sz w:val="21"/>
              </w:rPr>
              <w:t>地堑</w:t>
            </w:r>
          </w:p>
        </w:tc>
        <w:tc>
          <w:tcPr>
            <w:tcW w:w="451" w:type="pct"/>
            <w:tcBorders>
              <w:top w:val="single" w:color="auto" w:sz="4" w:space="0"/>
              <w:left w:val="single" w:color="auto" w:sz="4" w:space="0"/>
              <w:bottom w:val="single" w:color="auto" w:sz="2" w:space="0"/>
              <w:right w:val="single" w:color="auto" w:sz="4" w:space="0"/>
            </w:tcBorders>
            <w:vAlign w:val="center"/>
          </w:tcPr>
          <w:p w14:paraId="24CF375B">
            <w:pPr>
              <w:spacing w:line="280" w:lineRule="exact"/>
              <w:jc w:val="center"/>
              <w:rPr>
                <w:color w:val="000000"/>
                <w:sz w:val="21"/>
              </w:rPr>
            </w:pPr>
            <w:r>
              <w:rPr>
                <w:color w:val="000000"/>
                <w:sz w:val="21"/>
              </w:rPr>
              <w:t>2.5</w:t>
            </w:r>
          </w:p>
        </w:tc>
        <w:tc>
          <w:tcPr>
            <w:tcW w:w="824" w:type="pct"/>
            <w:tcBorders>
              <w:top w:val="single" w:color="auto" w:sz="4" w:space="0"/>
              <w:left w:val="single" w:color="auto" w:sz="4" w:space="0"/>
              <w:bottom w:val="single" w:color="auto" w:sz="2" w:space="0"/>
              <w:right w:val="single" w:color="auto" w:sz="4" w:space="0"/>
            </w:tcBorders>
            <w:vAlign w:val="center"/>
          </w:tcPr>
          <w:p w14:paraId="2A48A94D">
            <w:pPr>
              <w:spacing w:line="280" w:lineRule="exact"/>
              <w:jc w:val="center"/>
              <w:rPr>
                <w:color w:val="000000"/>
                <w:sz w:val="21"/>
              </w:rPr>
            </w:pPr>
            <w:r>
              <w:rPr>
                <w:color w:val="000000"/>
                <w:sz w:val="21"/>
              </w:rPr>
              <w:t>无，降雨下渗</w:t>
            </w:r>
          </w:p>
        </w:tc>
        <w:tc>
          <w:tcPr>
            <w:tcW w:w="783" w:type="pct"/>
            <w:tcBorders>
              <w:top w:val="single" w:color="auto" w:sz="4" w:space="0"/>
              <w:left w:val="single" w:color="auto" w:sz="4" w:space="0"/>
              <w:bottom w:val="single" w:color="auto" w:sz="2" w:space="0"/>
              <w:right w:val="single" w:color="auto" w:sz="4" w:space="0"/>
            </w:tcBorders>
            <w:vAlign w:val="center"/>
          </w:tcPr>
          <w:p w14:paraId="72852472">
            <w:pPr>
              <w:spacing w:line="280" w:lineRule="exact"/>
              <w:jc w:val="center"/>
              <w:rPr>
                <w:color w:val="000000"/>
                <w:sz w:val="21"/>
              </w:rPr>
            </w:pPr>
            <w:r>
              <w:rPr>
                <w:color w:val="000000"/>
                <w:sz w:val="21"/>
              </w:rPr>
              <w:t>稳定</w:t>
            </w:r>
          </w:p>
        </w:tc>
        <w:tc>
          <w:tcPr>
            <w:tcW w:w="554" w:type="pct"/>
            <w:tcBorders>
              <w:top w:val="single" w:color="auto" w:sz="4" w:space="0"/>
              <w:left w:val="single" w:color="auto" w:sz="4" w:space="0"/>
              <w:bottom w:val="single" w:color="auto" w:sz="2" w:space="0"/>
              <w:right w:val="single" w:color="auto" w:sz="4" w:space="0"/>
            </w:tcBorders>
            <w:vAlign w:val="center"/>
          </w:tcPr>
          <w:p w14:paraId="1FC61AC4">
            <w:pPr>
              <w:spacing w:line="280" w:lineRule="exact"/>
              <w:jc w:val="center"/>
              <w:rPr>
                <w:color w:val="000000"/>
                <w:sz w:val="21"/>
              </w:rPr>
            </w:pPr>
            <w:r>
              <w:rPr>
                <w:color w:val="000000"/>
                <w:sz w:val="21"/>
              </w:rPr>
              <w:t>155.05</w:t>
            </w:r>
          </w:p>
        </w:tc>
        <w:tc>
          <w:tcPr>
            <w:tcW w:w="496" w:type="pct"/>
            <w:tcBorders>
              <w:top w:val="single" w:color="auto" w:sz="4" w:space="0"/>
              <w:left w:val="single" w:color="auto" w:sz="4" w:space="0"/>
              <w:bottom w:val="single" w:color="auto" w:sz="2" w:space="0"/>
              <w:right w:val="single" w:color="auto" w:sz="2" w:space="0"/>
            </w:tcBorders>
            <w:vAlign w:val="center"/>
          </w:tcPr>
          <w:p w14:paraId="44A661A6">
            <w:pPr>
              <w:spacing w:line="280" w:lineRule="exact"/>
              <w:jc w:val="center"/>
              <w:rPr>
                <w:color w:val="000000"/>
                <w:sz w:val="21"/>
              </w:rPr>
            </w:pPr>
            <w:r>
              <w:rPr>
                <w:color w:val="000000"/>
                <w:sz w:val="21"/>
              </w:rPr>
              <w:t>200</w:t>
            </w:r>
          </w:p>
        </w:tc>
      </w:tr>
    </w:tbl>
    <w:p w14:paraId="5C9F8E5F">
      <w:pPr>
        <w:pStyle w:val="2197"/>
        <w:ind w:firstLine="480"/>
        <w:rPr>
          <w:rFonts w:cs="Times New Roman"/>
          <w:color w:val="000000"/>
          <w:sz w:val="24"/>
          <w:szCs w:val="21"/>
        </w:rPr>
      </w:pPr>
      <w:r>
        <w:rPr>
          <w:rFonts w:cs="Times New Roman"/>
          <w:color w:val="000000"/>
          <w:sz w:val="24"/>
          <w:szCs w:val="21"/>
        </w:rPr>
        <w:t>落水洞为地下暗河的垂直补给入口，根据其塌陷深度及现场钻探可知，地下暗河埋深在30m以上。据调查及区域资料表明，该暗河走向与构造轴部走向基本一致。</w:t>
      </w:r>
    </w:p>
    <w:p w14:paraId="63EAD66C">
      <w:pPr>
        <w:pStyle w:val="771"/>
        <w:rPr>
          <w:b/>
          <w:bCs w:val="0"/>
          <w:color w:val="000000"/>
        </w:rPr>
      </w:pPr>
      <w:bookmarkStart w:id="417" w:name="_Toc499492791"/>
      <w:r>
        <w:rPr>
          <w:b/>
          <w:bCs w:val="0"/>
          <w:color w:val="000000"/>
        </w:rPr>
        <w:t>4.1.7 自然资源</w:t>
      </w:r>
      <w:bookmarkEnd w:id="417"/>
    </w:p>
    <w:p w14:paraId="5386E76D">
      <w:pPr>
        <w:ind w:firstLine="480"/>
        <w:rPr>
          <w:color w:val="000000"/>
        </w:rPr>
      </w:pPr>
      <w:r>
        <w:rPr>
          <w:color w:val="000000"/>
        </w:rPr>
        <w:t>武陵山国家森林公园地处涪陵区国有大木林场，北抵长江，两临乌江，山上森林茂密，峰峦叠峰，具有中国少有的千顷柳杉林之奇、“鸟鸣谷”之幽、“揽月峰”之雄、“千尺崖”之陆、“常春谷”之野。春可赏花，夏可避暑，秋可观果，冬可滑雪，称得上“五步一个景，十步一重大”，林海茫茫，花果累累、奇峰异洞，风光旖旎，令人向往，是一个国家级的森林公园。</w:t>
      </w:r>
    </w:p>
    <w:p w14:paraId="5C0B10ED">
      <w:pPr>
        <w:ind w:firstLine="480"/>
        <w:rPr>
          <w:color w:val="000000"/>
        </w:rPr>
      </w:pPr>
      <w:r>
        <w:rPr>
          <w:color w:val="000000"/>
        </w:rPr>
        <w:t>重庆大木山自然保护区（市级）地处武陵山北端余脉，位于涪陵区东南边缘，地理坐标在东经107°30′44″―107°43′43″，北纬29°25′45″―29°39′58″之间。保护区原总面积14775.2hm</w:t>
      </w:r>
      <w:r>
        <w:rPr>
          <w:color w:val="000000"/>
          <w:vertAlign w:val="superscript"/>
        </w:rPr>
        <w:t>2</w:t>
      </w:r>
      <w:r>
        <w:rPr>
          <w:color w:val="000000"/>
        </w:rPr>
        <w:t>，其中核心区面积4398.1 hm</w:t>
      </w:r>
      <w:r>
        <w:rPr>
          <w:color w:val="000000"/>
          <w:vertAlign w:val="superscript"/>
        </w:rPr>
        <w:t>2</w:t>
      </w:r>
      <w:r>
        <w:rPr>
          <w:color w:val="000000"/>
        </w:rPr>
        <w:t>、缓冲区面积2910.2hm</w:t>
      </w:r>
      <w:r>
        <w:rPr>
          <w:color w:val="000000"/>
          <w:vertAlign w:val="superscript"/>
        </w:rPr>
        <w:t>2</w:t>
      </w:r>
      <w:r>
        <w:rPr>
          <w:color w:val="000000"/>
        </w:rPr>
        <w:t>、实验区面积7466.9hm</w:t>
      </w:r>
      <w:r>
        <w:rPr>
          <w:color w:val="000000"/>
          <w:vertAlign w:val="superscript"/>
        </w:rPr>
        <w:t>2</w:t>
      </w:r>
      <w:r>
        <w:rPr>
          <w:color w:val="000000"/>
        </w:rPr>
        <w:t>。主要保护对象为国家重点保护野生动植物及其森林生态系统。为支持渝怀铁路复线建设，促进当地经济社会可持续发展，2012年12月7日，重庆市人民政府以渝府[2012]101号文《重庆市人民政府关于重庆大木山市级自然保护区范围及功能区调整的批复》同意对重庆大木山市级自然保护区范围及功能区做适当调整。调整后，保护区位于东经107°30′44″―107°43′43″，北纬29°25′45″―29°39′58″之间，总面积14480.1公顷，其中核心区4585.5公顷、缓冲区2852公顷、实验区7042.6公顷。</w:t>
      </w:r>
    </w:p>
    <w:p w14:paraId="040B07E4">
      <w:pPr>
        <w:ind w:firstLine="480"/>
        <w:rPr>
          <w:rStyle w:val="2188"/>
          <w:rFonts w:hint="default" w:ascii="Times New Roman" w:hAnsi="Times New Roman"/>
        </w:rPr>
      </w:pPr>
      <w:r>
        <w:rPr>
          <w:rStyle w:val="2188"/>
          <w:rFonts w:hint="default" w:ascii="Times New Roman" w:hAnsi="Times New Roman"/>
        </w:rPr>
        <w:t>涪陵区主要矿产有煤、天然气、铁、铝土矿、石灰石等。原煤储量3071万t，石灰石储量4亿t，天然气储量17亿m</w:t>
      </w:r>
      <w:r>
        <w:rPr>
          <w:rStyle w:val="2188"/>
          <w:rFonts w:hint="default" w:ascii="Times New Roman" w:hAnsi="Times New Roman"/>
          <w:vertAlign w:val="superscript"/>
        </w:rPr>
        <w:t>3</w:t>
      </w:r>
      <w:r>
        <w:rPr>
          <w:rStyle w:val="2188"/>
          <w:rFonts w:hint="default" w:ascii="Times New Roman" w:hAnsi="Times New Roman"/>
        </w:rPr>
        <w:t>，铁矿储量2249万t，铝土矿储量54万t。</w:t>
      </w:r>
    </w:p>
    <w:p w14:paraId="1675C05D">
      <w:pPr>
        <w:pStyle w:val="770"/>
        <w:rPr>
          <w:color w:val="000000"/>
        </w:rPr>
      </w:pPr>
      <w:bookmarkStart w:id="418" w:name="_Toc499492792"/>
      <w:bookmarkStart w:id="419" w:name="_Toc500935231"/>
      <w:bookmarkStart w:id="420" w:name="_Toc504084418"/>
      <w:bookmarkStart w:id="421" w:name="_Toc519673424"/>
      <w:bookmarkStart w:id="422" w:name="_Toc26895339"/>
      <w:bookmarkStart w:id="423" w:name="_Toc28653"/>
      <w:r>
        <w:rPr>
          <w:color w:val="000000"/>
        </w:rPr>
        <w:t>4.2 发展规划</w:t>
      </w:r>
      <w:bookmarkEnd w:id="418"/>
      <w:bookmarkEnd w:id="419"/>
      <w:bookmarkEnd w:id="420"/>
      <w:bookmarkEnd w:id="421"/>
      <w:bookmarkEnd w:id="422"/>
      <w:bookmarkEnd w:id="423"/>
    </w:p>
    <w:p w14:paraId="26986B12">
      <w:pPr>
        <w:pStyle w:val="771"/>
        <w:rPr>
          <w:color w:val="000000"/>
        </w:rPr>
      </w:pPr>
      <w:bookmarkStart w:id="424" w:name="_Toc499492793"/>
      <w:r>
        <w:rPr>
          <w:color w:val="000000"/>
        </w:rPr>
        <w:t xml:space="preserve">4.2.1 </w:t>
      </w:r>
      <w:bookmarkEnd w:id="424"/>
      <w:r>
        <w:rPr>
          <w:color w:val="000000"/>
        </w:rPr>
        <w:t>重庆市涪陵区城乡总体规划（2015-2035年）</w:t>
      </w:r>
    </w:p>
    <w:p w14:paraId="0097AB2F">
      <w:pPr>
        <w:pStyle w:val="651"/>
        <w:spacing w:line="360" w:lineRule="auto"/>
        <w:ind w:firstLine="480" w:firstLineChars="200"/>
        <w:jc w:val="both"/>
        <w:rPr>
          <w:color w:val="000000"/>
          <w:kern w:val="0"/>
          <w:sz w:val="24"/>
          <w:szCs w:val="21"/>
        </w:rPr>
      </w:pPr>
      <w:r>
        <w:rPr>
          <w:color w:val="000000"/>
          <w:kern w:val="0"/>
          <w:sz w:val="24"/>
          <w:szCs w:val="21"/>
        </w:rPr>
        <w:t>《重庆市涪陵区城乡总体规划（2015-2035年）》中指出：</w:t>
      </w:r>
    </w:p>
    <w:p w14:paraId="7755854B">
      <w:pPr>
        <w:pStyle w:val="651"/>
        <w:spacing w:line="360" w:lineRule="auto"/>
        <w:ind w:firstLine="480" w:firstLineChars="200"/>
        <w:jc w:val="both"/>
        <w:rPr>
          <w:color w:val="000000"/>
          <w:kern w:val="0"/>
          <w:sz w:val="24"/>
          <w:szCs w:val="21"/>
        </w:rPr>
      </w:pPr>
      <w:r>
        <w:rPr>
          <w:color w:val="000000"/>
          <w:kern w:val="0"/>
          <w:sz w:val="24"/>
          <w:szCs w:val="21"/>
        </w:rPr>
        <w:t>1、实施挥发性有机物排放达标专项整治。制定综合整治方案，推进汽车摩托车制造维修……石油化工、医药制造、有机化学品制造……等行业企业以及油品储运销等交通源挥发性有机物污染防治，在石化行业开展“泄漏检测与修复”工作。重点控制区域新建、改建、扩建涉挥发性有机物排放的项目，要加强源头控制，使用低（无）挥发性有机物含量的原辅料。开展挥发性有机物整治专项执法行动，严厉打击违法排污行为。按照国家要求，加强对挥发性有机物治理和服务单位的管理。</w:t>
      </w:r>
    </w:p>
    <w:p w14:paraId="147AD22D">
      <w:pPr>
        <w:pStyle w:val="651"/>
        <w:spacing w:line="360" w:lineRule="auto"/>
        <w:ind w:firstLine="480" w:firstLineChars="200"/>
        <w:jc w:val="left"/>
        <w:rPr>
          <w:color w:val="000000"/>
          <w:kern w:val="0"/>
          <w:sz w:val="24"/>
          <w:szCs w:val="21"/>
        </w:rPr>
      </w:pPr>
      <w:r>
        <w:rPr>
          <w:color w:val="000000"/>
          <w:kern w:val="0"/>
          <w:sz w:val="24"/>
          <w:szCs w:val="21"/>
        </w:rPr>
        <w:t>2、深化重点行业大气污染治理。持续推进工业污染源全面达标排放，逐步将烟气在线监测数据作为执法依据，对未达标排放的企业依法依规停产整治。严格落实排污许可制度，2020年年底前，完成排污许可管理名录规定的行业许可证核发。参与开展大气氨排放控制试点。</w:t>
      </w:r>
    </w:p>
    <w:p w14:paraId="03973EFE">
      <w:pPr>
        <w:pStyle w:val="651"/>
        <w:spacing w:line="360" w:lineRule="auto"/>
        <w:ind w:firstLine="480" w:firstLineChars="200"/>
        <w:jc w:val="both"/>
        <w:rPr>
          <w:color w:val="000000"/>
          <w:kern w:val="0"/>
          <w:sz w:val="24"/>
          <w:szCs w:val="21"/>
        </w:rPr>
      </w:pPr>
      <w:r>
        <w:rPr>
          <w:color w:val="000000"/>
          <w:kern w:val="0"/>
          <w:sz w:val="24"/>
          <w:szCs w:val="21"/>
        </w:rPr>
        <w:t>3、开展工业锅炉综合整治。加大对纯凝机组和热电联产机组技术改造力度，加快供热管网建设，充分释放和提高供热能力，淘汰管网覆盖范围内的燃煤锅炉和散煤。推广清洁高效燃煤锅炉，在不具备热电联产集中供热条件的地区，现有多台燃煤小锅炉的，可按照等容量替代原则建设大容量燃煤锅炉。加强燃气锅炉氮氧化物排放治理，鼓励具备条件的生物质锅炉实施清洁能源或超低排放改造。鼓励工业炉窑使用电、天然气等清洁能源或由周边热电厂供热。按照国、市要求，加强燃煤热风炉、燃煤加热和烘干炉（窑）、煤气发生炉等工业炉窑整治工作，禁止掺烧高硫石油焦，对未列入清单的工业炉窑均纳入秋冬季错峰生产方案，按相关规定实施停产。</w:t>
      </w:r>
    </w:p>
    <w:p w14:paraId="289B6ABB">
      <w:pPr>
        <w:pStyle w:val="651"/>
        <w:spacing w:line="360" w:lineRule="auto"/>
        <w:ind w:firstLine="480" w:firstLineChars="200"/>
        <w:jc w:val="both"/>
        <w:rPr>
          <w:color w:val="000000"/>
          <w:kern w:val="0"/>
          <w:sz w:val="24"/>
          <w:szCs w:val="21"/>
        </w:rPr>
      </w:pPr>
      <w:r>
        <w:rPr>
          <w:color w:val="000000"/>
          <w:kern w:val="0"/>
          <w:sz w:val="24"/>
          <w:szCs w:val="21"/>
        </w:rPr>
        <w:t>推进工业园区环保设施升级。大力推进企业清洁生产，到2020年，重点企业清洁生产审核比例达到90%以上。</w:t>
      </w:r>
    </w:p>
    <w:p w14:paraId="4F50BCBE">
      <w:pPr>
        <w:ind w:firstLine="480" w:firstLineChars="200"/>
        <w:rPr>
          <w:color w:val="000000"/>
          <w:kern w:val="0"/>
        </w:rPr>
      </w:pPr>
      <w:r>
        <w:rPr>
          <w:color w:val="000000"/>
          <w:kern w:val="0"/>
        </w:rPr>
        <w:t>4、持续优化产业布局。完成生态保护红线、环境质量底线、资源利用上线、环境准入清单编制工作，明确禁止和限制发展的行业、生产工艺和产业目录。严格落实高耗能、高污染和资源型行业准入条件。严格落实规划环评和区域环评制度，新建、改建、扩建钢铁、石化、化工、焦化、建材、有色等项目的环境影响评价，确保满足区域、规划环评要求。严格控制新建和扩建燃煤火电、化工、水泥、采（碎）石场、烧结砖瓦窑以及燃煤锅炉等大气污染严重的项目。</w:t>
      </w:r>
    </w:p>
    <w:p w14:paraId="22084A34">
      <w:pPr>
        <w:pStyle w:val="771"/>
        <w:rPr>
          <w:color w:val="000000"/>
        </w:rPr>
      </w:pPr>
      <w:bookmarkStart w:id="425" w:name="_Toc499492794"/>
      <w:r>
        <w:rPr>
          <w:color w:val="000000"/>
        </w:rPr>
        <w:t xml:space="preserve">4.2.2 </w:t>
      </w:r>
      <w:bookmarkEnd w:id="425"/>
      <w:r>
        <w:rPr>
          <w:color w:val="000000"/>
        </w:rPr>
        <w:t>重庆白涛化工园区</w:t>
      </w:r>
    </w:p>
    <w:p w14:paraId="2AF21C94">
      <w:pPr>
        <w:pStyle w:val="785"/>
        <w:rPr>
          <w:color w:val="000000"/>
          <w:szCs w:val="24"/>
          <w:lang w:val="en-US"/>
        </w:rPr>
      </w:pPr>
      <w:r>
        <w:rPr>
          <w:color w:val="000000"/>
          <w:szCs w:val="24"/>
          <w:lang w:val="en-US"/>
        </w:rPr>
        <w:t>4.2.2.1规划范围及规模</w:t>
      </w:r>
    </w:p>
    <w:p w14:paraId="06D98C25">
      <w:pPr>
        <w:ind w:firstLine="480"/>
        <w:rPr>
          <w:color w:val="000000"/>
        </w:rPr>
      </w:pPr>
      <w:r>
        <w:rPr>
          <w:color w:val="000000"/>
        </w:rPr>
        <w:t>（1）规划名称：重庆白涛化工园区规划修编。</w:t>
      </w:r>
    </w:p>
    <w:p w14:paraId="324C9EA2">
      <w:pPr>
        <w:ind w:firstLine="480"/>
        <w:rPr>
          <w:color w:val="000000"/>
        </w:rPr>
      </w:pPr>
      <w:r>
        <w:rPr>
          <w:color w:val="000000"/>
        </w:rPr>
        <w:t>（2）规划面积：总规划面积15.0km</w:t>
      </w:r>
      <w:r>
        <w:rPr>
          <w:color w:val="000000"/>
          <w:vertAlign w:val="superscript"/>
        </w:rPr>
        <w:t>2</w:t>
      </w:r>
      <w:r>
        <w:rPr>
          <w:color w:val="000000"/>
        </w:rPr>
        <w:t>，其中建设用地面积13.04km</w:t>
      </w:r>
      <w:r>
        <w:rPr>
          <w:color w:val="000000"/>
          <w:vertAlign w:val="superscript"/>
        </w:rPr>
        <w:t>2</w:t>
      </w:r>
      <w:r>
        <w:rPr>
          <w:color w:val="000000"/>
        </w:rPr>
        <w:t>。</w:t>
      </w:r>
    </w:p>
    <w:p w14:paraId="0F9050C9">
      <w:pPr>
        <w:ind w:firstLine="480"/>
        <w:rPr>
          <w:color w:val="000000"/>
        </w:rPr>
      </w:pPr>
      <w:r>
        <w:rPr>
          <w:color w:val="000000"/>
        </w:rPr>
        <w:t>（3）四至范围：规划区西起乌江边界，东至白涛街道办事处山窝场，北至规划铁路编组站沿线，南至后溪河以南规划道路。</w:t>
      </w:r>
    </w:p>
    <w:p w14:paraId="6F89BF05">
      <w:pPr>
        <w:ind w:firstLine="480"/>
        <w:rPr>
          <w:color w:val="000000"/>
        </w:rPr>
      </w:pPr>
      <w:r>
        <w:rPr>
          <w:color w:val="000000"/>
        </w:rPr>
        <w:t>（4）地理位置：重庆白涛化工园区位于重庆市白涛街道的王家坝片区，地处乌江东岸，距白涛老街1.5km（直线距离），新街约2.5km（乌江西岸），距涪陵城区约26km，距在建的渝怀铁路白涛火车站约3km，距其现有码头作业区约1km。</w:t>
      </w:r>
    </w:p>
    <w:p w14:paraId="50B58946">
      <w:pPr>
        <w:pStyle w:val="785"/>
        <w:rPr>
          <w:color w:val="000000"/>
          <w:szCs w:val="24"/>
          <w:lang w:val="en-US"/>
        </w:rPr>
      </w:pPr>
      <w:r>
        <w:rPr>
          <w:color w:val="000000"/>
          <w:szCs w:val="24"/>
          <w:lang w:val="en-US"/>
        </w:rPr>
        <w:t>4.2.2.2产业定位</w:t>
      </w:r>
    </w:p>
    <w:p w14:paraId="59C68925">
      <w:pPr>
        <w:tabs>
          <w:tab w:val="left" w:pos="993"/>
        </w:tabs>
        <w:ind w:firstLine="482"/>
        <w:rPr>
          <w:color w:val="000000"/>
        </w:rPr>
      </w:pPr>
      <w:r>
        <w:rPr>
          <w:color w:val="000000"/>
        </w:rPr>
        <w:t>白涛化工园区主要发展天然气化工、氯氟化工及石化下游产品化工，将园区规划建设成为产业链完整，配套设施完善，产业布局、结构合理的循环型、集约型、生态型化工园区，具有较强的国内竞争力和可持续发展能力，形成长江上游和重庆市重要的化工生产基地。</w:t>
      </w:r>
    </w:p>
    <w:p w14:paraId="6AD0AEC4">
      <w:pPr>
        <w:pStyle w:val="785"/>
        <w:rPr>
          <w:color w:val="000000"/>
          <w:szCs w:val="24"/>
          <w:lang w:val="en-US"/>
        </w:rPr>
      </w:pPr>
      <w:r>
        <w:rPr>
          <w:color w:val="000000"/>
          <w:szCs w:val="24"/>
          <w:lang w:val="en-US"/>
        </w:rPr>
        <w:t>4.2.2.3功能分区</w:t>
      </w:r>
    </w:p>
    <w:p w14:paraId="424B7645">
      <w:pPr>
        <w:ind w:firstLine="480"/>
        <w:rPr>
          <w:color w:val="000000"/>
        </w:rPr>
      </w:pPr>
      <w:r>
        <w:rPr>
          <w:color w:val="000000"/>
        </w:rPr>
        <w:t>园区产业发展规划为依据进行布置，一次全面规划，分期建设，依地势纵深发展。且由于地处深丘，为适应地形，规划应因地制宜，紧凑布置，采取大分散，小集中的布局，并加强各功能区之间的联系。因此，其功能分区主要沿用上一轮规划布局内容，即：园区规划区整体呈“两轴、一带、六区”的结构。一带：指沿后溪河形成的绿色生态廊带。两轴：贯穿规划区的园区主干道为产业发展轴和铁路专用线形成的物流发展轴线；六区：指仓储物流区、化肥化工区、氯氟化工区、天然气化工区、石油下游产品化工区以及发展预留区。</w:t>
      </w:r>
    </w:p>
    <w:p w14:paraId="7CA8D922">
      <w:pPr>
        <w:ind w:firstLine="480"/>
        <w:rPr>
          <w:color w:val="000000"/>
        </w:rPr>
      </w:pPr>
      <w:r>
        <w:rPr>
          <w:color w:val="000000"/>
        </w:rPr>
        <w:t>规划区的六区主要是指由西向东的仓储物流区、化肥产业区、氯氟产业区、天然气化工区、石油化工区以及发展预留区；其中，化肥区主要为重庆建峰化工股份有限公司生产区域，目前已经形成年产75万吨合成氨、132万吨尿素、6万吨三聚氰胺，区块工业已成型；氯氟区已建设了年产20万吨氯碱、8万吨甲烷氯化物、15万吨氯气、50万吨次氯酸钠、12万吨双氧水（已建成6万吨）、0.6万吨固体光气、0.3万吨光引发剂、1万吨水合肼、1万吨发泡剂、0.25万吨聚全氟乙炳烯树脂等项目；石油下游产品化工区目前已经形成年产115万吨己二酸（已建成64万吨己二酸）、46万吨差别化氨纶（已建成11万吨）、20万吨聚氨酯树脂（已建成15万吨）、4.6万吨聚四氢呋喃项目。本评价对各个分区的布置规划概况进行介绍，具体如下：</w:t>
      </w:r>
    </w:p>
    <w:p w14:paraId="68519AC2">
      <w:pPr>
        <w:ind w:left="-360" w:firstLine="720" w:firstLineChars="300"/>
        <w:rPr>
          <w:color w:val="000000"/>
        </w:rPr>
      </w:pPr>
      <w:r>
        <w:rPr>
          <w:color w:val="000000"/>
        </w:rPr>
        <w:t>（1）化肥产业区</w:t>
      </w:r>
    </w:p>
    <w:p w14:paraId="6A22C341">
      <w:pPr>
        <w:ind w:firstLine="480"/>
        <w:rPr>
          <w:color w:val="000000"/>
        </w:rPr>
      </w:pPr>
      <w:r>
        <w:rPr>
          <w:color w:val="000000"/>
        </w:rPr>
        <w:t>化肥区紧靠乌江东岸，是该地区开发最早的区域，为建峰化工所在地，经40余年建设形成以大化肥为主体的化工企业。</w:t>
      </w:r>
    </w:p>
    <w:p w14:paraId="26B21538">
      <w:pPr>
        <w:ind w:firstLine="480"/>
        <w:rPr>
          <w:color w:val="000000"/>
        </w:rPr>
      </w:pPr>
      <w:r>
        <w:rPr>
          <w:color w:val="000000"/>
        </w:rPr>
        <w:t>（2）氯氟产业区</w:t>
      </w:r>
    </w:p>
    <w:p w14:paraId="0E01CFF8">
      <w:pPr>
        <w:ind w:firstLine="480"/>
        <w:rPr>
          <w:color w:val="000000"/>
        </w:rPr>
      </w:pPr>
      <w:r>
        <w:rPr>
          <w:color w:val="000000"/>
        </w:rPr>
        <w:t>该区域规划用地主要包括氯碱产业链类及氟化工产品用地、白涛园区铁路工业编组站区及化工园区动力中心。</w:t>
      </w:r>
    </w:p>
    <w:p w14:paraId="6658E558">
      <w:pPr>
        <w:ind w:firstLine="480"/>
        <w:rPr>
          <w:color w:val="000000"/>
        </w:rPr>
      </w:pPr>
      <w:r>
        <w:rPr>
          <w:color w:val="000000"/>
        </w:rPr>
        <w:t>氯氟化工区位于化肥区东北侧，该区域呈不规则形。目前该区域已经建成的企业有紫光天原、鹏凯精细化工、腾泽化学、建峰浩康、天原化工、新氟科技、永原盛等。</w:t>
      </w:r>
    </w:p>
    <w:p w14:paraId="5F5B32A5">
      <w:pPr>
        <w:ind w:firstLine="480"/>
        <w:rPr>
          <w:color w:val="000000"/>
        </w:rPr>
      </w:pPr>
      <w:r>
        <w:rPr>
          <w:color w:val="000000"/>
        </w:rPr>
        <w:t>白涛园区铁路工业编组站区及化工园区动力中心布置在氯碱区北部。</w:t>
      </w:r>
    </w:p>
    <w:p w14:paraId="6CB3FDF8">
      <w:pPr>
        <w:ind w:left="-360" w:firstLine="720" w:firstLineChars="300"/>
        <w:rPr>
          <w:color w:val="000000"/>
        </w:rPr>
      </w:pPr>
      <w:r>
        <w:rPr>
          <w:color w:val="000000"/>
        </w:rPr>
        <w:t>（3）天然气化工区及石油下游产品化工区</w:t>
      </w:r>
    </w:p>
    <w:p w14:paraId="47567FD1">
      <w:pPr>
        <w:ind w:firstLine="480"/>
        <w:rPr>
          <w:color w:val="000000"/>
        </w:rPr>
      </w:pPr>
      <w:r>
        <w:rPr>
          <w:color w:val="000000"/>
        </w:rPr>
        <w:t>天然气化工区及石油下游产品化工区位于氯氟产业区东侧，根据区域地理条件，将天然气化工区与石油化工区连成整体、统一考虑、整体布置、分期实施。该片区根据产业发展规划按其建设时序由西向东、向南依次开发建设。目前该区域主要入驻的企业有：华峰化工、弛源化工、华峰氨纶、华峰聚酰胺、华峰新材料、华峰铝业、嘉惠环保、新联峰实业、通汇能源（LNG）、聚立信生物等。</w:t>
      </w:r>
    </w:p>
    <w:p w14:paraId="0165A2B6">
      <w:pPr>
        <w:ind w:firstLine="480"/>
        <w:rPr>
          <w:color w:val="000000"/>
        </w:rPr>
      </w:pPr>
      <w:r>
        <w:rPr>
          <w:color w:val="000000"/>
        </w:rPr>
        <w:t>（4）仓储物流区</w:t>
      </w:r>
    </w:p>
    <w:p w14:paraId="7A74E40D">
      <w:pPr>
        <w:ind w:firstLine="480"/>
        <w:rPr>
          <w:color w:val="000000"/>
        </w:rPr>
      </w:pPr>
      <w:r>
        <w:rPr>
          <w:color w:val="000000"/>
        </w:rPr>
        <w:t>本规划区的仓储物流区主要集中在后溪河和乌江交汇处的水路仓储区以及位于氯氟产业区和园区热岛中心之间的铁路物流区，主要承担包括固体原料、产品贮存区，液体化工原料及产品的贮运。目前已经建成有建峰化肥码头、危化品码头、危化品车。仓储物流区的装卸作业远离工艺装置区，可以减少外部装卸作业对生产区的干扰。</w:t>
      </w:r>
    </w:p>
    <w:p w14:paraId="0852E972">
      <w:pPr>
        <w:ind w:firstLine="480"/>
        <w:rPr>
          <w:color w:val="000000"/>
        </w:rPr>
      </w:pPr>
      <w:r>
        <w:rPr>
          <w:color w:val="000000"/>
        </w:rPr>
        <w:t>（5）发展预留区</w:t>
      </w:r>
    </w:p>
    <w:p w14:paraId="4961B8F7">
      <w:pPr>
        <w:ind w:firstLine="480"/>
        <w:rPr>
          <w:color w:val="000000"/>
        </w:rPr>
      </w:pPr>
      <w:r>
        <w:rPr>
          <w:color w:val="000000"/>
        </w:rPr>
        <w:t>本规划区主要位于天然气化工及石油下游产品化工区的东侧及南侧，根据后期园区的发展情况逐步推进实施。</w:t>
      </w:r>
    </w:p>
    <w:p w14:paraId="43FF1611">
      <w:pPr>
        <w:pStyle w:val="785"/>
        <w:rPr>
          <w:color w:val="000000"/>
          <w:szCs w:val="24"/>
          <w:lang w:val="en-US"/>
        </w:rPr>
      </w:pPr>
      <w:r>
        <w:rPr>
          <w:color w:val="000000"/>
          <w:szCs w:val="24"/>
          <w:lang w:val="en-US"/>
        </w:rPr>
        <w:t>4.2.2.4基础设施规划</w:t>
      </w:r>
    </w:p>
    <w:p w14:paraId="12FBE6FC">
      <w:pPr>
        <w:ind w:firstLine="480"/>
        <w:rPr>
          <w:color w:val="000000"/>
        </w:rPr>
      </w:pPr>
      <w:r>
        <w:rPr>
          <w:color w:val="000000"/>
        </w:rPr>
        <w:t>1、给水工程规划</w:t>
      </w:r>
    </w:p>
    <w:p w14:paraId="6182A9D5">
      <w:pPr>
        <w:ind w:firstLine="480"/>
        <w:rPr>
          <w:color w:val="000000"/>
        </w:rPr>
      </w:pPr>
      <w:r>
        <w:rPr>
          <w:color w:val="000000"/>
        </w:rPr>
        <w:t>（1）用水量预测</w:t>
      </w:r>
    </w:p>
    <w:p w14:paraId="479B04B7">
      <w:pPr>
        <w:ind w:firstLine="480"/>
        <w:rPr>
          <w:color w:val="000000"/>
        </w:rPr>
      </w:pPr>
      <w:r>
        <w:rPr>
          <w:color w:val="000000"/>
        </w:rPr>
        <w:t>预测园区总用水量将达到18.1万m</w:t>
      </w:r>
      <w:r>
        <w:rPr>
          <w:color w:val="000000"/>
          <w:vertAlign w:val="superscript"/>
        </w:rPr>
        <w:t>3</w:t>
      </w:r>
      <w:r>
        <w:rPr>
          <w:color w:val="000000"/>
        </w:rPr>
        <w:t>/d，5974.61万m</w:t>
      </w:r>
      <w:r>
        <w:rPr>
          <w:color w:val="000000"/>
          <w:vertAlign w:val="superscript"/>
        </w:rPr>
        <w:t>3</w:t>
      </w:r>
      <w:r>
        <w:rPr>
          <w:color w:val="000000"/>
        </w:rPr>
        <w:t>/a。</w:t>
      </w:r>
    </w:p>
    <w:p w14:paraId="51BF6471">
      <w:pPr>
        <w:ind w:firstLine="480"/>
        <w:rPr>
          <w:color w:val="000000"/>
        </w:rPr>
      </w:pPr>
      <w:r>
        <w:rPr>
          <w:color w:val="000000"/>
        </w:rPr>
        <w:t>（2）水源</w:t>
      </w:r>
    </w:p>
    <w:p w14:paraId="2EC06675">
      <w:pPr>
        <w:ind w:firstLine="480"/>
        <w:rPr>
          <w:color w:val="000000"/>
        </w:rPr>
      </w:pPr>
      <w:r>
        <w:rPr>
          <w:color w:val="000000"/>
        </w:rPr>
        <w:t>目前园区除华峰化工部分冷却水从后溪河取水外（企业自建1座净水站，能力为1250m</w:t>
      </w:r>
      <w:r>
        <w:rPr>
          <w:color w:val="000000"/>
          <w:vertAlign w:val="superscript"/>
        </w:rPr>
        <w:t>3</w:t>
      </w:r>
      <w:r>
        <w:rPr>
          <w:color w:val="000000"/>
        </w:rPr>
        <w:t>/h），其余园区企业取水水源为乌江。建峰化工在乌江东岸建有大型取水泵站，设计取水能力为12500m</w:t>
      </w:r>
      <w:r>
        <w:rPr>
          <w:color w:val="000000"/>
          <w:vertAlign w:val="superscript"/>
        </w:rPr>
        <w:t>3</w:t>
      </w:r>
      <w:r>
        <w:rPr>
          <w:color w:val="000000"/>
        </w:rPr>
        <w:t>/h（30万m</w:t>
      </w:r>
      <w:r>
        <w:rPr>
          <w:color w:val="000000"/>
          <w:vertAlign w:val="superscript"/>
        </w:rPr>
        <w:t>3</w:t>
      </w:r>
      <w:r>
        <w:rPr>
          <w:color w:val="000000"/>
        </w:rPr>
        <w:t>/d），最大取水能力为16667m</w:t>
      </w:r>
      <w:r>
        <w:rPr>
          <w:color w:val="000000"/>
          <w:vertAlign w:val="superscript"/>
        </w:rPr>
        <w:t>3</w:t>
      </w:r>
      <w:r>
        <w:rPr>
          <w:color w:val="000000"/>
        </w:rPr>
        <w:t>/h（40万m</w:t>
      </w:r>
      <w:r>
        <w:rPr>
          <w:color w:val="000000"/>
          <w:vertAlign w:val="superscript"/>
        </w:rPr>
        <w:t>3</w:t>
      </w:r>
      <w:r>
        <w:rPr>
          <w:color w:val="000000"/>
        </w:rPr>
        <w:t>/d），由于取水管较大，通过增加水泵或改造小泵为大泵，取水量可达到25000m</w:t>
      </w:r>
      <w:r>
        <w:rPr>
          <w:color w:val="000000"/>
          <w:vertAlign w:val="superscript"/>
        </w:rPr>
        <w:t>3</w:t>
      </w:r>
      <w:r>
        <w:rPr>
          <w:color w:val="000000"/>
        </w:rPr>
        <w:t>/h（60万m</w:t>
      </w:r>
      <w:r>
        <w:rPr>
          <w:color w:val="000000"/>
          <w:vertAlign w:val="superscript"/>
        </w:rPr>
        <w:t>3</w:t>
      </w:r>
      <w:r>
        <w:rPr>
          <w:color w:val="000000"/>
        </w:rPr>
        <w:t>/d）。现有水厂的生产水制取能力为11000m</w:t>
      </w:r>
      <w:r>
        <w:rPr>
          <w:color w:val="000000"/>
          <w:vertAlign w:val="superscript"/>
        </w:rPr>
        <w:t>3</w:t>
      </w:r>
      <w:r>
        <w:rPr>
          <w:color w:val="000000"/>
        </w:rPr>
        <w:t>/h（26.4万m</w:t>
      </w:r>
      <w:r>
        <w:rPr>
          <w:color w:val="000000"/>
          <w:vertAlign w:val="superscript"/>
        </w:rPr>
        <w:t>3</w:t>
      </w:r>
      <w:r>
        <w:rPr>
          <w:color w:val="000000"/>
        </w:rPr>
        <w:t>/d），生活水1000m</w:t>
      </w:r>
      <w:r>
        <w:rPr>
          <w:color w:val="000000"/>
          <w:vertAlign w:val="superscript"/>
        </w:rPr>
        <w:t>3</w:t>
      </w:r>
      <w:r>
        <w:rPr>
          <w:color w:val="000000"/>
        </w:rPr>
        <w:t>/h（2.4万m</w:t>
      </w:r>
      <w:r>
        <w:rPr>
          <w:color w:val="000000"/>
          <w:vertAlign w:val="superscript"/>
        </w:rPr>
        <w:t>3</w:t>
      </w:r>
      <w:r>
        <w:rPr>
          <w:color w:val="000000"/>
        </w:rPr>
        <w:t>/d）。园区依托现有建峰水厂供水，能满足规划区需求。</w:t>
      </w:r>
    </w:p>
    <w:p w14:paraId="1DCFFC9F">
      <w:pPr>
        <w:ind w:firstLine="480"/>
        <w:rPr>
          <w:color w:val="000000"/>
        </w:rPr>
      </w:pPr>
      <w:r>
        <w:rPr>
          <w:color w:val="000000"/>
        </w:rPr>
        <w:t>（3）给水管网系统划分</w:t>
      </w:r>
    </w:p>
    <w:p w14:paraId="4F857169">
      <w:pPr>
        <w:ind w:firstLine="480"/>
        <w:rPr>
          <w:color w:val="000000"/>
        </w:rPr>
      </w:pPr>
      <w:r>
        <w:rPr>
          <w:color w:val="000000"/>
        </w:rPr>
        <w:t>管网规划包括园区管网规划和各产业区管网规划。</w:t>
      </w:r>
    </w:p>
    <w:p w14:paraId="18CB63DA">
      <w:pPr>
        <w:ind w:firstLine="480" w:firstLineChars="200"/>
        <w:rPr>
          <w:color w:val="000000"/>
        </w:rPr>
      </w:pPr>
      <w:r>
        <w:rPr>
          <w:color w:val="000000"/>
        </w:rPr>
        <w:t>①园区管网规划</w:t>
      </w:r>
    </w:p>
    <w:p w14:paraId="6922D184">
      <w:pPr>
        <w:ind w:firstLine="480"/>
        <w:rPr>
          <w:color w:val="000000"/>
        </w:rPr>
      </w:pPr>
      <w:r>
        <w:rPr>
          <w:color w:val="000000"/>
        </w:rPr>
        <w:t>规划水厂实行分区分压分质供水，整个规划区分为4个供水片区：即建峰化工（即化肥片区）、天原化工（即氯氟片区）、能源中心、华心坝（即天然气化工及石油下游产品化片区）。根据现状调查，除建峰化工（即化肥片区）直接由水厂供给外，其余区域均需要建设加压泵站，目前园区在天原化工厂南侧建设有1座加压泵站，规模为7万m</w:t>
      </w:r>
      <w:r>
        <w:rPr>
          <w:color w:val="000000"/>
          <w:vertAlign w:val="superscript"/>
        </w:rPr>
        <w:t>3</w:t>
      </w:r>
      <w:r>
        <w:rPr>
          <w:color w:val="000000"/>
        </w:rPr>
        <w:t>/d，场地标高为黄海高程230m；在潘家坝污水处理厂北侧建有1座加压泵站，规模为25万m</w:t>
      </w:r>
      <w:r>
        <w:rPr>
          <w:color w:val="000000"/>
          <w:vertAlign w:val="superscript"/>
        </w:rPr>
        <w:t>3</w:t>
      </w:r>
      <w:r>
        <w:rPr>
          <w:color w:val="000000"/>
        </w:rPr>
        <w:t>/d，场地标高为黄海高程250m；同时，为满足园区发展需要，还将规划在一碗水新建给水加压泵站，规模为15万m</w:t>
      </w:r>
      <w:r>
        <w:rPr>
          <w:color w:val="000000"/>
          <w:vertAlign w:val="superscript"/>
        </w:rPr>
        <w:t>3</w:t>
      </w:r>
      <w:r>
        <w:rPr>
          <w:color w:val="000000"/>
        </w:rPr>
        <w:t>/d，场地标高330m。在华心坝南侧的山头规划一座高位水池，池底标高黄海高程400m。保留现状生产生活供水干管，规划两条生产给水干管。规划区给水管连成环状管网。</w:t>
      </w:r>
    </w:p>
    <w:p w14:paraId="4729F188">
      <w:pPr>
        <w:ind w:firstLine="480"/>
        <w:rPr>
          <w:color w:val="000000"/>
        </w:rPr>
      </w:pPr>
      <w:r>
        <w:rPr>
          <w:color w:val="000000"/>
        </w:rPr>
        <w:t>②各产业区管网规划</w:t>
      </w:r>
    </w:p>
    <w:p w14:paraId="5FE86249">
      <w:pPr>
        <w:ind w:firstLine="480"/>
        <w:rPr>
          <w:color w:val="000000"/>
        </w:rPr>
      </w:pPr>
      <w:r>
        <w:rPr>
          <w:color w:val="000000"/>
        </w:rPr>
        <w:t>在各产业区内分设给水系统，划分为：生活给水系统，生产/低压消防给水系统，稳高压消防给水系统，循环水冷却给水系统，生产给水系统。</w:t>
      </w:r>
    </w:p>
    <w:p w14:paraId="53CE8A58">
      <w:pPr>
        <w:ind w:firstLine="480" w:firstLineChars="200"/>
        <w:rPr>
          <w:color w:val="000000"/>
          <w:szCs w:val="24"/>
        </w:rPr>
      </w:pPr>
      <w:r>
        <w:rPr>
          <w:color w:val="000000"/>
          <w:szCs w:val="24"/>
        </w:rPr>
        <w:t>2、排水工程规划</w:t>
      </w:r>
    </w:p>
    <w:p w14:paraId="34514BD0">
      <w:pPr>
        <w:ind w:firstLine="480"/>
        <w:rPr>
          <w:color w:val="000000"/>
        </w:rPr>
      </w:pPr>
      <w:r>
        <w:rPr>
          <w:color w:val="000000"/>
        </w:rPr>
        <w:t>（1）园区排水量预测</w:t>
      </w:r>
    </w:p>
    <w:p w14:paraId="39008057">
      <w:pPr>
        <w:ind w:firstLine="480"/>
        <w:rPr>
          <w:color w:val="000000"/>
        </w:rPr>
      </w:pPr>
      <w:r>
        <w:rPr>
          <w:color w:val="000000"/>
        </w:rPr>
        <w:t>结合园区产业布局和发展规模，预计园区建成后，园区污水产生量约为5.0万m</w:t>
      </w:r>
      <w:r>
        <w:rPr>
          <w:color w:val="000000"/>
          <w:vertAlign w:val="superscript"/>
        </w:rPr>
        <w:t>3</w:t>
      </w:r>
      <w:r>
        <w:rPr>
          <w:color w:val="000000"/>
        </w:rPr>
        <w:t>/d。</w:t>
      </w:r>
    </w:p>
    <w:p w14:paraId="476CB6B5">
      <w:pPr>
        <w:ind w:firstLine="480"/>
        <w:rPr>
          <w:color w:val="000000"/>
        </w:rPr>
      </w:pPr>
      <w:r>
        <w:rPr>
          <w:color w:val="000000"/>
        </w:rPr>
        <w:t>（2）排水体制及污水处理厂规划</w:t>
      </w:r>
    </w:p>
    <w:p w14:paraId="5381CA18">
      <w:pPr>
        <w:ind w:firstLine="480"/>
        <w:rPr>
          <w:color w:val="000000"/>
        </w:rPr>
      </w:pPr>
      <w:r>
        <w:rPr>
          <w:color w:val="000000"/>
        </w:rPr>
        <w:t>①排水采用雨、污水分流制。根据地形条件分析，按自然分水岭分片排放；规划区内雨、污水管道沿规划道路敷设，沿后溪河布置的污水截流干管，按后溪河50年一遇防洪标准确定。</w:t>
      </w:r>
    </w:p>
    <w:p w14:paraId="23B3962E">
      <w:pPr>
        <w:ind w:firstLine="480"/>
        <w:rPr>
          <w:color w:val="000000"/>
        </w:rPr>
      </w:pPr>
      <w:r>
        <w:rPr>
          <w:color w:val="000000"/>
        </w:rPr>
        <w:t>②保留建峰、天原化工、腾泽化学自建污水处理站。园区在潘家坝建设的处理规模为2.0万t/d污水处理厂已经投入使用，并预留潘家坝远期处理能力达到3万t/d的用地。</w:t>
      </w:r>
    </w:p>
    <w:p w14:paraId="6B0624CB">
      <w:pPr>
        <w:ind w:firstLine="480" w:firstLineChars="200"/>
        <w:rPr>
          <w:bCs/>
          <w:color w:val="000000"/>
          <w:szCs w:val="24"/>
        </w:rPr>
      </w:pPr>
      <w:r>
        <w:rPr>
          <w:bCs/>
          <w:color w:val="000000"/>
          <w:kern w:val="0"/>
        </w:rPr>
        <w:t>3、</w:t>
      </w:r>
      <w:r>
        <w:rPr>
          <w:bCs/>
          <w:color w:val="000000"/>
          <w:szCs w:val="24"/>
        </w:rPr>
        <w:t>道路交通规划</w:t>
      </w:r>
    </w:p>
    <w:p w14:paraId="10A97F21">
      <w:pPr>
        <w:ind w:firstLine="480"/>
        <w:rPr>
          <w:color w:val="000000"/>
        </w:rPr>
      </w:pPr>
      <w:r>
        <w:rPr>
          <w:color w:val="000000"/>
        </w:rPr>
        <w:t>（1）对外交通规划</w:t>
      </w:r>
    </w:p>
    <w:p w14:paraId="01192B07">
      <w:pPr>
        <w:ind w:firstLine="480" w:firstLineChars="200"/>
        <w:rPr>
          <w:color w:val="000000"/>
        </w:rPr>
      </w:pPr>
      <w:r>
        <w:rPr>
          <w:color w:val="000000"/>
        </w:rPr>
        <w:t>①园区北部规划有一处铁路编组站，新规划两条园区铁路专用线。其中，铁路一线连接编组站和渝怀铁路白涛站；铁路二线连接编组站和东部化工片区。</w:t>
      </w:r>
    </w:p>
    <w:p w14:paraId="766C355C">
      <w:pPr>
        <w:ind w:firstLine="480"/>
        <w:rPr>
          <w:color w:val="000000"/>
        </w:rPr>
      </w:pPr>
      <w:r>
        <w:rPr>
          <w:color w:val="000000"/>
        </w:rPr>
        <w:t>②在园区原有道路的基础上进行改扩建和新建，形成一条东西向贯穿园区的20米主干道作为对外联系的主要通道。武陵大道替代白焦公路（X182）。向北接焦石镇、沿江高速，作为镇区的重要辅助通道。</w:t>
      </w:r>
    </w:p>
    <w:p w14:paraId="7185EB61">
      <w:pPr>
        <w:ind w:firstLine="480"/>
        <w:rPr>
          <w:color w:val="000000"/>
        </w:rPr>
      </w:pPr>
      <w:r>
        <w:rPr>
          <w:color w:val="000000"/>
        </w:rPr>
        <w:t>（2）园区内部道路规划</w:t>
      </w:r>
    </w:p>
    <w:p w14:paraId="57A40BD0">
      <w:pPr>
        <w:ind w:firstLine="480"/>
        <w:rPr>
          <w:color w:val="000000"/>
        </w:rPr>
      </w:pPr>
      <w:r>
        <w:rPr>
          <w:color w:val="000000"/>
        </w:rPr>
        <w:t>园区内道路采用棋盘式方格网的形式建设。分为主干道、次干道以及支路。园区道路相交以平交为主：铁路与主干、次道相交处采用跨线桥式的简单分离式立交。园区不规划单独客运站场。</w:t>
      </w:r>
    </w:p>
    <w:p w14:paraId="1B39AF2F">
      <w:pPr>
        <w:ind w:firstLine="480" w:firstLineChars="200"/>
        <w:rPr>
          <w:color w:val="000000"/>
          <w:szCs w:val="24"/>
        </w:rPr>
      </w:pPr>
      <w:r>
        <w:rPr>
          <w:color w:val="000000"/>
          <w:szCs w:val="24"/>
        </w:rPr>
        <w:t>4、其他市政工程规划</w:t>
      </w:r>
    </w:p>
    <w:p w14:paraId="059E573C">
      <w:pPr>
        <w:ind w:firstLine="480"/>
        <w:rPr>
          <w:color w:val="000000"/>
        </w:rPr>
      </w:pPr>
      <w:r>
        <w:rPr>
          <w:color w:val="000000"/>
        </w:rPr>
        <w:t>（1）电力工程规划</w:t>
      </w:r>
    </w:p>
    <w:p w14:paraId="550CF8C3">
      <w:pPr>
        <w:ind w:firstLine="480"/>
        <w:rPr>
          <w:color w:val="000000"/>
        </w:rPr>
      </w:pPr>
      <w:r>
        <w:rPr>
          <w:color w:val="000000"/>
        </w:rPr>
        <w:t>保留现状工业园内220KV白涛变电站、220KV油坊变电站和110KV天原用户变电站、110KV弛源用户变电站、110KV华峰用户变电站。在工业园区内新建110KV哨楼变电站。规划110KV哨楼变电站主变容量为2×50MVA，其110KV电源接自规划工业园区内220KV油坊变电站。</w:t>
      </w:r>
    </w:p>
    <w:p w14:paraId="1FA61702">
      <w:pPr>
        <w:ind w:firstLine="480"/>
        <w:rPr>
          <w:color w:val="000000"/>
        </w:rPr>
      </w:pPr>
      <w:r>
        <w:rPr>
          <w:color w:val="000000"/>
        </w:rPr>
        <w:t>220KV架空电力线高压走廊控制宽度为40m、110KV架空电力线高压走廊控制宽度为30m，10KV配电网在工业园区内沿规划道路入地敷设，依据负荷预测及经济供电半径，在工业区内设开闭所，保证供电。</w:t>
      </w:r>
    </w:p>
    <w:p w14:paraId="65E3043C">
      <w:pPr>
        <w:ind w:firstLine="480"/>
        <w:rPr>
          <w:color w:val="000000"/>
        </w:rPr>
      </w:pPr>
      <w:r>
        <w:rPr>
          <w:color w:val="000000"/>
        </w:rPr>
        <w:t>（2）天然气工程规划</w:t>
      </w:r>
    </w:p>
    <w:p w14:paraId="5C42B14C">
      <w:pPr>
        <w:ind w:firstLine="480"/>
        <w:rPr>
          <w:color w:val="000000"/>
        </w:rPr>
      </w:pPr>
      <w:r>
        <w:rPr>
          <w:color w:val="000000"/>
        </w:rPr>
        <w:t>预测工业用气量为699.5万m</w:t>
      </w:r>
      <w:r>
        <w:rPr>
          <w:color w:val="000000"/>
          <w:vertAlign w:val="superscript"/>
        </w:rPr>
        <w:t>3</w:t>
      </w:r>
      <w:r>
        <w:rPr>
          <w:color w:val="000000"/>
        </w:rPr>
        <w:t>/d，园区目前有一根DN377mm天然气输送管线供给，起自申亚口首站，气源为中石油西南油气田分公司下属的重庆垫江气田，供气压力首站接近4.0MPa，末站压力1.8～2.5MPa。同时，随着涪陵焦石坝区块页岩气的大力开发，在园区北部（华峰差别化氨纶项目旁）建设有四合燃气配气站、中石化页岩气集输站，可作为化工园区生产用气气源。</w:t>
      </w:r>
    </w:p>
    <w:p w14:paraId="73468236">
      <w:pPr>
        <w:ind w:firstLine="480"/>
        <w:rPr>
          <w:color w:val="000000"/>
        </w:rPr>
      </w:pPr>
      <w:r>
        <w:rPr>
          <w:color w:val="000000"/>
        </w:rPr>
        <w:t>（3）消防规划</w:t>
      </w:r>
    </w:p>
    <w:p w14:paraId="07D33156">
      <w:pPr>
        <w:ind w:firstLine="480"/>
        <w:rPr>
          <w:color w:val="000000"/>
          <w:kern w:val="0"/>
        </w:rPr>
      </w:pPr>
      <w:r>
        <w:rPr>
          <w:color w:val="000000"/>
        </w:rPr>
        <w:t>园区目前已经在华峰化工旁建设了1座特勤消防站。消防供水与园区生产供水共用1套管网系统。</w:t>
      </w:r>
    </w:p>
    <w:p w14:paraId="4D767BBD">
      <w:pPr>
        <w:pStyle w:val="785"/>
        <w:rPr>
          <w:color w:val="000000"/>
          <w:szCs w:val="24"/>
          <w:lang w:val="en-US"/>
        </w:rPr>
      </w:pPr>
      <w:r>
        <w:rPr>
          <w:color w:val="000000"/>
          <w:szCs w:val="24"/>
          <w:lang w:val="en-US"/>
        </w:rPr>
        <w:t>4.2.2.4环境保护规划</w:t>
      </w:r>
    </w:p>
    <w:p w14:paraId="40829FFD">
      <w:pPr>
        <w:tabs>
          <w:tab w:val="left" w:pos="993"/>
        </w:tabs>
        <w:ind w:firstLine="482"/>
        <w:rPr>
          <w:color w:val="000000"/>
          <w:kern w:val="0"/>
        </w:rPr>
      </w:pPr>
      <w:r>
        <w:rPr>
          <w:color w:val="000000"/>
          <w:kern w:val="0"/>
        </w:rPr>
        <w:t>1、现状污染源</w:t>
      </w:r>
    </w:p>
    <w:p w14:paraId="32C5259A">
      <w:pPr>
        <w:tabs>
          <w:tab w:val="left" w:pos="993"/>
        </w:tabs>
        <w:ind w:firstLine="482"/>
        <w:rPr>
          <w:color w:val="000000"/>
          <w:kern w:val="0"/>
        </w:rPr>
      </w:pPr>
      <w:r>
        <w:rPr>
          <w:color w:val="000000"/>
          <w:kern w:val="0"/>
        </w:rPr>
        <w:t>规划区经过多年的开发，重庆白涛化工园区用地已开发完成71.5%。目前园区已入驻企业29家（不含污水处理厂、一般工业固体废物处置场），入驻的企业主要包括天然气化工、氯氟化工及石油下游产品加工产业链，已入驻企业与园区产业定位符合性较好，未引入与园区产业定位相冲突的企业。园区已建设污水集中处理设施及一般工业固废填埋场，配套基础设施完善。</w:t>
      </w:r>
    </w:p>
    <w:p w14:paraId="5FAD7D4B">
      <w:pPr>
        <w:tabs>
          <w:tab w:val="left" w:pos="993"/>
        </w:tabs>
        <w:ind w:firstLine="482"/>
        <w:rPr>
          <w:color w:val="000000"/>
          <w:kern w:val="0"/>
        </w:rPr>
      </w:pPr>
      <w:r>
        <w:rPr>
          <w:color w:val="000000"/>
          <w:kern w:val="0"/>
        </w:rPr>
        <w:t>2、环境质量目标</w:t>
      </w:r>
    </w:p>
    <w:p w14:paraId="34CB53A1">
      <w:pPr>
        <w:tabs>
          <w:tab w:val="left" w:pos="993"/>
        </w:tabs>
        <w:ind w:firstLine="482"/>
        <w:rPr>
          <w:color w:val="000000"/>
          <w:kern w:val="0"/>
        </w:rPr>
      </w:pPr>
      <w:r>
        <w:rPr>
          <w:color w:val="000000"/>
          <w:kern w:val="0"/>
        </w:rPr>
        <w:t>规划区大气环境质量达到二类大气标准，水环境质量达到Ⅲ类水质标准，声环境质量全部按功能区达标。</w:t>
      </w:r>
    </w:p>
    <w:p w14:paraId="1A87C6A6">
      <w:pPr>
        <w:tabs>
          <w:tab w:val="left" w:pos="993"/>
        </w:tabs>
        <w:ind w:firstLine="482"/>
        <w:rPr>
          <w:color w:val="000000"/>
          <w:kern w:val="0"/>
        </w:rPr>
      </w:pPr>
      <w:r>
        <w:rPr>
          <w:color w:val="000000"/>
          <w:kern w:val="0"/>
        </w:rPr>
        <w:t>3、主要污染物控制方案</w:t>
      </w:r>
    </w:p>
    <w:p w14:paraId="50C555EA">
      <w:pPr>
        <w:tabs>
          <w:tab w:val="left" w:pos="993"/>
        </w:tabs>
        <w:ind w:firstLine="482"/>
        <w:rPr>
          <w:color w:val="000000"/>
          <w:kern w:val="0"/>
        </w:rPr>
      </w:pPr>
      <w:r>
        <w:rPr>
          <w:color w:val="000000"/>
          <w:kern w:val="0"/>
        </w:rPr>
        <w:t>（1）大气污染控制</w:t>
      </w:r>
    </w:p>
    <w:p w14:paraId="00513FCF">
      <w:pPr>
        <w:ind w:firstLine="480"/>
        <w:rPr>
          <w:color w:val="000000"/>
        </w:rPr>
      </w:pPr>
      <w:r>
        <w:rPr>
          <w:snapToGrid w:val="0"/>
          <w:color w:val="000000"/>
          <w:kern w:val="0"/>
        </w:rPr>
        <w:t>①</w:t>
      </w:r>
      <w:r>
        <w:rPr>
          <w:color w:val="000000"/>
        </w:rPr>
        <w:t>提高能源利用率，合理控制能源消耗总量</w:t>
      </w:r>
    </w:p>
    <w:p w14:paraId="12B66D89">
      <w:pPr>
        <w:ind w:firstLine="480"/>
        <w:rPr>
          <w:color w:val="000000"/>
        </w:rPr>
      </w:pPr>
      <w:r>
        <w:rPr>
          <w:color w:val="000000"/>
        </w:rPr>
        <w:t>园区实行集中供热。园区今后拟入驻的项目将依托园区现有热岛中心、华峰热电站以及后续规划建设的山窝片区热电中心进行集中供热，原则上禁止企业自建燃煤锅炉进行供热。控制园区内煤炭作为燃料的消耗总量，提高煤炭作为燃料的利用效率，实现能源的梯级利用，降低单位产值的能耗水平。</w:t>
      </w:r>
    </w:p>
    <w:p w14:paraId="1CC7CF1E">
      <w:pPr>
        <w:ind w:firstLine="480"/>
        <w:rPr>
          <w:color w:val="000000"/>
        </w:rPr>
      </w:pPr>
      <w:r>
        <w:rPr>
          <w:snapToGrid w:val="0"/>
          <w:color w:val="000000"/>
          <w:kern w:val="0"/>
        </w:rPr>
        <w:fldChar w:fldCharType="begin"/>
      </w:r>
      <w:r>
        <w:rPr>
          <w:snapToGrid w:val="0"/>
          <w:color w:val="000000"/>
          <w:kern w:val="0"/>
        </w:rPr>
        <w:instrText xml:space="preserve"> = 2 \* GB3 </w:instrText>
      </w:r>
      <w:r>
        <w:rPr>
          <w:snapToGrid w:val="0"/>
          <w:color w:val="000000"/>
          <w:kern w:val="0"/>
        </w:rPr>
        <w:fldChar w:fldCharType="separate"/>
      </w:r>
      <w:r>
        <w:rPr>
          <w:snapToGrid w:val="0"/>
          <w:color w:val="000000"/>
          <w:kern w:val="0"/>
        </w:rPr>
        <w:t>②</w:t>
      </w:r>
      <w:r>
        <w:rPr>
          <w:snapToGrid w:val="0"/>
          <w:color w:val="000000"/>
          <w:kern w:val="0"/>
        </w:rPr>
        <w:fldChar w:fldCharType="end"/>
      </w:r>
      <w:r>
        <w:rPr>
          <w:color w:val="000000"/>
        </w:rPr>
        <w:t>采用先进的生产工艺，提高单位资源环境的产出强度</w:t>
      </w:r>
    </w:p>
    <w:p w14:paraId="0363A43B">
      <w:pPr>
        <w:ind w:firstLine="480"/>
        <w:rPr>
          <w:color w:val="000000"/>
        </w:rPr>
      </w:pPr>
      <w:r>
        <w:rPr>
          <w:color w:val="000000"/>
        </w:rPr>
        <w:t>采用先进的生产工艺，大力发展循环经济，积极扩展清洁生产广度和深度，降低单位工业增加值大气污染排放强度。</w:t>
      </w:r>
    </w:p>
    <w:p w14:paraId="5286A528">
      <w:pPr>
        <w:ind w:firstLine="480"/>
        <w:rPr>
          <w:color w:val="000000"/>
        </w:rPr>
      </w:pPr>
      <w:r>
        <w:rPr>
          <w:color w:val="000000"/>
        </w:rPr>
        <w:t>园区后续规划建设的热电联产项目都必须采取有效的烟气脱硫、脱硝和除尘措施，确保热电联产项目排放烟气达到超低排放标准，各主要大气污染物要实现稳定达标排放。现有未实行超低排放标准的热电联产项目，根据后续国家及重庆市相关法律法规及政策文件要求，逐步实施超低排放改造。</w:t>
      </w:r>
    </w:p>
    <w:p w14:paraId="14ACB612">
      <w:pPr>
        <w:ind w:firstLine="480"/>
        <w:rPr>
          <w:color w:val="000000"/>
        </w:rPr>
      </w:pPr>
      <w:r>
        <w:rPr>
          <w:snapToGrid w:val="0"/>
          <w:color w:val="000000"/>
          <w:kern w:val="0"/>
        </w:rPr>
        <w:fldChar w:fldCharType="begin"/>
      </w:r>
      <w:r>
        <w:rPr>
          <w:snapToGrid w:val="0"/>
          <w:color w:val="000000"/>
          <w:kern w:val="0"/>
        </w:rPr>
        <w:instrText xml:space="preserve"> = 3 \* GB3 </w:instrText>
      </w:r>
      <w:r>
        <w:rPr>
          <w:snapToGrid w:val="0"/>
          <w:color w:val="000000"/>
          <w:kern w:val="0"/>
        </w:rPr>
        <w:fldChar w:fldCharType="separate"/>
      </w:r>
      <w:r>
        <w:rPr>
          <w:snapToGrid w:val="0"/>
          <w:color w:val="000000"/>
          <w:kern w:val="0"/>
        </w:rPr>
        <w:t>③</w:t>
      </w:r>
      <w:r>
        <w:rPr>
          <w:snapToGrid w:val="0"/>
          <w:color w:val="000000"/>
          <w:kern w:val="0"/>
        </w:rPr>
        <w:fldChar w:fldCharType="end"/>
      </w:r>
      <w:r>
        <w:rPr>
          <w:color w:val="000000"/>
        </w:rPr>
        <w:t>加强工艺废气的处理，提高挥发性有机物处理效率</w:t>
      </w:r>
    </w:p>
    <w:p w14:paraId="784B8EC9">
      <w:pPr>
        <w:ind w:firstLine="480"/>
        <w:rPr>
          <w:color w:val="000000"/>
        </w:rPr>
      </w:pPr>
      <w:r>
        <w:rPr>
          <w:color w:val="000000"/>
        </w:rPr>
        <w:t>根据《“十三五”挥发性有机物污染防治工作方案》、《重点行业挥发性有机物综合治理方案》、《2020年挥发性有机物治理攻坚方案》（环大气〔2020〕33号）、《挥发性有机物无组织排放控制标准》提高挥发性有机物排放重点行业环保准入门槛及管控要求。</w:t>
      </w:r>
    </w:p>
    <w:p w14:paraId="5D7317DD">
      <w:pPr>
        <w:ind w:firstLine="480"/>
        <w:rPr>
          <w:color w:val="000000"/>
        </w:rPr>
      </w:pPr>
      <w:r>
        <w:rPr>
          <w:color w:val="000000"/>
        </w:rPr>
        <w:t>④加强无组织排放监管</w:t>
      </w:r>
    </w:p>
    <w:p w14:paraId="1D362ACE">
      <w:pPr>
        <w:ind w:firstLine="480"/>
        <w:rPr>
          <w:color w:val="000000"/>
        </w:rPr>
      </w:pPr>
      <w:r>
        <w:rPr>
          <w:color w:val="000000"/>
        </w:rPr>
        <w:t>规划区产业可能涉及到有机废气无组织排放源，主要为有机溶剂使用和储存。规划环评要求企业采取有机废气无组织排放控制措施，以减少有机废气的逸散。</w:t>
      </w:r>
    </w:p>
    <w:p w14:paraId="0CA8708F">
      <w:pPr>
        <w:ind w:firstLine="480"/>
        <w:rPr>
          <w:color w:val="000000"/>
        </w:rPr>
      </w:pPr>
      <w:r>
        <w:rPr>
          <w:color w:val="000000"/>
        </w:rPr>
        <w:t>具体项目环境防护距离由项目环评确定，已入驻企业应严格执行建设项目环境影响评价已确定的环境防护距离，新建、改扩建项目应按照最新相关文件及规范划定环境防护距离。</w:t>
      </w:r>
    </w:p>
    <w:p w14:paraId="57B65AA5">
      <w:pPr>
        <w:tabs>
          <w:tab w:val="left" w:pos="993"/>
        </w:tabs>
        <w:ind w:firstLine="482"/>
        <w:rPr>
          <w:color w:val="000000"/>
          <w:kern w:val="0"/>
        </w:rPr>
      </w:pPr>
      <w:r>
        <w:rPr>
          <w:color w:val="000000"/>
        </w:rPr>
        <w:t>评价建议大气污染相对较重的入驻企业尽量布局在规划区中部，东北侧山窝场镇居民未搬迁前，临近其的工业用地布置污染轻的企业。入驻企业应按批复的建设项目环境影响报告书（表）综合论证结果设置大气环境防护距离</w:t>
      </w:r>
      <w:r>
        <w:rPr>
          <w:color w:val="000000"/>
          <w:kern w:val="0"/>
        </w:rPr>
        <w:t>。</w:t>
      </w:r>
    </w:p>
    <w:p w14:paraId="2A31A3D4">
      <w:pPr>
        <w:tabs>
          <w:tab w:val="left" w:pos="993"/>
        </w:tabs>
        <w:ind w:firstLine="482"/>
        <w:rPr>
          <w:color w:val="000000"/>
          <w:kern w:val="0"/>
        </w:rPr>
      </w:pPr>
      <w:r>
        <w:rPr>
          <w:color w:val="000000"/>
          <w:kern w:val="0"/>
        </w:rPr>
        <w:t>2）水污染控制</w:t>
      </w:r>
    </w:p>
    <w:p w14:paraId="3545E90B">
      <w:pPr>
        <w:ind w:firstLine="480"/>
        <w:rPr>
          <w:snapToGrid w:val="0"/>
          <w:color w:val="000000"/>
          <w:kern w:val="0"/>
        </w:rPr>
      </w:pPr>
      <w:r>
        <w:rPr>
          <w:snapToGrid w:val="0"/>
          <w:color w:val="000000"/>
          <w:kern w:val="0"/>
        </w:rPr>
        <w:t>① 加强污水集中处理，保护区域水环境质量</w:t>
      </w:r>
    </w:p>
    <w:p w14:paraId="5CCA2584">
      <w:pPr>
        <w:ind w:firstLine="480"/>
        <w:rPr>
          <w:snapToGrid w:val="0"/>
          <w:color w:val="000000"/>
          <w:kern w:val="0"/>
        </w:rPr>
      </w:pPr>
      <w:r>
        <w:rPr>
          <w:bCs/>
          <w:color w:val="000000"/>
        </w:rPr>
        <w:t>目前园区除氯氟片区企业自建污水处理厂处理达标排放后，化肥片区污水进入建峰污水处理厂集中处理，天然气化工及石油下游产品加工区已入驻企业产生的污废水均排入潘家坝污水处理厂。</w:t>
      </w:r>
    </w:p>
    <w:p w14:paraId="05972AF7">
      <w:pPr>
        <w:ind w:firstLine="480"/>
        <w:rPr>
          <w:snapToGrid w:val="0"/>
          <w:color w:val="000000"/>
          <w:kern w:val="0"/>
        </w:rPr>
      </w:pPr>
      <w:r>
        <w:rPr>
          <w:snapToGrid w:val="0"/>
          <w:color w:val="000000"/>
          <w:kern w:val="0"/>
        </w:rPr>
        <w:t>重庆白涛化工工业园区排水体制原则上为分流制。</w:t>
      </w:r>
      <w:r>
        <w:rPr>
          <w:color w:val="000000"/>
        </w:rPr>
        <w:t>园区建设有三套污水收集系统（即化肥片区、氯碱片区、潘家坝污水处理厂收集范围）及多套污水处理设施，经处理达标后的废水均经同一根尾水管网排放引至乌江排放，因此，园区污废水排入乌江仅有一个排污口</w:t>
      </w:r>
      <w:r>
        <w:rPr>
          <w:snapToGrid w:val="0"/>
          <w:color w:val="000000"/>
          <w:kern w:val="0"/>
        </w:rPr>
        <w:t>。</w:t>
      </w:r>
    </w:p>
    <w:p w14:paraId="29A42D6C">
      <w:pPr>
        <w:ind w:firstLine="480"/>
        <w:rPr>
          <w:snapToGrid w:val="0"/>
          <w:color w:val="000000"/>
          <w:kern w:val="0"/>
        </w:rPr>
      </w:pPr>
      <w:r>
        <w:rPr>
          <w:snapToGrid w:val="0"/>
          <w:color w:val="000000"/>
          <w:kern w:val="0"/>
        </w:rPr>
        <w:fldChar w:fldCharType="begin"/>
      </w:r>
      <w:r>
        <w:rPr>
          <w:snapToGrid w:val="0"/>
          <w:color w:val="000000"/>
          <w:kern w:val="0"/>
        </w:rPr>
        <w:instrText xml:space="preserve"> = 2 \* GB3 </w:instrText>
      </w:r>
      <w:r>
        <w:rPr>
          <w:snapToGrid w:val="0"/>
          <w:color w:val="000000"/>
          <w:kern w:val="0"/>
        </w:rPr>
        <w:fldChar w:fldCharType="separate"/>
      </w:r>
      <w:r>
        <w:rPr>
          <w:snapToGrid w:val="0"/>
          <w:color w:val="000000"/>
          <w:kern w:val="0"/>
        </w:rPr>
        <w:t>②</w:t>
      </w:r>
      <w:r>
        <w:rPr>
          <w:snapToGrid w:val="0"/>
          <w:color w:val="000000"/>
          <w:kern w:val="0"/>
        </w:rPr>
        <w:fldChar w:fldCharType="end"/>
      </w:r>
      <w:r>
        <w:rPr>
          <w:snapToGrid w:val="0"/>
          <w:color w:val="000000"/>
          <w:kern w:val="0"/>
        </w:rPr>
        <w:t>在规划区内持续推进实施清洁生产，新入区企业和新引进的项目，必须采用先进的生产工艺，减少水资源的消耗和污染物的排放。</w:t>
      </w:r>
    </w:p>
    <w:p w14:paraId="6A9E4A1D">
      <w:pPr>
        <w:ind w:firstLine="480"/>
        <w:rPr>
          <w:snapToGrid w:val="0"/>
          <w:color w:val="000000"/>
          <w:kern w:val="0"/>
        </w:rPr>
      </w:pPr>
      <w:r>
        <w:rPr>
          <w:snapToGrid w:val="0"/>
          <w:color w:val="000000"/>
          <w:kern w:val="0"/>
        </w:rPr>
        <w:fldChar w:fldCharType="begin"/>
      </w:r>
      <w:r>
        <w:rPr>
          <w:snapToGrid w:val="0"/>
          <w:color w:val="000000"/>
          <w:kern w:val="0"/>
        </w:rPr>
        <w:instrText xml:space="preserve"> = 3 \* GB3 </w:instrText>
      </w:r>
      <w:r>
        <w:rPr>
          <w:snapToGrid w:val="0"/>
          <w:color w:val="000000"/>
          <w:kern w:val="0"/>
        </w:rPr>
        <w:fldChar w:fldCharType="separate"/>
      </w:r>
      <w:r>
        <w:rPr>
          <w:snapToGrid w:val="0"/>
          <w:color w:val="000000"/>
          <w:kern w:val="0"/>
        </w:rPr>
        <w:t>③</w:t>
      </w:r>
      <w:r>
        <w:rPr>
          <w:snapToGrid w:val="0"/>
          <w:color w:val="000000"/>
          <w:kern w:val="0"/>
        </w:rPr>
        <w:fldChar w:fldCharType="end"/>
      </w:r>
      <w:r>
        <w:rPr>
          <w:snapToGrid w:val="0"/>
          <w:color w:val="000000"/>
          <w:kern w:val="0"/>
        </w:rPr>
        <w:t>入园企业水污染防治要求</w:t>
      </w:r>
    </w:p>
    <w:p w14:paraId="2F630E39">
      <w:pPr>
        <w:ind w:firstLine="480"/>
        <w:rPr>
          <w:color w:val="000000"/>
        </w:rPr>
      </w:pPr>
      <w:r>
        <w:rPr>
          <w:color w:val="000000"/>
        </w:rPr>
        <w:t>氯氟片区目前企业产生的污废水经自建污水处理站处理达《化工园区主要污染物排放标准》（DB50/457-2012）表1的规定或行业标准中直接排放标准，后续待园区按优化调整建议实施后，氯氟片区企业处理达行业标准间接排放标准、《污水综合排放标准》三级标准后处理后第一类污染物满足《污水综合排放标准》中第一类污染物最高允许排放浓度，特征因子满足《污水综合排放标准》中一级标准或者相关行业标准中间接排放标准，其余污染因子满足《污水综合排放标准》中三级标准后送集中污水处理设施。</w:t>
      </w:r>
    </w:p>
    <w:p w14:paraId="3FE018C0">
      <w:pPr>
        <w:pStyle w:val="31"/>
        <w:spacing w:after="0"/>
        <w:ind w:firstLine="480"/>
        <w:rPr>
          <w:bCs/>
          <w:color w:val="000000"/>
        </w:rPr>
      </w:pPr>
      <w:r>
        <w:rPr>
          <w:bCs/>
          <w:color w:val="000000"/>
        </w:rPr>
        <w:t>化肥片区由建峰化工建有1座污水处理厂，处理能力为2400m</w:t>
      </w:r>
      <w:r>
        <w:rPr>
          <w:bCs/>
          <w:color w:val="000000"/>
          <w:vertAlign w:val="superscript"/>
        </w:rPr>
        <w:t>3</w:t>
      </w:r>
      <w:r>
        <w:rPr>
          <w:bCs/>
          <w:color w:val="000000"/>
        </w:rPr>
        <w:t>/d，用于处理建峰一化、二化、三聚氰胺项目的污废水，并配套建设有事故池和废水在线监控设施。</w:t>
      </w:r>
    </w:p>
    <w:p w14:paraId="5B6BEB69">
      <w:pPr>
        <w:ind w:firstLine="480"/>
        <w:rPr>
          <w:snapToGrid w:val="0"/>
          <w:color w:val="000000"/>
          <w:kern w:val="0"/>
        </w:rPr>
      </w:pPr>
      <w:r>
        <w:rPr>
          <w:bCs/>
          <w:color w:val="000000"/>
        </w:rPr>
        <w:t>潘家坝污水处理厂（已建成处理能力为2万m</w:t>
      </w:r>
      <w:r>
        <w:rPr>
          <w:bCs/>
          <w:color w:val="000000"/>
          <w:vertAlign w:val="superscript"/>
        </w:rPr>
        <w:t>3</w:t>
      </w:r>
      <w:r>
        <w:rPr>
          <w:bCs/>
          <w:color w:val="000000"/>
        </w:rPr>
        <w:t>/d，规划处理能力3万m3/d）收水范围内的</w:t>
      </w:r>
      <w:r>
        <w:rPr>
          <w:snapToGrid w:val="0"/>
          <w:color w:val="000000"/>
          <w:kern w:val="0"/>
        </w:rPr>
        <w:t>企业须自行处理</w:t>
      </w:r>
      <w:r>
        <w:rPr>
          <w:color w:val="000000"/>
        </w:rPr>
        <w:t>第一类污染物满足《污水综合排放标准》中第一类污染物最高允许排放浓度（在车间处理设施处达标），特征因子满足《污水综合排放标准》中一级标准或者相关行业标准中间接排放标准，其余污染因子满足《污水综合排放标准》中三级标准后送潘家坝污水处理厂处理。</w:t>
      </w:r>
    </w:p>
    <w:p w14:paraId="48F70DEB">
      <w:pPr>
        <w:ind w:firstLine="480"/>
        <w:rPr>
          <w:snapToGrid w:val="0"/>
          <w:color w:val="000000"/>
          <w:kern w:val="0"/>
        </w:rPr>
      </w:pPr>
      <w:r>
        <w:rPr>
          <w:snapToGrid w:val="0"/>
          <w:color w:val="000000"/>
          <w:kern w:val="0"/>
        </w:rPr>
        <w:t>企业需排放废水需全部接管，禁止随意向乌江或者后溪河排放废水。</w:t>
      </w:r>
    </w:p>
    <w:p w14:paraId="7EBC9A20">
      <w:pPr>
        <w:tabs>
          <w:tab w:val="left" w:pos="993"/>
        </w:tabs>
        <w:ind w:firstLine="482"/>
        <w:rPr>
          <w:color w:val="000000"/>
          <w:kern w:val="0"/>
        </w:rPr>
      </w:pPr>
      <w:r>
        <w:rPr>
          <w:color w:val="000000"/>
          <w:kern w:val="0"/>
        </w:rPr>
        <w:t>（3）固体废物控制</w:t>
      </w:r>
    </w:p>
    <w:p w14:paraId="4EC1BA8E">
      <w:pPr>
        <w:ind w:firstLine="472"/>
        <w:rPr>
          <w:snapToGrid w:val="0"/>
          <w:color w:val="000000"/>
          <w:spacing w:val="-2"/>
          <w:kern w:val="0"/>
        </w:rPr>
      </w:pPr>
      <w:r>
        <w:rPr>
          <w:snapToGrid w:val="0"/>
          <w:color w:val="000000"/>
          <w:kern w:val="0"/>
        </w:rPr>
        <w:t xml:space="preserve">① </w:t>
      </w:r>
      <w:r>
        <w:rPr>
          <w:snapToGrid w:val="0"/>
          <w:color w:val="000000"/>
          <w:spacing w:val="-2"/>
          <w:kern w:val="0"/>
        </w:rPr>
        <w:t>生活垃圾处理措施</w:t>
      </w:r>
    </w:p>
    <w:p w14:paraId="7E82E34B">
      <w:pPr>
        <w:ind w:firstLine="480"/>
        <w:rPr>
          <w:snapToGrid w:val="0"/>
          <w:color w:val="000000"/>
          <w:kern w:val="0"/>
        </w:rPr>
      </w:pPr>
      <w:r>
        <w:rPr>
          <w:snapToGrid w:val="0"/>
          <w:color w:val="000000"/>
          <w:kern w:val="0"/>
        </w:rPr>
        <w:t>严格规范垃圾的管理。生活垃圾由涪陵区环卫部门统一收运处理。</w:t>
      </w:r>
    </w:p>
    <w:p w14:paraId="27B791F5">
      <w:pPr>
        <w:ind w:firstLine="480"/>
        <w:rPr>
          <w:snapToGrid w:val="0"/>
          <w:color w:val="000000"/>
          <w:kern w:val="0"/>
        </w:rPr>
      </w:pPr>
      <w:r>
        <w:rPr>
          <w:snapToGrid w:val="0"/>
          <w:color w:val="000000"/>
          <w:kern w:val="0"/>
        </w:rPr>
        <w:fldChar w:fldCharType="begin"/>
      </w:r>
      <w:r>
        <w:rPr>
          <w:snapToGrid w:val="0"/>
          <w:color w:val="000000"/>
          <w:kern w:val="0"/>
        </w:rPr>
        <w:instrText xml:space="preserve"> = 2 \* GB3 </w:instrText>
      </w:r>
      <w:r>
        <w:rPr>
          <w:snapToGrid w:val="0"/>
          <w:color w:val="000000"/>
          <w:kern w:val="0"/>
        </w:rPr>
        <w:fldChar w:fldCharType="separate"/>
      </w:r>
      <w:r>
        <w:rPr>
          <w:snapToGrid w:val="0"/>
          <w:color w:val="000000"/>
          <w:kern w:val="0"/>
        </w:rPr>
        <w:t>②</w:t>
      </w:r>
      <w:r>
        <w:rPr>
          <w:snapToGrid w:val="0"/>
          <w:color w:val="000000"/>
          <w:kern w:val="0"/>
        </w:rPr>
        <w:fldChar w:fldCharType="end"/>
      </w:r>
      <w:r>
        <w:rPr>
          <w:snapToGrid w:val="0"/>
          <w:color w:val="000000"/>
          <w:kern w:val="0"/>
        </w:rPr>
        <w:t>一般工业固体废物处理措施</w:t>
      </w:r>
    </w:p>
    <w:p w14:paraId="1FF6DB22">
      <w:pPr>
        <w:ind w:firstLine="480"/>
        <w:rPr>
          <w:snapToGrid w:val="0"/>
          <w:color w:val="000000"/>
          <w:kern w:val="0"/>
        </w:rPr>
      </w:pPr>
      <w:r>
        <w:rPr>
          <w:snapToGrid w:val="0"/>
          <w:color w:val="000000"/>
          <w:kern w:val="0"/>
        </w:rPr>
        <w:t>规划区已建有</w:t>
      </w:r>
      <w:r>
        <w:rPr>
          <w:bCs/>
          <w:color w:val="000000"/>
        </w:rPr>
        <w:t>白涛化工园区Ⅱ类一般工业固体废物处置场和黄泥槽灰场，一般工业固体废物大部分综合利用。对于燃煤锅炉产生的灰渣暂时不能综合利用的，可送往黄泥槽灰场应急暂存、处置；对于企业生产工艺产生的一般固体废物不能综合利用情况送白涛化工园区Ⅱ类一般工业固体废物处置场处理</w:t>
      </w:r>
      <w:r>
        <w:rPr>
          <w:snapToGrid w:val="0"/>
          <w:color w:val="000000"/>
          <w:kern w:val="0"/>
        </w:rPr>
        <w:t>。</w:t>
      </w:r>
    </w:p>
    <w:p w14:paraId="12130DA9">
      <w:pPr>
        <w:ind w:firstLine="480"/>
        <w:rPr>
          <w:snapToGrid w:val="0"/>
          <w:color w:val="000000"/>
          <w:kern w:val="0"/>
        </w:rPr>
      </w:pPr>
      <w:r>
        <w:rPr>
          <w:snapToGrid w:val="0"/>
          <w:color w:val="000000"/>
          <w:kern w:val="0"/>
        </w:rPr>
        <w:fldChar w:fldCharType="begin"/>
      </w:r>
      <w:r>
        <w:rPr>
          <w:snapToGrid w:val="0"/>
          <w:color w:val="000000"/>
          <w:kern w:val="0"/>
        </w:rPr>
        <w:instrText xml:space="preserve"> = 3 \* GB3 </w:instrText>
      </w:r>
      <w:r>
        <w:rPr>
          <w:snapToGrid w:val="0"/>
          <w:color w:val="000000"/>
          <w:kern w:val="0"/>
        </w:rPr>
        <w:fldChar w:fldCharType="separate"/>
      </w:r>
      <w:r>
        <w:rPr>
          <w:snapToGrid w:val="0"/>
          <w:color w:val="000000"/>
          <w:kern w:val="0"/>
        </w:rPr>
        <w:t>③</w:t>
      </w:r>
      <w:r>
        <w:rPr>
          <w:snapToGrid w:val="0"/>
          <w:color w:val="000000"/>
          <w:kern w:val="0"/>
        </w:rPr>
        <w:fldChar w:fldCharType="end"/>
      </w:r>
      <w:r>
        <w:rPr>
          <w:snapToGrid w:val="0"/>
          <w:color w:val="000000"/>
          <w:kern w:val="0"/>
        </w:rPr>
        <w:t>严格危险废物管理</w:t>
      </w:r>
    </w:p>
    <w:p w14:paraId="323B0AD5">
      <w:pPr>
        <w:tabs>
          <w:tab w:val="left" w:pos="993"/>
        </w:tabs>
        <w:ind w:firstLine="482"/>
        <w:rPr>
          <w:color w:val="000000"/>
          <w:kern w:val="0"/>
        </w:rPr>
      </w:pPr>
      <w:r>
        <w:rPr>
          <w:snapToGrid w:val="0"/>
          <w:color w:val="000000"/>
          <w:kern w:val="0"/>
        </w:rPr>
        <w:t>危险废物委托有资质的单位进行处置，实施联单制管理，严防“二次”污染。危险废物暂存应按照《危险废物贮存污染物控制标准》的要求选址、设计、运行及污染防控</w:t>
      </w:r>
      <w:r>
        <w:rPr>
          <w:color w:val="000000"/>
          <w:kern w:val="0"/>
        </w:rPr>
        <w:t>。</w:t>
      </w:r>
    </w:p>
    <w:p w14:paraId="2B761830">
      <w:pPr>
        <w:tabs>
          <w:tab w:val="left" w:pos="993"/>
        </w:tabs>
        <w:ind w:firstLine="482"/>
        <w:rPr>
          <w:color w:val="000000"/>
          <w:kern w:val="0"/>
        </w:rPr>
      </w:pPr>
      <w:r>
        <w:rPr>
          <w:color w:val="000000"/>
          <w:kern w:val="0"/>
        </w:rPr>
        <w:t>（4）噪声控制</w:t>
      </w:r>
    </w:p>
    <w:p w14:paraId="6311262C">
      <w:pPr>
        <w:ind w:firstLine="480"/>
        <w:rPr>
          <w:color w:val="000000"/>
        </w:rPr>
      </w:pPr>
      <w:r>
        <w:rPr>
          <w:color w:val="000000"/>
        </w:rPr>
        <w:t>1）园区层面交通噪声控制对策</w:t>
      </w:r>
    </w:p>
    <w:p w14:paraId="4B6D0AFD">
      <w:pPr>
        <w:ind w:firstLine="480"/>
        <w:rPr>
          <w:color w:val="000000"/>
        </w:rPr>
      </w:pPr>
      <w:r>
        <w:rPr>
          <w:color w:val="000000"/>
        </w:rPr>
        <w:t>① 在穿越居民区和其它敏感区的道路上行驶的车辆禁止鸣喇叭；</w:t>
      </w:r>
    </w:p>
    <w:p w14:paraId="7677994E">
      <w:pPr>
        <w:ind w:firstLine="480"/>
        <w:rPr>
          <w:color w:val="000000"/>
        </w:rPr>
      </w:pPr>
      <w:r>
        <w:rPr>
          <w:color w:val="000000"/>
        </w:rPr>
        <w:t>② 加强现有道路的养护与管理，对破损的路面及时修补，园区道路应推广新型的低噪音路面材料(如沥青路面)；</w:t>
      </w:r>
    </w:p>
    <w:p w14:paraId="73691776">
      <w:pPr>
        <w:ind w:firstLine="480"/>
        <w:rPr>
          <w:color w:val="000000"/>
        </w:rPr>
      </w:pPr>
      <w:r>
        <w:rPr>
          <w:color w:val="000000"/>
        </w:rPr>
        <w:t>③ 结合绿地公路廊道建设，充分利用现有地形条件，在干道两侧设立绿化带。</w:t>
      </w:r>
    </w:p>
    <w:p w14:paraId="46B98488">
      <w:pPr>
        <w:ind w:firstLine="480"/>
        <w:rPr>
          <w:color w:val="000000"/>
        </w:rPr>
      </w:pPr>
      <w:r>
        <w:rPr>
          <w:color w:val="000000"/>
        </w:rPr>
        <w:t>2）企业层面工业噪声控制对策</w:t>
      </w:r>
    </w:p>
    <w:p w14:paraId="1973C0F9">
      <w:pPr>
        <w:ind w:firstLine="480"/>
        <w:rPr>
          <w:color w:val="000000"/>
        </w:rPr>
      </w:pPr>
      <w:r>
        <w:rPr>
          <w:color w:val="000000"/>
        </w:rPr>
        <w:t>工业噪声主要来自生产和各种工作过程中机械振动、摩擦、撞击以及气流扰动而，产生的声音。区内各种工厂的生产运转所造成的噪声振动，其影响虽然不及交通运输广，但局部地区的污染却比交通运输严重得多。因此这类噪声振动对周围环境的影响也应予以重视，可采取的具体控制措施如下：</w:t>
      </w:r>
    </w:p>
    <w:p w14:paraId="213213D7">
      <w:pPr>
        <w:ind w:firstLine="480"/>
        <w:rPr>
          <w:color w:val="000000"/>
        </w:rPr>
      </w:pPr>
      <w:r>
        <w:rPr>
          <w:color w:val="000000"/>
        </w:rPr>
        <w:t>① 入园企业应按照下阶段建设项目环评文件要求，在设备周围作隔音处理，减少工业噪声的外泄，且要加强厂区周围的立体绿化隔离带建设，确保厂界噪声排放满足《工业企业厂界环境噪声排放标准》（GB12348-2008）相应规定。</w:t>
      </w:r>
    </w:p>
    <w:p w14:paraId="669D3E6F">
      <w:pPr>
        <w:ind w:firstLine="480"/>
        <w:rPr>
          <w:color w:val="000000"/>
        </w:rPr>
      </w:pPr>
      <w:r>
        <w:rPr>
          <w:color w:val="000000"/>
        </w:rPr>
        <w:t>② 严格按照区域发展规划和布局要求，高起点、高标准地建设科技含量高、能耗低、噪声污染小的企业，从污染源的源头开始控制噪声。</w:t>
      </w:r>
    </w:p>
    <w:p w14:paraId="0648CFF7">
      <w:pPr>
        <w:ind w:firstLine="480"/>
        <w:rPr>
          <w:color w:val="000000"/>
        </w:rPr>
      </w:pPr>
      <w:r>
        <w:rPr>
          <w:color w:val="000000"/>
        </w:rPr>
        <w:t>3）施工噪声管理</w:t>
      </w:r>
    </w:p>
    <w:p w14:paraId="2F0B51DC">
      <w:pPr>
        <w:tabs>
          <w:tab w:val="left" w:pos="993"/>
        </w:tabs>
        <w:ind w:firstLine="482"/>
        <w:rPr>
          <w:color w:val="000000"/>
          <w:kern w:val="0"/>
        </w:rPr>
      </w:pPr>
      <w:r>
        <w:rPr>
          <w:color w:val="000000"/>
        </w:rPr>
        <w:t>采用低噪声施工设备，施工场地的固定高噪声设备设在操作间，或搭建隔声棚、设置声障，施工场界采取围挡措施。建筑施工项目采取开工前15天排污申报登记和排污许可证制度，施工作业时间应避开居民休息时间。施工单位应加强对施工场地的管理，限制夜间施工，各施工段施工场界噪声不得超标</w:t>
      </w:r>
      <w:r>
        <w:rPr>
          <w:color w:val="000000"/>
          <w:kern w:val="0"/>
        </w:rPr>
        <w:t>。</w:t>
      </w:r>
    </w:p>
    <w:p w14:paraId="21760908">
      <w:pPr>
        <w:pStyle w:val="770"/>
        <w:rPr>
          <w:color w:val="000000"/>
        </w:rPr>
      </w:pPr>
      <w:bookmarkStart w:id="426" w:name="_Toc31229"/>
      <w:r>
        <w:rPr>
          <w:color w:val="000000"/>
        </w:rPr>
        <w:t>4.3 环境质量现状调查与评价</w:t>
      </w:r>
      <w:bookmarkEnd w:id="2"/>
      <w:bookmarkEnd w:id="3"/>
      <w:bookmarkEnd w:id="4"/>
      <w:bookmarkEnd w:id="5"/>
      <w:bookmarkEnd w:id="6"/>
      <w:bookmarkEnd w:id="7"/>
      <w:bookmarkEnd w:id="8"/>
      <w:bookmarkEnd w:id="9"/>
      <w:bookmarkEnd w:id="10"/>
      <w:bookmarkEnd w:id="426"/>
    </w:p>
    <w:p w14:paraId="5889B5D9">
      <w:pPr>
        <w:pStyle w:val="771"/>
        <w:rPr>
          <w:color w:val="000000"/>
        </w:rPr>
      </w:pPr>
      <w:bookmarkStart w:id="427" w:name="_Toc461100448"/>
      <w:bookmarkStart w:id="428" w:name="_Toc384842115"/>
      <w:bookmarkStart w:id="429" w:name="_Toc413860934"/>
      <w:bookmarkStart w:id="430" w:name="_Toc15499330"/>
      <w:bookmarkStart w:id="431" w:name="_Toc449353898"/>
      <w:bookmarkStart w:id="432" w:name="_Toc450674583"/>
      <w:bookmarkStart w:id="433" w:name="_Toc21961447"/>
      <w:bookmarkStart w:id="434" w:name="_Toc15499570"/>
      <w:bookmarkStart w:id="435" w:name="_Toc458021319"/>
      <w:bookmarkStart w:id="436" w:name="_Toc458070888"/>
      <w:r>
        <w:rPr>
          <w:color w:val="000000"/>
        </w:rPr>
        <w:t>4.3.1 环境空气质量现状评价</w:t>
      </w:r>
      <w:bookmarkEnd w:id="427"/>
      <w:bookmarkEnd w:id="428"/>
      <w:bookmarkEnd w:id="429"/>
      <w:bookmarkEnd w:id="430"/>
      <w:bookmarkEnd w:id="431"/>
      <w:bookmarkEnd w:id="432"/>
      <w:bookmarkEnd w:id="433"/>
      <w:bookmarkEnd w:id="434"/>
      <w:bookmarkEnd w:id="435"/>
      <w:bookmarkEnd w:id="436"/>
    </w:p>
    <w:p w14:paraId="6FAF217A">
      <w:pPr>
        <w:tabs>
          <w:tab w:val="left" w:pos="993"/>
        </w:tabs>
        <w:ind w:firstLine="480"/>
        <w:rPr>
          <w:color w:val="000000"/>
        </w:rPr>
      </w:pPr>
      <w:r>
        <w:rPr>
          <w:color w:val="000000"/>
        </w:rPr>
        <w:t>本项目所在区域环境空气质量达标情况引用《2020年重庆市生态环境状况公报》中涪陵区的环境空气质量数据进行评价，详见表4.3.1-1。</w:t>
      </w:r>
    </w:p>
    <w:p w14:paraId="45D13673">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4</w:t>
      </w:r>
      <w:r>
        <w:rPr>
          <w:rFonts w:ascii="Times New Roman" w:hAnsi="Times New Roman"/>
          <w:color w:val="000000"/>
        </w:rPr>
        <w:t>.3.1-1  区域空气质量</w:t>
      </w:r>
      <w:r>
        <w:rPr>
          <w:rFonts w:ascii="Times New Roman" w:hAnsi="Times New Roman"/>
          <w:color w:val="000000"/>
          <w:lang w:val="en-US"/>
        </w:rPr>
        <w:t>达标情况</w:t>
      </w:r>
      <w:r>
        <w:rPr>
          <w:rFonts w:ascii="Times New Roman" w:hAnsi="Times New Roman"/>
          <w:color w:val="000000"/>
        </w:rPr>
        <w:t>评价表</w:t>
      </w:r>
    </w:p>
    <w:tbl>
      <w:tblPr>
        <w:tblStyle w:val="73"/>
        <w:tblW w:w="4999" w:type="pct"/>
        <w:tblInd w:w="1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849"/>
        <w:gridCol w:w="1202"/>
        <w:gridCol w:w="1378"/>
        <w:gridCol w:w="1129"/>
        <w:gridCol w:w="1267"/>
        <w:gridCol w:w="1078"/>
      </w:tblGrid>
      <w:tr w14:paraId="3FCBDAA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37" w:type="pct"/>
            <w:tcBorders>
              <w:tl2br w:val="nil"/>
              <w:tr2bl w:val="nil"/>
            </w:tcBorders>
            <w:vAlign w:val="center"/>
          </w:tcPr>
          <w:p w14:paraId="2ACE3789">
            <w:pPr>
              <w:pStyle w:val="12"/>
              <w:rPr>
                <w:bCs/>
                <w:color w:val="000000"/>
              </w:rPr>
            </w:pPr>
            <w:r>
              <w:rPr>
                <w:bCs/>
                <w:color w:val="000000"/>
              </w:rPr>
              <w:t>污染物</w:t>
            </w:r>
          </w:p>
        </w:tc>
        <w:tc>
          <w:tcPr>
            <w:tcW w:w="1020" w:type="pct"/>
            <w:tcBorders>
              <w:tl2br w:val="nil"/>
              <w:tr2bl w:val="nil"/>
            </w:tcBorders>
            <w:vAlign w:val="center"/>
          </w:tcPr>
          <w:p w14:paraId="41DE53D9">
            <w:pPr>
              <w:pStyle w:val="12"/>
              <w:rPr>
                <w:bCs/>
                <w:color w:val="000000"/>
              </w:rPr>
            </w:pPr>
            <w:r>
              <w:rPr>
                <w:bCs/>
                <w:color w:val="000000"/>
              </w:rPr>
              <w:t>评价指标</w:t>
            </w:r>
          </w:p>
        </w:tc>
        <w:tc>
          <w:tcPr>
            <w:tcW w:w="663" w:type="pct"/>
            <w:tcBorders>
              <w:tl2br w:val="nil"/>
              <w:tr2bl w:val="nil"/>
            </w:tcBorders>
            <w:vAlign w:val="center"/>
          </w:tcPr>
          <w:p w14:paraId="1CD70ADF">
            <w:pPr>
              <w:pStyle w:val="12"/>
              <w:rPr>
                <w:bCs/>
                <w:color w:val="000000"/>
              </w:rPr>
            </w:pPr>
            <w:r>
              <w:rPr>
                <w:bCs/>
                <w:color w:val="000000"/>
              </w:rPr>
              <w:t>现状浓度</w:t>
            </w:r>
          </w:p>
          <w:p w14:paraId="43151CEF">
            <w:pPr>
              <w:pStyle w:val="12"/>
              <w:rPr>
                <w:bCs/>
                <w:color w:val="000000"/>
              </w:rPr>
            </w:pPr>
            <w:r>
              <w:rPr>
                <w:bCs/>
                <w:color w:val="000000"/>
              </w:rPr>
              <w:t>（µg/m</w:t>
            </w:r>
            <w:r>
              <w:rPr>
                <w:bCs/>
                <w:color w:val="000000"/>
                <w:vertAlign w:val="superscript"/>
              </w:rPr>
              <w:t>3</w:t>
            </w:r>
            <w:r>
              <w:rPr>
                <w:bCs/>
                <w:color w:val="000000"/>
              </w:rPr>
              <w:t>）</w:t>
            </w:r>
          </w:p>
        </w:tc>
        <w:tc>
          <w:tcPr>
            <w:tcW w:w="760" w:type="pct"/>
            <w:tcBorders>
              <w:tl2br w:val="nil"/>
              <w:tr2bl w:val="nil"/>
            </w:tcBorders>
            <w:vAlign w:val="center"/>
          </w:tcPr>
          <w:p w14:paraId="14AE9891">
            <w:pPr>
              <w:pStyle w:val="12"/>
              <w:rPr>
                <w:bCs/>
                <w:color w:val="000000"/>
              </w:rPr>
            </w:pPr>
            <w:r>
              <w:rPr>
                <w:bCs/>
                <w:color w:val="000000"/>
              </w:rPr>
              <w:t>标准值</w:t>
            </w:r>
          </w:p>
          <w:p w14:paraId="4C855307">
            <w:pPr>
              <w:pStyle w:val="12"/>
              <w:rPr>
                <w:bCs/>
                <w:color w:val="000000"/>
              </w:rPr>
            </w:pPr>
            <w:r>
              <w:rPr>
                <w:bCs/>
                <w:color w:val="000000"/>
              </w:rPr>
              <w:t>（µg/m</w:t>
            </w:r>
            <w:r>
              <w:rPr>
                <w:bCs/>
                <w:color w:val="000000"/>
                <w:vertAlign w:val="superscript"/>
              </w:rPr>
              <w:t>3</w:t>
            </w:r>
            <w:r>
              <w:rPr>
                <w:bCs/>
                <w:color w:val="000000"/>
              </w:rPr>
              <w:t>）</w:t>
            </w:r>
          </w:p>
        </w:tc>
        <w:tc>
          <w:tcPr>
            <w:tcW w:w="623" w:type="pct"/>
            <w:tcBorders>
              <w:tl2br w:val="nil"/>
              <w:tr2bl w:val="nil"/>
            </w:tcBorders>
            <w:vAlign w:val="center"/>
          </w:tcPr>
          <w:p w14:paraId="098631D6">
            <w:pPr>
              <w:pStyle w:val="12"/>
              <w:rPr>
                <w:bCs/>
                <w:color w:val="000000"/>
              </w:rPr>
            </w:pPr>
            <w:r>
              <w:rPr>
                <w:bCs/>
                <w:color w:val="000000"/>
              </w:rPr>
              <w:t>占标率%</w:t>
            </w:r>
          </w:p>
        </w:tc>
        <w:tc>
          <w:tcPr>
            <w:tcW w:w="699" w:type="pct"/>
            <w:tcBorders>
              <w:tl2br w:val="nil"/>
              <w:tr2bl w:val="nil"/>
            </w:tcBorders>
            <w:vAlign w:val="center"/>
          </w:tcPr>
          <w:p w14:paraId="1CAE70DD">
            <w:pPr>
              <w:pStyle w:val="12"/>
              <w:rPr>
                <w:bCs/>
                <w:color w:val="000000"/>
              </w:rPr>
            </w:pPr>
            <w:r>
              <w:rPr>
                <w:bCs/>
                <w:color w:val="000000"/>
              </w:rPr>
              <w:t>超标倍数</w:t>
            </w:r>
          </w:p>
        </w:tc>
        <w:tc>
          <w:tcPr>
            <w:tcW w:w="594" w:type="pct"/>
            <w:tcBorders>
              <w:tl2br w:val="nil"/>
              <w:tr2bl w:val="nil"/>
            </w:tcBorders>
            <w:vAlign w:val="center"/>
          </w:tcPr>
          <w:p w14:paraId="238C475F">
            <w:pPr>
              <w:pStyle w:val="12"/>
              <w:rPr>
                <w:bCs/>
                <w:color w:val="000000"/>
              </w:rPr>
            </w:pPr>
            <w:r>
              <w:rPr>
                <w:bCs/>
                <w:color w:val="000000"/>
              </w:rPr>
              <w:t>达标情况</w:t>
            </w:r>
          </w:p>
        </w:tc>
      </w:tr>
      <w:tr w14:paraId="3CD19D8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37" w:type="pct"/>
            <w:tcBorders>
              <w:tl2br w:val="nil"/>
              <w:tr2bl w:val="nil"/>
            </w:tcBorders>
            <w:vAlign w:val="center"/>
          </w:tcPr>
          <w:p w14:paraId="7E145D86">
            <w:pPr>
              <w:pStyle w:val="12"/>
              <w:rPr>
                <w:color w:val="000000"/>
              </w:rPr>
            </w:pPr>
            <w:r>
              <w:rPr>
                <w:color w:val="000000"/>
              </w:rPr>
              <w:t>PM</w:t>
            </w:r>
            <w:r>
              <w:rPr>
                <w:color w:val="000000"/>
                <w:vertAlign w:val="subscript"/>
              </w:rPr>
              <w:t>10</w:t>
            </w:r>
          </w:p>
        </w:tc>
        <w:tc>
          <w:tcPr>
            <w:tcW w:w="1020" w:type="pct"/>
            <w:vMerge w:val="restart"/>
            <w:tcBorders>
              <w:tl2br w:val="nil"/>
              <w:tr2bl w:val="nil"/>
            </w:tcBorders>
            <w:vAlign w:val="center"/>
          </w:tcPr>
          <w:p w14:paraId="797AE07C">
            <w:pPr>
              <w:pStyle w:val="12"/>
              <w:rPr>
                <w:color w:val="000000"/>
              </w:rPr>
            </w:pPr>
            <w:r>
              <w:rPr>
                <w:color w:val="000000"/>
              </w:rPr>
              <w:t>年平均质量浓度</w:t>
            </w:r>
          </w:p>
        </w:tc>
        <w:tc>
          <w:tcPr>
            <w:tcW w:w="663" w:type="pct"/>
            <w:tcBorders>
              <w:tl2br w:val="nil"/>
              <w:tr2bl w:val="nil"/>
            </w:tcBorders>
            <w:vAlign w:val="center"/>
          </w:tcPr>
          <w:p w14:paraId="1ED6FFBD">
            <w:pPr>
              <w:pStyle w:val="12"/>
              <w:rPr>
                <w:color w:val="000000"/>
              </w:rPr>
            </w:pPr>
            <w:r>
              <w:rPr>
                <w:color w:val="000000"/>
              </w:rPr>
              <w:t>45</w:t>
            </w:r>
          </w:p>
        </w:tc>
        <w:tc>
          <w:tcPr>
            <w:tcW w:w="760" w:type="pct"/>
            <w:tcBorders>
              <w:tl2br w:val="nil"/>
              <w:tr2bl w:val="nil"/>
            </w:tcBorders>
            <w:vAlign w:val="center"/>
          </w:tcPr>
          <w:p w14:paraId="058F3E4A">
            <w:pPr>
              <w:pStyle w:val="12"/>
              <w:rPr>
                <w:color w:val="000000"/>
              </w:rPr>
            </w:pPr>
            <w:r>
              <w:rPr>
                <w:color w:val="000000"/>
              </w:rPr>
              <w:t>70</w:t>
            </w:r>
          </w:p>
        </w:tc>
        <w:tc>
          <w:tcPr>
            <w:tcW w:w="623" w:type="pct"/>
            <w:tcBorders>
              <w:tl2br w:val="nil"/>
              <w:tr2bl w:val="nil"/>
            </w:tcBorders>
            <w:vAlign w:val="center"/>
          </w:tcPr>
          <w:p w14:paraId="7176EBBD">
            <w:pPr>
              <w:pStyle w:val="12"/>
              <w:rPr>
                <w:color w:val="000000"/>
              </w:rPr>
            </w:pPr>
            <w:r>
              <w:rPr>
                <w:color w:val="000000"/>
              </w:rPr>
              <w:t>64.3</w:t>
            </w:r>
          </w:p>
        </w:tc>
        <w:tc>
          <w:tcPr>
            <w:tcW w:w="699" w:type="pct"/>
            <w:tcBorders>
              <w:tl2br w:val="nil"/>
              <w:tr2bl w:val="nil"/>
            </w:tcBorders>
            <w:vAlign w:val="center"/>
          </w:tcPr>
          <w:p w14:paraId="685F3179">
            <w:pPr>
              <w:pStyle w:val="12"/>
              <w:rPr>
                <w:color w:val="000000"/>
              </w:rPr>
            </w:pPr>
            <w:r>
              <w:rPr>
                <w:color w:val="000000"/>
              </w:rPr>
              <w:t>0</w:t>
            </w:r>
          </w:p>
        </w:tc>
        <w:tc>
          <w:tcPr>
            <w:tcW w:w="594" w:type="pct"/>
            <w:tcBorders>
              <w:tl2br w:val="nil"/>
              <w:tr2bl w:val="nil"/>
            </w:tcBorders>
            <w:vAlign w:val="center"/>
          </w:tcPr>
          <w:p w14:paraId="1FD259BF">
            <w:pPr>
              <w:pStyle w:val="12"/>
              <w:rPr>
                <w:color w:val="000000"/>
              </w:rPr>
            </w:pPr>
            <w:r>
              <w:rPr>
                <w:color w:val="000000"/>
              </w:rPr>
              <w:t>达标</w:t>
            </w:r>
          </w:p>
        </w:tc>
      </w:tr>
      <w:tr w14:paraId="3482579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37" w:type="pct"/>
            <w:tcBorders>
              <w:tl2br w:val="nil"/>
              <w:tr2bl w:val="nil"/>
            </w:tcBorders>
            <w:vAlign w:val="center"/>
          </w:tcPr>
          <w:p w14:paraId="76DB9562">
            <w:pPr>
              <w:pStyle w:val="12"/>
              <w:rPr>
                <w:color w:val="000000"/>
              </w:rPr>
            </w:pPr>
            <w:r>
              <w:rPr>
                <w:color w:val="000000"/>
              </w:rPr>
              <w:t>SO</w:t>
            </w:r>
            <w:r>
              <w:rPr>
                <w:color w:val="000000"/>
                <w:vertAlign w:val="subscript"/>
              </w:rPr>
              <w:t>2</w:t>
            </w:r>
          </w:p>
        </w:tc>
        <w:tc>
          <w:tcPr>
            <w:tcW w:w="1020" w:type="pct"/>
            <w:vMerge w:val="continue"/>
            <w:tcBorders>
              <w:tl2br w:val="nil"/>
              <w:tr2bl w:val="nil"/>
            </w:tcBorders>
            <w:vAlign w:val="center"/>
          </w:tcPr>
          <w:p w14:paraId="16885585">
            <w:pPr>
              <w:pStyle w:val="12"/>
              <w:rPr>
                <w:color w:val="000000"/>
              </w:rPr>
            </w:pPr>
          </w:p>
        </w:tc>
        <w:tc>
          <w:tcPr>
            <w:tcW w:w="663" w:type="pct"/>
            <w:tcBorders>
              <w:tl2br w:val="nil"/>
              <w:tr2bl w:val="nil"/>
            </w:tcBorders>
            <w:vAlign w:val="center"/>
          </w:tcPr>
          <w:p w14:paraId="34DD4B61">
            <w:pPr>
              <w:pStyle w:val="12"/>
              <w:rPr>
                <w:color w:val="000000"/>
              </w:rPr>
            </w:pPr>
            <w:r>
              <w:rPr>
                <w:color w:val="000000"/>
              </w:rPr>
              <w:t>11</w:t>
            </w:r>
          </w:p>
        </w:tc>
        <w:tc>
          <w:tcPr>
            <w:tcW w:w="760" w:type="pct"/>
            <w:tcBorders>
              <w:tl2br w:val="nil"/>
              <w:tr2bl w:val="nil"/>
            </w:tcBorders>
            <w:vAlign w:val="center"/>
          </w:tcPr>
          <w:p w14:paraId="70099DFD">
            <w:pPr>
              <w:pStyle w:val="12"/>
              <w:rPr>
                <w:color w:val="000000"/>
              </w:rPr>
            </w:pPr>
            <w:r>
              <w:rPr>
                <w:color w:val="000000"/>
              </w:rPr>
              <w:t>60</w:t>
            </w:r>
          </w:p>
        </w:tc>
        <w:tc>
          <w:tcPr>
            <w:tcW w:w="623" w:type="pct"/>
            <w:tcBorders>
              <w:tl2br w:val="nil"/>
              <w:tr2bl w:val="nil"/>
            </w:tcBorders>
            <w:vAlign w:val="center"/>
          </w:tcPr>
          <w:p w14:paraId="6CE90E77">
            <w:pPr>
              <w:pStyle w:val="12"/>
              <w:rPr>
                <w:color w:val="000000"/>
              </w:rPr>
            </w:pPr>
            <w:r>
              <w:rPr>
                <w:color w:val="000000"/>
              </w:rPr>
              <w:t>18.3</w:t>
            </w:r>
          </w:p>
        </w:tc>
        <w:tc>
          <w:tcPr>
            <w:tcW w:w="699" w:type="pct"/>
            <w:tcBorders>
              <w:tl2br w:val="nil"/>
              <w:tr2bl w:val="nil"/>
            </w:tcBorders>
            <w:vAlign w:val="center"/>
          </w:tcPr>
          <w:p w14:paraId="4B4A9106">
            <w:pPr>
              <w:pStyle w:val="12"/>
              <w:rPr>
                <w:b/>
                <w:color w:val="000000"/>
              </w:rPr>
            </w:pPr>
            <w:r>
              <w:rPr>
                <w:color w:val="000000"/>
              </w:rPr>
              <w:t>0</w:t>
            </w:r>
          </w:p>
        </w:tc>
        <w:tc>
          <w:tcPr>
            <w:tcW w:w="594" w:type="pct"/>
            <w:tcBorders>
              <w:tl2br w:val="nil"/>
              <w:tr2bl w:val="nil"/>
            </w:tcBorders>
            <w:vAlign w:val="center"/>
          </w:tcPr>
          <w:p w14:paraId="09164E6D">
            <w:pPr>
              <w:pStyle w:val="12"/>
              <w:rPr>
                <w:color w:val="000000"/>
              </w:rPr>
            </w:pPr>
            <w:r>
              <w:rPr>
                <w:color w:val="000000"/>
              </w:rPr>
              <w:t>达标</w:t>
            </w:r>
          </w:p>
        </w:tc>
      </w:tr>
      <w:tr w14:paraId="320572F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37" w:type="pct"/>
            <w:tcBorders>
              <w:tl2br w:val="nil"/>
              <w:tr2bl w:val="nil"/>
            </w:tcBorders>
            <w:vAlign w:val="center"/>
          </w:tcPr>
          <w:p w14:paraId="0C62707A">
            <w:pPr>
              <w:pStyle w:val="12"/>
              <w:rPr>
                <w:color w:val="000000"/>
              </w:rPr>
            </w:pPr>
            <w:r>
              <w:rPr>
                <w:color w:val="000000"/>
              </w:rPr>
              <w:t>NO</w:t>
            </w:r>
            <w:r>
              <w:rPr>
                <w:color w:val="000000"/>
                <w:vertAlign w:val="subscript"/>
              </w:rPr>
              <w:t>2</w:t>
            </w:r>
          </w:p>
        </w:tc>
        <w:tc>
          <w:tcPr>
            <w:tcW w:w="1020" w:type="pct"/>
            <w:vMerge w:val="continue"/>
            <w:tcBorders>
              <w:tl2br w:val="nil"/>
              <w:tr2bl w:val="nil"/>
            </w:tcBorders>
            <w:vAlign w:val="center"/>
          </w:tcPr>
          <w:p w14:paraId="2081669A">
            <w:pPr>
              <w:pStyle w:val="12"/>
              <w:rPr>
                <w:color w:val="000000"/>
              </w:rPr>
            </w:pPr>
          </w:p>
        </w:tc>
        <w:tc>
          <w:tcPr>
            <w:tcW w:w="663" w:type="pct"/>
            <w:tcBorders>
              <w:tl2br w:val="nil"/>
              <w:tr2bl w:val="nil"/>
            </w:tcBorders>
            <w:vAlign w:val="center"/>
          </w:tcPr>
          <w:p w14:paraId="3DFC359D">
            <w:pPr>
              <w:pStyle w:val="12"/>
              <w:rPr>
                <w:color w:val="000000"/>
              </w:rPr>
            </w:pPr>
            <w:r>
              <w:rPr>
                <w:color w:val="000000"/>
              </w:rPr>
              <w:t>29</w:t>
            </w:r>
          </w:p>
        </w:tc>
        <w:tc>
          <w:tcPr>
            <w:tcW w:w="760" w:type="pct"/>
            <w:tcBorders>
              <w:tl2br w:val="nil"/>
              <w:tr2bl w:val="nil"/>
            </w:tcBorders>
            <w:vAlign w:val="center"/>
          </w:tcPr>
          <w:p w14:paraId="22F8DB9B">
            <w:pPr>
              <w:pStyle w:val="12"/>
              <w:rPr>
                <w:color w:val="000000"/>
              </w:rPr>
            </w:pPr>
            <w:r>
              <w:rPr>
                <w:color w:val="000000"/>
              </w:rPr>
              <w:t>40</w:t>
            </w:r>
          </w:p>
        </w:tc>
        <w:tc>
          <w:tcPr>
            <w:tcW w:w="623" w:type="pct"/>
            <w:tcBorders>
              <w:tl2br w:val="nil"/>
              <w:tr2bl w:val="nil"/>
            </w:tcBorders>
            <w:vAlign w:val="center"/>
          </w:tcPr>
          <w:p w14:paraId="55478205">
            <w:pPr>
              <w:pStyle w:val="12"/>
              <w:rPr>
                <w:bCs/>
                <w:color w:val="000000"/>
              </w:rPr>
            </w:pPr>
            <w:r>
              <w:rPr>
                <w:bCs/>
                <w:color w:val="000000"/>
              </w:rPr>
              <w:t>72.5</w:t>
            </w:r>
          </w:p>
        </w:tc>
        <w:tc>
          <w:tcPr>
            <w:tcW w:w="699" w:type="pct"/>
            <w:tcBorders>
              <w:tl2br w:val="nil"/>
              <w:tr2bl w:val="nil"/>
            </w:tcBorders>
            <w:vAlign w:val="center"/>
          </w:tcPr>
          <w:p w14:paraId="5C723806">
            <w:pPr>
              <w:pStyle w:val="12"/>
              <w:rPr>
                <w:b/>
                <w:color w:val="000000"/>
              </w:rPr>
            </w:pPr>
            <w:r>
              <w:rPr>
                <w:color w:val="000000"/>
              </w:rPr>
              <w:t>0</w:t>
            </w:r>
          </w:p>
        </w:tc>
        <w:tc>
          <w:tcPr>
            <w:tcW w:w="594" w:type="pct"/>
            <w:tcBorders>
              <w:tl2br w:val="nil"/>
              <w:tr2bl w:val="nil"/>
            </w:tcBorders>
            <w:vAlign w:val="center"/>
          </w:tcPr>
          <w:p w14:paraId="06A1CA77">
            <w:pPr>
              <w:pStyle w:val="12"/>
              <w:rPr>
                <w:color w:val="000000"/>
              </w:rPr>
            </w:pPr>
            <w:r>
              <w:rPr>
                <w:color w:val="000000"/>
              </w:rPr>
              <w:t>达标</w:t>
            </w:r>
          </w:p>
        </w:tc>
      </w:tr>
      <w:tr w14:paraId="67CDC09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37" w:type="pct"/>
            <w:tcBorders>
              <w:tl2br w:val="nil"/>
              <w:tr2bl w:val="nil"/>
            </w:tcBorders>
            <w:vAlign w:val="center"/>
          </w:tcPr>
          <w:p w14:paraId="2CA9FB4E">
            <w:pPr>
              <w:pStyle w:val="12"/>
              <w:rPr>
                <w:color w:val="000000"/>
              </w:rPr>
            </w:pPr>
            <w:r>
              <w:rPr>
                <w:color w:val="000000"/>
              </w:rPr>
              <w:t>PM</w:t>
            </w:r>
            <w:r>
              <w:rPr>
                <w:color w:val="000000"/>
                <w:vertAlign w:val="subscript"/>
              </w:rPr>
              <w:t>2.5</w:t>
            </w:r>
          </w:p>
        </w:tc>
        <w:tc>
          <w:tcPr>
            <w:tcW w:w="1020" w:type="pct"/>
            <w:vMerge w:val="continue"/>
            <w:tcBorders>
              <w:tl2br w:val="nil"/>
              <w:tr2bl w:val="nil"/>
            </w:tcBorders>
            <w:vAlign w:val="center"/>
          </w:tcPr>
          <w:p w14:paraId="5F8B2CDE">
            <w:pPr>
              <w:pStyle w:val="12"/>
              <w:rPr>
                <w:color w:val="000000"/>
              </w:rPr>
            </w:pPr>
          </w:p>
        </w:tc>
        <w:tc>
          <w:tcPr>
            <w:tcW w:w="663" w:type="pct"/>
            <w:tcBorders>
              <w:tl2br w:val="nil"/>
              <w:tr2bl w:val="nil"/>
            </w:tcBorders>
            <w:vAlign w:val="center"/>
          </w:tcPr>
          <w:p w14:paraId="0ACD0360">
            <w:pPr>
              <w:pStyle w:val="12"/>
              <w:rPr>
                <w:color w:val="000000"/>
              </w:rPr>
            </w:pPr>
            <w:r>
              <w:rPr>
                <w:color w:val="000000"/>
              </w:rPr>
              <w:t>30</w:t>
            </w:r>
          </w:p>
        </w:tc>
        <w:tc>
          <w:tcPr>
            <w:tcW w:w="760" w:type="pct"/>
            <w:tcBorders>
              <w:tl2br w:val="nil"/>
              <w:tr2bl w:val="nil"/>
            </w:tcBorders>
            <w:vAlign w:val="center"/>
          </w:tcPr>
          <w:p w14:paraId="5916D47E">
            <w:pPr>
              <w:pStyle w:val="12"/>
              <w:rPr>
                <w:color w:val="000000"/>
              </w:rPr>
            </w:pPr>
            <w:r>
              <w:rPr>
                <w:color w:val="000000"/>
              </w:rPr>
              <w:t>35</w:t>
            </w:r>
          </w:p>
        </w:tc>
        <w:tc>
          <w:tcPr>
            <w:tcW w:w="623" w:type="pct"/>
            <w:tcBorders>
              <w:tl2br w:val="nil"/>
              <w:tr2bl w:val="nil"/>
            </w:tcBorders>
            <w:vAlign w:val="center"/>
          </w:tcPr>
          <w:p w14:paraId="4CF5A043">
            <w:pPr>
              <w:pStyle w:val="12"/>
              <w:rPr>
                <w:bCs/>
                <w:color w:val="000000"/>
              </w:rPr>
            </w:pPr>
            <w:r>
              <w:rPr>
                <w:bCs/>
                <w:color w:val="000000"/>
              </w:rPr>
              <w:t>85.7</w:t>
            </w:r>
          </w:p>
        </w:tc>
        <w:tc>
          <w:tcPr>
            <w:tcW w:w="699" w:type="pct"/>
            <w:tcBorders>
              <w:tl2br w:val="nil"/>
              <w:tr2bl w:val="nil"/>
            </w:tcBorders>
            <w:vAlign w:val="center"/>
          </w:tcPr>
          <w:p w14:paraId="7FF717B8">
            <w:pPr>
              <w:pStyle w:val="12"/>
              <w:rPr>
                <w:b/>
                <w:color w:val="000000"/>
              </w:rPr>
            </w:pPr>
            <w:r>
              <w:rPr>
                <w:color w:val="000000"/>
              </w:rPr>
              <w:t>0</w:t>
            </w:r>
          </w:p>
        </w:tc>
        <w:tc>
          <w:tcPr>
            <w:tcW w:w="594" w:type="pct"/>
            <w:tcBorders>
              <w:tl2br w:val="nil"/>
              <w:tr2bl w:val="nil"/>
            </w:tcBorders>
            <w:vAlign w:val="center"/>
          </w:tcPr>
          <w:p w14:paraId="04F620A8">
            <w:pPr>
              <w:pStyle w:val="12"/>
              <w:rPr>
                <w:color w:val="000000"/>
              </w:rPr>
            </w:pPr>
            <w:r>
              <w:rPr>
                <w:color w:val="000000"/>
              </w:rPr>
              <w:t>达标</w:t>
            </w:r>
          </w:p>
        </w:tc>
      </w:tr>
      <w:tr w14:paraId="49B2FB0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37" w:type="pct"/>
            <w:tcBorders>
              <w:tl2br w:val="nil"/>
              <w:tr2bl w:val="nil"/>
            </w:tcBorders>
            <w:vAlign w:val="center"/>
          </w:tcPr>
          <w:p w14:paraId="3F4275D6">
            <w:pPr>
              <w:pStyle w:val="12"/>
              <w:rPr>
                <w:color w:val="000000"/>
              </w:rPr>
            </w:pPr>
            <w:r>
              <w:rPr>
                <w:color w:val="000000"/>
              </w:rPr>
              <w:t>O</w:t>
            </w:r>
            <w:r>
              <w:rPr>
                <w:color w:val="000000"/>
                <w:vertAlign w:val="subscript"/>
              </w:rPr>
              <w:t>3</w:t>
            </w:r>
          </w:p>
        </w:tc>
        <w:tc>
          <w:tcPr>
            <w:tcW w:w="1020" w:type="pct"/>
            <w:tcBorders>
              <w:tl2br w:val="nil"/>
              <w:tr2bl w:val="nil"/>
            </w:tcBorders>
            <w:vAlign w:val="center"/>
          </w:tcPr>
          <w:p w14:paraId="205F5AA4">
            <w:pPr>
              <w:pStyle w:val="12"/>
              <w:rPr>
                <w:color w:val="000000"/>
              </w:rPr>
            </w:pPr>
            <w:r>
              <w:rPr>
                <w:color w:val="000000"/>
              </w:rPr>
              <w:t>8h平均质量浓度</w:t>
            </w:r>
          </w:p>
        </w:tc>
        <w:tc>
          <w:tcPr>
            <w:tcW w:w="663" w:type="pct"/>
            <w:tcBorders>
              <w:tl2br w:val="nil"/>
              <w:tr2bl w:val="nil"/>
            </w:tcBorders>
            <w:vAlign w:val="center"/>
          </w:tcPr>
          <w:p w14:paraId="3D73E403">
            <w:pPr>
              <w:pStyle w:val="12"/>
              <w:rPr>
                <w:color w:val="000000"/>
              </w:rPr>
            </w:pPr>
            <w:r>
              <w:rPr>
                <w:color w:val="000000"/>
              </w:rPr>
              <w:t>122</w:t>
            </w:r>
          </w:p>
        </w:tc>
        <w:tc>
          <w:tcPr>
            <w:tcW w:w="760" w:type="pct"/>
            <w:tcBorders>
              <w:tl2br w:val="nil"/>
              <w:tr2bl w:val="nil"/>
            </w:tcBorders>
            <w:vAlign w:val="center"/>
          </w:tcPr>
          <w:p w14:paraId="2563915B">
            <w:pPr>
              <w:pStyle w:val="12"/>
              <w:rPr>
                <w:color w:val="000000"/>
              </w:rPr>
            </w:pPr>
            <w:r>
              <w:rPr>
                <w:color w:val="000000"/>
              </w:rPr>
              <w:t>160</w:t>
            </w:r>
          </w:p>
        </w:tc>
        <w:tc>
          <w:tcPr>
            <w:tcW w:w="623" w:type="pct"/>
            <w:tcBorders>
              <w:tl2br w:val="nil"/>
              <w:tr2bl w:val="nil"/>
            </w:tcBorders>
            <w:vAlign w:val="center"/>
          </w:tcPr>
          <w:p w14:paraId="4F3DE041">
            <w:pPr>
              <w:pStyle w:val="12"/>
              <w:rPr>
                <w:color w:val="000000"/>
              </w:rPr>
            </w:pPr>
            <w:r>
              <w:rPr>
                <w:color w:val="000000"/>
              </w:rPr>
              <w:t>76.2</w:t>
            </w:r>
          </w:p>
        </w:tc>
        <w:tc>
          <w:tcPr>
            <w:tcW w:w="699" w:type="pct"/>
            <w:tcBorders>
              <w:tl2br w:val="nil"/>
              <w:tr2bl w:val="nil"/>
            </w:tcBorders>
            <w:vAlign w:val="center"/>
          </w:tcPr>
          <w:p w14:paraId="64A1D7A7">
            <w:pPr>
              <w:pStyle w:val="12"/>
              <w:rPr>
                <w:color w:val="000000"/>
              </w:rPr>
            </w:pPr>
            <w:r>
              <w:rPr>
                <w:color w:val="000000"/>
              </w:rPr>
              <w:t>0</w:t>
            </w:r>
          </w:p>
        </w:tc>
        <w:tc>
          <w:tcPr>
            <w:tcW w:w="594" w:type="pct"/>
            <w:tcBorders>
              <w:tl2br w:val="nil"/>
              <w:tr2bl w:val="nil"/>
            </w:tcBorders>
            <w:vAlign w:val="center"/>
          </w:tcPr>
          <w:p w14:paraId="43F94451">
            <w:pPr>
              <w:pStyle w:val="12"/>
              <w:rPr>
                <w:color w:val="000000"/>
              </w:rPr>
            </w:pPr>
            <w:r>
              <w:rPr>
                <w:color w:val="000000"/>
              </w:rPr>
              <w:t>达标</w:t>
            </w:r>
          </w:p>
        </w:tc>
      </w:tr>
      <w:tr w14:paraId="6D377D4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637" w:type="pct"/>
            <w:tcBorders>
              <w:tl2br w:val="nil"/>
              <w:tr2bl w:val="nil"/>
            </w:tcBorders>
            <w:vAlign w:val="center"/>
          </w:tcPr>
          <w:p w14:paraId="137ADA9A">
            <w:pPr>
              <w:pStyle w:val="12"/>
              <w:rPr>
                <w:color w:val="000000"/>
              </w:rPr>
            </w:pPr>
            <w:r>
              <w:rPr>
                <w:color w:val="000000"/>
              </w:rPr>
              <w:t>CO</w:t>
            </w:r>
          </w:p>
        </w:tc>
        <w:tc>
          <w:tcPr>
            <w:tcW w:w="1020" w:type="pct"/>
            <w:tcBorders>
              <w:tl2br w:val="nil"/>
              <w:tr2bl w:val="nil"/>
            </w:tcBorders>
            <w:vAlign w:val="center"/>
          </w:tcPr>
          <w:p w14:paraId="60151BF2">
            <w:pPr>
              <w:pStyle w:val="12"/>
              <w:rPr>
                <w:color w:val="000000"/>
              </w:rPr>
            </w:pPr>
            <w:r>
              <w:rPr>
                <w:color w:val="000000"/>
              </w:rPr>
              <w:t>24h平均质量浓度</w:t>
            </w:r>
          </w:p>
        </w:tc>
        <w:tc>
          <w:tcPr>
            <w:tcW w:w="663" w:type="pct"/>
            <w:tcBorders>
              <w:tl2br w:val="nil"/>
              <w:tr2bl w:val="nil"/>
            </w:tcBorders>
            <w:vAlign w:val="center"/>
          </w:tcPr>
          <w:p w14:paraId="4AB5390D">
            <w:pPr>
              <w:pStyle w:val="12"/>
              <w:rPr>
                <w:color w:val="000000"/>
              </w:rPr>
            </w:pPr>
            <w:r>
              <w:rPr>
                <w:color w:val="000000"/>
              </w:rPr>
              <w:t>1.1mg/m</w:t>
            </w:r>
            <w:r>
              <w:rPr>
                <w:color w:val="000000"/>
                <w:vertAlign w:val="superscript"/>
              </w:rPr>
              <w:t>3</w:t>
            </w:r>
          </w:p>
        </w:tc>
        <w:tc>
          <w:tcPr>
            <w:tcW w:w="760" w:type="pct"/>
            <w:tcBorders>
              <w:tl2br w:val="nil"/>
              <w:tr2bl w:val="nil"/>
            </w:tcBorders>
            <w:vAlign w:val="center"/>
          </w:tcPr>
          <w:p w14:paraId="636C9528">
            <w:pPr>
              <w:pStyle w:val="12"/>
              <w:rPr>
                <w:color w:val="000000"/>
              </w:rPr>
            </w:pPr>
            <w:r>
              <w:rPr>
                <w:color w:val="000000"/>
              </w:rPr>
              <w:t>4 mg/m</w:t>
            </w:r>
            <w:r>
              <w:rPr>
                <w:color w:val="000000"/>
                <w:vertAlign w:val="superscript"/>
              </w:rPr>
              <w:t>3</w:t>
            </w:r>
          </w:p>
        </w:tc>
        <w:tc>
          <w:tcPr>
            <w:tcW w:w="623" w:type="pct"/>
            <w:tcBorders>
              <w:tl2br w:val="nil"/>
              <w:tr2bl w:val="nil"/>
            </w:tcBorders>
            <w:vAlign w:val="center"/>
          </w:tcPr>
          <w:p w14:paraId="2A7B2466">
            <w:pPr>
              <w:pStyle w:val="12"/>
              <w:rPr>
                <w:color w:val="000000"/>
              </w:rPr>
            </w:pPr>
            <w:r>
              <w:rPr>
                <w:color w:val="000000"/>
              </w:rPr>
              <w:t>27.5</w:t>
            </w:r>
          </w:p>
        </w:tc>
        <w:tc>
          <w:tcPr>
            <w:tcW w:w="699" w:type="pct"/>
            <w:tcBorders>
              <w:tl2br w:val="nil"/>
              <w:tr2bl w:val="nil"/>
            </w:tcBorders>
            <w:vAlign w:val="center"/>
          </w:tcPr>
          <w:p w14:paraId="7D58060A">
            <w:pPr>
              <w:pStyle w:val="12"/>
              <w:rPr>
                <w:color w:val="000000"/>
              </w:rPr>
            </w:pPr>
            <w:r>
              <w:rPr>
                <w:color w:val="000000"/>
              </w:rPr>
              <w:t>0</w:t>
            </w:r>
          </w:p>
        </w:tc>
        <w:tc>
          <w:tcPr>
            <w:tcW w:w="594" w:type="pct"/>
            <w:tcBorders>
              <w:tl2br w:val="nil"/>
              <w:tr2bl w:val="nil"/>
            </w:tcBorders>
            <w:vAlign w:val="center"/>
          </w:tcPr>
          <w:p w14:paraId="35436B9F">
            <w:pPr>
              <w:pStyle w:val="12"/>
              <w:rPr>
                <w:color w:val="000000"/>
              </w:rPr>
            </w:pPr>
            <w:r>
              <w:rPr>
                <w:color w:val="000000"/>
              </w:rPr>
              <w:t>达标</w:t>
            </w:r>
          </w:p>
        </w:tc>
      </w:tr>
    </w:tbl>
    <w:p w14:paraId="2DABD5EB">
      <w:pPr>
        <w:tabs>
          <w:tab w:val="left" w:pos="993"/>
        </w:tabs>
        <w:ind w:firstLine="480"/>
        <w:rPr>
          <w:color w:val="000000"/>
        </w:rPr>
      </w:pPr>
      <w:r>
        <w:rPr>
          <w:color w:val="000000"/>
        </w:rPr>
        <w:t>由表可见，2020年涪陵区环境空气中各污染物年均值达标，因此，项目所在区域为达标区。</w:t>
      </w:r>
    </w:p>
    <w:p w14:paraId="2F9B3C77">
      <w:pPr>
        <w:pStyle w:val="771"/>
        <w:rPr>
          <w:color w:val="000000"/>
        </w:rPr>
      </w:pPr>
      <w:bookmarkStart w:id="437" w:name="_Toc449353899"/>
      <w:bookmarkStart w:id="438" w:name="_Toc15499571"/>
      <w:bookmarkStart w:id="439" w:name="_Toc450674584"/>
      <w:bookmarkStart w:id="440" w:name="_Toc461100449"/>
      <w:bookmarkStart w:id="441" w:name="_Toc364270535"/>
      <w:bookmarkStart w:id="442" w:name="_Toc21961448"/>
      <w:bookmarkStart w:id="443" w:name="_Toc458021320"/>
      <w:bookmarkStart w:id="444" w:name="_Toc15499331"/>
      <w:bookmarkStart w:id="445" w:name="_Toc458070889"/>
      <w:r>
        <w:rPr>
          <w:color w:val="000000"/>
        </w:rPr>
        <w:t>4.3.2 地表水环境质量现状评价</w:t>
      </w:r>
      <w:bookmarkEnd w:id="437"/>
      <w:bookmarkEnd w:id="438"/>
      <w:bookmarkEnd w:id="439"/>
      <w:bookmarkEnd w:id="440"/>
      <w:bookmarkEnd w:id="441"/>
      <w:bookmarkEnd w:id="442"/>
      <w:bookmarkEnd w:id="443"/>
      <w:bookmarkEnd w:id="444"/>
      <w:bookmarkEnd w:id="445"/>
    </w:p>
    <w:p w14:paraId="253EE873">
      <w:pPr>
        <w:tabs>
          <w:tab w:val="left" w:pos="993"/>
        </w:tabs>
        <w:ind w:firstLine="480"/>
        <w:rPr>
          <w:color w:val="000000"/>
        </w:rPr>
      </w:pPr>
      <w:r>
        <w:rPr>
          <w:color w:val="000000"/>
        </w:rPr>
        <w:t>本项目废水依托处理达标LNG工厂现有废水处理设施处理后排入园区潘家坝污水处理厂后排入乌江。根据重庆市生态环境局2021年6月3日发布的《重庆市生态环境状况公报（2020年）》，“乌江流域21个监测断面水质均达到或优于II类”，说明乌江水质在满足水域功能要求（重庆市境内乌江干流执行《地表水环境质量标准》（GB3838-2002）Ⅲ类水质标准）的前提下，水质趋于良好。同时，评价引用乌江的市控考核断面：白涛断面（后溪河汇入口上游500m）、麻柳嘴断面（白涛化工园区属乌江麻柳嘴管控单元）的2020年例行监测数据。选取监测项目：pH、、化学需氧量、五日生化需氧量、氨氮、石油类、总磷。</w:t>
      </w:r>
    </w:p>
    <w:p w14:paraId="12EEA8D1">
      <w:pPr>
        <w:tabs>
          <w:tab w:val="left" w:pos="993"/>
        </w:tabs>
        <w:ind w:firstLine="480"/>
        <w:rPr>
          <w:color w:val="000000"/>
        </w:rPr>
      </w:pPr>
      <w:r>
        <w:rPr>
          <w:color w:val="000000"/>
        </w:rPr>
        <w:t>（2）评价方法</w:t>
      </w:r>
    </w:p>
    <w:p w14:paraId="4C0A7366">
      <w:pPr>
        <w:tabs>
          <w:tab w:val="left" w:pos="993"/>
        </w:tabs>
        <w:ind w:firstLine="480"/>
        <w:rPr>
          <w:color w:val="000000"/>
        </w:rPr>
      </w:pPr>
      <w:r>
        <w:rPr>
          <w:color w:val="000000"/>
        </w:rPr>
        <w:t>地表水环境质量现状评价，采用单项标准指数法，计算公式如下：</w:t>
      </w:r>
    </w:p>
    <w:p w14:paraId="0CAB4830">
      <w:pPr>
        <w:tabs>
          <w:tab w:val="left" w:pos="993"/>
        </w:tabs>
        <w:jc w:val="center"/>
        <w:rPr>
          <w:color w:val="000000"/>
        </w:rPr>
      </w:pPr>
      <w:r>
        <w:rPr>
          <w:color w:val="000000"/>
        </w:rPr>
        <w:t>Si =Ci/Csi</w:t>
      </w:r>
    </w:p>
    <w:p w14:paraId="270AED69">
      <w:pPr>
        <w:tabs>
          <w:tab w:val="left" w:pos="993"/>
        </w:tabs>
        <w:ind w:firstLine="480"/>
        <w:rPr>
          <w:color w:val="000000"/>
        </w:rPr>
      </w:pPr>
      <w:r>
        <w:rPr>
          <w:color w:val="000000"/>
        </w:rPr>
        <w:t>式中：Si—水质评价因子i的标准指数；</w:t>
      </w:r>
    </w:p>
    <w:p w14:paraId="29D3B95C">
      <w:pPr>
        <w:tabs>
          <w:tab w:val="left" w:pos="993"/>
        </w:tabs>
        <w:ind w:firstLine="480"/>
        <w:rPr>
          <w:color w:val="000000"/>
        </w:rPr>
      </w:pPr>
      <w:r>
        <w:rPr>
          <w:color w:val="000000"/>
        </w:rPr>
        <w:t xml:space="preserve">      Ci—水质评价因子i的实测浓度值，mg/L；</w:t>
      </w:r>
    </w:p>
    <w:p w14:paraId="7341C8BF">
      <w:pPr>
        <w:tabs>
          <w:tab w:val="left" w:pos="993"/>
        </w:tabs>
        <w:ind w:firstLine="480"/>
        <w:rPr>
          <w:color w:val="000000"/>
        </w:rPr>
      </w:pPr>
      <w:r>
        <w:rPr>
          <w:color w:val="000000"/>
        </w:rPr>
        <w:t xml:space="preserve">      Csi—水质评价因子i的质量标准限值，mg/L。</w:t>
      </w:r>
    </w:p>
    <w:p w14:paraId="69557E93">
      <w:pPr>
        <w:tabs>
          <w:tab w:val="left" w:pos="993"/>
        </w:tabs>
        <w:ind w:firstLine="480"/>
        <w:rPr>
          <w:color w:val="000000"/>
        </w:rPr>
      </w:pPr>
      <w:r>
        <w:rPr>
          <w:color w:val="000000"/>
        </w:rPr>
        <w:t>pH的标准指数为：</w:t>
      </w:r>
    </w:p>
    <w:p w14:paraId="7E9BFB5C">
      <w:pPr>
        <w:tabs>
          <w:tab w:val="left" w:pos="993"/>
        </w:tabs>
        <w:ind w:firstLine="480"/>
        <w:jc w:val="center"/>
        <w:rPr>
          <w:color w:val="000000"/>
        </w:rPr>
      </w:pPr>
      <w:r>
        <w:rPr>
          <w:color w:val="000000"/>
        </w:rPr>
        <w:object>
          <v:shape id="_x0000_i1025" o:spt="75" type="#_x0000_t75" style="height:41.25pt;width:108.75pt;" o:ole="t" filled="f" o:preferrelative="t" stroked="f" coordsize="21600,21600">
            <v:path/>
            <v:fill on="f" focussize="0,0"/>
            <v:stroke on="f" joinstyle="miter"/>
            <v:imagedata r:id="rId27" o:title=""/>
            <o:lock v:ext="edit" aspectratio="t"/>
            <w10:wrap type="none"/>
            <w10:anchorlock/>
          </v:shape>
          <o:OLEObject Type="Embed" ProgID="Equation.3" ShapeID="_x0000_i1025" DrawAspect="Content" ObjectID="_1468075726" r:id="rId26">
            <o:LockedField>false</o:LockedField>
          </o:OLEObject>
        </w:object>
      </w:r>
      <w:r>
        <w:rPr>
          <w:color w:val="000000"/>
        </w:rPr>
        <w:t xml:space="preserve">        </w:t>
      </w:r>
      <w:r>
        <w:rPr>
          <w:color w:val="000000"/>
          <w:position w:val="-14"/>
        </w:rPr>
        <w:object>
          <v:shape id="_x0000_i1026" o:spt="75" type="#_x0000_t75" style="height:21.75pt;width:66.75pt;" o:ole="t" filled="f" o:preferrelative="t" stroked="f" coordsize="21600,21600">
            <v:path/>
            <v:fill on="f" focussize="0,0"/>
            <v:stroke on="f" joinstyle="miter"/>
            <v:imagedata r:id="rId29" o:title=""/>
            <o:lock v:ext="edit" aspectratio="t"/>
            <w10:wrap type="none"/>
            <w10:anchorlock/>
          </v:shape>
          <o:OLEObject Type="Embed" ProgID="Equation.3" ShapeID="_x0000_i1026" DrawAspect="Content" ObjectID="_1468075727" r:id="rId28">
            <o:LockedField>false</o:LockedField>
          </o:OLEObject>
        </w:object>
      </w:r>
    </w:p>
    <w:p w14:paraId="3267E86C">
      <w:pPr>
        <w:tabs>
          <w:tab w:val="left" w:pos="993"/>
        </w:tabs>
        <w:ind w:firstLine="480"/>
        <w:jc w:val="center"/>
        <w:rPr>
          <w:color w:val="000000"/>
        </w:rPr>
      </w:pPr>
      <w:r>
        <w:rPr>
          <w:color w:val="000000"/>
        </w:rPr>
        <w:object>
          <v:shape id="_x0000_i1027" o:spt="75" type="#_x0000_t75" style="height:37.5pt;width:108.75pt;" o:ole="t" filled="f" o:preferrelative="t" stroked="f" coordsize="21600,21600">
            <v:path/>
            <v:fill on="f" focussize="0,0"/>
            <v:stroke on="f" joinstyle="miter"/>
            <v:imagedata r:id="rId31" o:title=""/>
            <o:lock v:ext="edit" aspectratio="t"/>
            <w10:wrap type="none"/>
            <w10:anchorlock/>
          </v:shape>
          <o:OLEObject Type="Embed" ProgID="Equation.3" ShapeID="_x0000_i1027" DrawAspect="Content" ObjectID="_1468075728" r:id="rId30">
            <o:LockedField>false</o:LockedField>
          </o:OLEObject>
        </w:object>
      </w:r>
      <w:r>
        <w:rPr>
          <w:color w:val="000000"/>
        </w:rPr>
        <w:t xml:space="preserve">        </w:t>
      </w:r>
      <w:r>
        <w:rPr>
          <w:color w:val="000000"/>
          <w:position w:val="-14"/>
        </w:rPr>
        <w:object>
          <v:shape id="_x0000_i1028" o:spt="75" type="#_x0000_t75" style="height:21.75pt;width:66pt;" o:ole="t" filled="f" o:preferrelative="t" stroked="f" coordsize="21600,21600">
            <v:path/>
            <v:fill on="f" focussize="0,0"/>
            <v:stroke on="f" joinstyle="miter"/>
            <v:imagedata r:id="rId33" o:title=""/>
            <o:lock v:ext="edit" aspectratio="t"/>
            <w10:wrap type="none"/>
            <w10:anchorlock/>
          </v:shape>
          <o:OLEObject Type="Embed" ProgID="Equation.3" ShapeID="_x0000_i1028" DrawAspect="Content" ObjectID="_1468075729" r:id="rId32">
            <o:LockedField>false</o:LockedField>
          </o:OLEObject>
        </w:object>
      </w:r>
    </w:p>
    <w:p w14:paraId="36CEFA46">
      <w:pPr>
        <w:tabs>
          <w:tab w:val="left" w:pos="993"/>
        </w:tabs>
        <w:ind w:firstLine="480"/>
        <w:rPr>
          <w:color w:val="000000"/>
        </w:rPr>
      </w:pPr>
      <w:r>
        <w:rPr>
          <w:color w:val="000000"/>
        </w:rPr>
        <w:t>式中：S</w:t>
      </w:r>
      <w:r>
        <w:rPr>
          <w:color w:val="000000"/>
          <w:vertAlign w:val="subscript"/>
        </w:rPr>
        <w:t>pH，j</w:t>
      </w:r>
      <w:r>
        <w:rPr>
          <w:color w:val="000000"/>
        </w:rPr>
        <w:t>— pH的标准指数；</w:t>
      </w:r>
    </w:p>
    <w:p w14:paraId="10D1599D">
      <w:pPr>
        <w:tabs>
          <w:tab w:val="left" w:pos="993"/>
        </w:tabs>
        <w:ind w:firstLine="480"/>
        <w:rPr>
          <w:color w:val="000000"/>
        </w:rPr>
      </w:pPr>
      <w:r>
        <w:rPr>
          <w:color w:val="000000"/>
        </w:rPr>
        <w:t xml:space="preserve">       pH</w:t>
      </w:r>
      <w:r>
        <w:rPr>
          <w:color w:val="000000"/>
          <w:vertAlign w:val="subscript"/>
        </w:rPr>
        <w:t>j</w:t>
      </w:r>
      <w:r>
        <w:rPr>
          <w:color w:val="000000"/>
        </w:rPr>
        <w:t xml:space="preserve"> ――pH的实测值；</w:t>
      </w:r>
    </w:p>
    <w:p w14:paraId="5EA28AA1">
      <w:pPr>
        <w:tabs>
          <w:tab w:val="left" w:pos="993"/>
        </w:tabs>
        <w:ind w:firstLine="480"/>
        <w:rPr>
          <w:color w:val="000000"/>
        </w:rPr>
      </w:pPr>
      <w:r>
        <w:rPr>
          <w:color w:val="000000"/>
        </w:rPr>
        <w:t xml:space="preserve">       pH</w:t>
      </w:r>
      <w:r>
        <w:rPr>
          <w:color w:val="000000"/>
          <w:vertAlign w:val="subscript"/>
        </w:rPr>
        <w:t>su</w:t>
      </w:r>
      <w:r>
        <w:rPr>
          <w:color w:val="000000"/>
        </w:rPr>
        <w:t>――pH的质量标准上限值；</w:t>
      </w:r>
    </w:p>
    <w:p w14:paraId="4C8742CF">
      <w:pPr>
        <w:tabs>
          <w:tab w:val="left" w:pos="1276"/>
        </w:tabs>
        <w:ind w:firstLine="1274" w:firstLineChars="531"/>
        <w:rPr>
          <w:color w:val="000000"/>
        </w:rPr>
      </w:pPr>
      <w:r>
        <w:rPr>
          <w:color w:val="000000"/>
        </w:rPr>
        <w:t>pH</w:t>
      </w:r>
      <w:r>
        <w:rPr>
          <w:color w:val="000000"/>
          <w:vertAlign w:val="subscript"/>
        </w:rPr>
        <w:t>sd</w:t>
      </w:r>
      <w:r>
        <w:rPr>
          <w:color w:val="000000"/>
        </w:rPr>
        <w:t>――pH的质量标准下限值</w:t>
      </w:r>
    </w:p>
    <w:p w14:paraId="4183CE42">
      <w:pPr>
        <w:tabs>
          <w:tab w:val="left" w:pos="993"/>
        </w:tabs>
        <w:ind w:firstLine="480"/>
        <w:rPr>
          <w:color w:val="000000"/>
        </w:rPr>
      </w:pPr>
      <w:r>
        <w:rPr>
          <w:color w:val="000000"/>
        </w:rPr>
        <w:t>水质参数的标准指数大于1，表明该水质因子超标。</w:t>
      </w:r>
    </w:p>
    <w:p w14:paraId="09ABECCA">
      <w:pPr>
        <w:tabs>
          <w:tab w:val="left" w:pos="993"/>
        </w:tabs>
        <w:ind w:firstLine="480"/>
        <w:rPr>
          <w:color w:val="000000"/>
        </w:rPr>
      </w:pPr>
      <w:r>
        <w:rPr>
          <w:color w:val="000000"/>
        </w:rPr>
        <w:t>（3）监测结果及评价</w:t>
      </w:r>
    </w:p>
    <w:p w14:paraId="626C74B5">
      <w:pPr>
        <w:tabs>
          <w:tab w:val="left" w:pos="993"/>
        </w:tabs>
        <w:ind w:firstLine="480"/>
        <w:rPr>
          <w:color w:val="000000"/>
        </w:rPr>
      </w:pPr>
      <w:r>
        <w:rPr>
          <w:snapToGrid w:val="0"/>
          <w:color w:val="000000"/>
        </w:rPr>
        <w:t>现状监测值及标准指数统计结果</w:t>
      </w:r>
      <w:r>
        <w:rPr>
          <w:color w:val="000000"/>
        </w:rPr>
        <w:t>详见表4.3.2-1。</w:t>
      </w:r>
    </w:p>
    <w:p w14:paraId="7844C102">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4</w:t>
      </w:r>
      <w:r>
        <w:rPr>
          <w:rFonts w:ascii="Times New Roman" w:hAnsi="Times New Roman"/>
          <w:color w:val="000000"/>
        </w:rPr>
        <w:t>.3.</w:t>
      </w:r>
      <w:r>
        <w:rPr>
          <w:rFonts w:ascii="Times New Roman" w:hAnsi="Times New Roman"/>
          <w:color w:val="000000"/>
          <w:lang w:val="en-US"/>
        </w:rPr>
        <w:t>2</w:t>
      </w:r>
      <w:r>
        <w:rPr>
          <w:rFonts w:ascii="Times New Roman" w:hAnsi="Times New Roman"/>
          <w:color w:val="000000"/>
        </w:rPr>
        <w:t>-1  区域</w:t>
      </w:r>
      <w:r>
        <w:rPr>
          <w:rFonts w:ascii="Times New Roman" w:hAnsi="Times New Roman"/>
          <w:color w:val="000000"/>
          <w:lang w:val="en-US"/>
        </w:rPr>
        <w:t>地表水</w:t>
      </w:r>
      <w:r>
        <w:rPr>
          <w:rFonts w:ascii="Times New Roman" w:hAnsi="Times New Roman"/>
          <w:color w:val="000000"/>
        </w:rPr>
        <w:t>质量</w:t>
      </w:r>
      <w:r>
        <w:rPr>
          <w:rFonts w:ascii="Times New Roman" w:hAnsi="Times New Roman"/>
          <w:color w:val="000000"/>
          <w:lang w:val="en-US"/>
        </w:rPr>
        <w:t>达标情况</w:t>
      </w:r>
      <w:r>
        <w:rPr>
          <w:rFonts w:ascii="Times New Roman" w:hAnsi="Times New Roman"/>
          <w:color w:val="000000"/>
        </w:rPr>
        <w:t>评价表</w:t>
      </w:r>
    </w:p>
    <w:tbl>
      <w:tblPr>
        <w:tblStyle w:val="73"/>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57" w:type="dxa"/>
          <w:bottom w:w="0" w:type="dxa"/>
          <w:right w:w="57" w:type="dxa"/>
        </w:tblCellMar>
      </w:tblPr>
      <w:tblGrid>
        <w:gridCol w:w="457"/>
        <w:gridCol w:w="753"/>
        <w:gridCol w:w="1056"/>
        <w:gridCol w:w="889"/>
        <w:gridCol w:w="1120"/>
        <w:gridCol w:w="1057"/>
        <w:gridCol w:w="1124"/>
        <w:gridCol w:w="1174"/>
        <w:gridCol w:w="1324"/>
      </w:tblGrid>
      <w:tr w14:paraId="31323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69" w:hRule="atLeast"/>
        </w:trPr>
        <w:tc>
          <w:tcPr>
            <w:tcW w:w="1264" w:type="pct"/>
            <w:gridSpan w:val="3"/>
            <w:vAlign w:val="center"/>
          </w:tcPr>
          <w:p w14:paraId="4FE526EC">
            <w:pPr>
              <w:pStyle w:val="407"/>
              <w:adjustRightInd w:val="0"/>
              <w:snapToGrid w:val="0"/>
              <w:rPr>
                <w:rFonts w:ascii="Times New Roman" w:hAnsi="Times New Roman"/>
                <w:color w:val="000000"/>
                <w:szCs w:val="21"/>
              </w:rPr>
            </w:pPr>
            <w:r>
              <w:rPr>
                <w:rFonts w:ascii="Times New Roman" w:hAnsi="Times New Roman"/>
                <w:color w:val="000000"/>
                <w:szCs w:val="21"/>
              </w:rPr>
              <w:pict>
                <v:shape id="直接连接符 1" o:spid="_x0000_s1034" o:spt="32" type="#_x0000_t32" style="position:absolute;left:0pt;margin-left:-1.15pt;margin-top:0.6pt;height:40.3pt;width:41.35pt;z-index:251663360;mso-width-relative:page;mso-height-relative:page;" filled="f" coordsize="21600,21600">
                  <v:path arrowok="t"/>
                  <v:fill on="f" focussize="0,0"/>
                  <v:stroke/>
                  <v:imagedata o:title=""/>
                  <o:lock v:ext="edit"/>
                </v:shape>
              </w:pict>
            </w:r>
            <w:r>
              <w:rPr>
                <w:rFonts w:ascii="Times New Roman" w:hAnsi="Times New Roman"/>
                <w:color w:val="000000"/>
                <w:szCs w:val="21"/>
              </w:rPr>
              <w:pict>
                <v:shape id="直接连接符 2" o:spid="_x0000_s1035" o:spt="32" type="#_x0000_t32" style="position:absolute;left:0pt;margin-left:-3pt;margin-top:-0.1pt;height:38.35pt;width:114.3pt;z-index:251662336;mso-width-relative:page;mso-height-relative:page;" filled="f" coordsize="21600,21600">
                  <v:path arrowok="t"/>
                  <v:fill on="f" focussize="0,0"/>
                  <v:stroke/>
                  <v:imagedata o:title=""/>
                  <o:lock v:ext="edit"/>
                </v:shape>
              </w:pict>
            </w:r>
            <w:r>
              <w:rPr>
                <w:rFonts w:ascii="Times New Roman" w:hAnsi="Times New Roman"/>
                <w:color w:val="000000"/>
                <w:szCs w:val="21"/>
              </w:rPr>
              <w:t xml:space="preserve">      监测项目</w:t>
            </w:r>
          </w:p>
          <w:p w14:paraId="4DB04C7F">
            <w:pPr>
              <w:pStyle w:val="407"/>
              <w:adjustRightInd w:val="0"/>
              <w:snapToGrid w:val="0"/>
              <w:jc w:val="left"/>
              <w:rPr>
                <w:rFonts w:ascii="Times New Roman" w:hAnsi="Times New Roman"/>
                <w:color w:val="000000"/>
                <w:szCs w:val="21"/>
              </w:rPr>
            </w:pPr>
          </w:p>
          <w:p w14:paraId="2E117554">
            <w:pPr>
              <w:pStyle w:val="407"/>
              <w:adjustRightInd w:val="0"/>
              <w:snapToGrid w:val="0"/>
              <w:jc w:val="left"/>
              <w:rPr>
                <w:rFonts w:ascii="Times New Roman" w:hAnsi="Times New Roman"/>
                <w:color w:val="000000"/>
                <w:szCs w:val="21"/>
              </w:rPr>
            </w:pPr>
            <w:r>
              <w:rPr>
                <w:rFonts w:ascii="Times New Roman" w:hAnsi="Times New Roman"/>
                <w:color w:val="000000"/>
                <w:szCs w:val="21"/>
              </w:rPr>
              <w:t xml:space="preserve">断面    指标 </w:t>
            </w:r>
          </w:p>
        </w:tc>
        <w:tc>
          <w:tcPr>
            <w:tcW w:w="496" w:type="pct"/>
            <w:vAlign w:val="center"/>
          </w:tcPr>
          <w:p w14:paraId="5D887F10">
            <w:pPr>
              <w:pStyle w:val="407"/>
              <w:adjustRightInd w:val="0"/>
              <w:snapToGrid w:val="0"/>
              <w:rPr>
                <w:rFonts w:ascii="Times New Roman" w:hAnsi="Times New Roman"/>
                <w:color w:val="000000"/>
                <w:szCs w:val="21"/>
              </w:rPr>
            </w:pPr>
            <w:r>
              <w:rPr>
                <w:rFonts w:ascii="Times New Roman" w:hAnsi="Times New Roman"/>
                <w:color w:val="000000"/>
                <w:szCs w:val="21"/>
              </w:rPr>
              <w:t>pH</w:t>
            </w:r>
          </w:p>
        </w:tc>
        <w:tc>
          <w:tcPr>
            <w:tcW w:w="625" w:type="pct"/>
            <w:vAlign w:val="center"/>
          </w:tcPr>
          <w:p w14:paraId="02975EDB">
            <w:pPr>
              <w:pStyle w:val="407"/>
              <w:adjustRightInd w:val="0"/>
              <w:snapToGrid w:val="0"/>
              <w:rPr>
                <w:rFonts w:ascii="Times New Roman" w:hAnsi="Times New Roman"/>
                <w:color w:val="000000"/>
                <w:szCs w:val="21"/>
              </w:rPr>
            </w:pPr>
            <w:r>
              <w:rPr>
                <w:rFonts w:ascii="Times New Roman" w:hAnsi="Times New Roman"/>
                <w:color w:val="000000"/>
                <w:szCs w:val="21"/>
              </w:rPr>
              <w:t>氨氮</w:t>
            </w:r>
          </w:p>
        </w:tc>
        <w:tc>
          <w:tcPr>
            <w:tcW w:w="590" w:type="pct"/>
            <w:vAlign w:val="center"/>
          </w:tcPr>
          <w:p w14:paraId="69CD912C">
            <w:pPr>
              <w:pStyle w:val="407"/>
              <w:adjustRightInd w:val="0"/>
              <w:snapToGrid w:val="0"/>
              <w:rPr>
                <w:rFonts w:ascii="Times New Roman" w:hAnsi="Times New Roman"/>
                <w:color w:val="000000"/>
                <w:szCs w:val="21"/>
              </w:rPr>
            </w:pPr>
            <w:r>
              <w:rPr>
                <w:rFonts w:ascii="Times New Roman" w:hAnsi="Times New Roman"/>
                <w:color w:val="000000"/>
                <w:szCs w:val="21"/>
              </w:rPr>
              <w:t>COD</w:t>
            </w:r>
          </w:p>
        </w:tc>
        <w:tc>
          <w:tcPr>
            <w:tcW w:w="627" w:type="pct"/>
            <w:vAlign w:val="center"/>
          </w:tcPr>
          <w:p w14:paraId="37BE3CE0">
            <w:pPr>
              <w:pStyle w:val="407"/>
              <w:adjustRightInd w:val="0"/>
              <w:snapToGrid w:val="0"/>
              <w:rPr>
                <w:rFonts w:ascii="Times New Roman" w:hAnsi="Times New Roman"/>
                <w:color w:val="000000"/>
                <w:szCs w:val="21"/>
              </w:rPr>
            </w:pPr>
            <w:r>
              <w:rPr>
                <w:rFonts w:ascii="Times New Roman" w:hAnsi="Times New Roman"/>
                <w:color w:val="000000"/>
                <w:szCs w:val="21"/>
              </w:rPr>
              <w:t>BOD</w:t>
            </w:r>
            <w:r>
              <w:rPr>
                <w:rFonts w:ascii="Times New Roman" w:hAnsi="Times New Roman"/>
                <w:color w:val="000000"/>
                <w:szCs w:val="21"/>
                <w:vertAlign w:val="subscript"/>
              </w:rPr>
              <w:t>5</w:t>
            </w:r>
          </w:p>
        </w:tc>
        <w:tc>
          <w:tcPr>
            <w:tcW w:w="655" w:type="pct"/>
            <w:vAlign w:val="center"/>
          </w:tcPr>
          <w:p w14:paraId="2C52E629">
            <w:pPr>
              <w:pStyle w:val="407"/>
              <w:adjustRightInd w:val="0"/>
              <w:snapToGrid w:val="0"/>
              <w:rPr>
                <w:rFonts w:ascii="Times New Roman" w:hAnsi="Times New Roman"/>
                <w:color w:val="000000"/>
                <w:szCs w:val="21"/>
              </w:rPr>
            </w:pPr>
            <w:r>
              <w:rPr>
                <w:rFonts w:ascii="Times New Roman" w:hAnsi="Times New Roman"/>
                <w:color w:val="000000"/>
                <w:szCs w:val="21"/>
              </w:rPr>
              <w:t>总磷</w:t>
            </w:r>
          </w:p>
        </w:tc>
        <w:tc>
          <w:tcPr>
            <w:tcW w:w="739" w:type="pct"/>
            <w:vAlign w:val="center"/>
          </w:tcPr>
          <w:p w14:paraId="5BD20F76">
            <w:pPr>
              <w:pStyle w:val="407"/>
              <w:adjustRightInd w:val="0"/>
              <w:snapToGrid w:val="0"/>
              <w:rPr>
                <w:rFonts w:ascii="Times New Roman" w:hAnsi="Times New Roman"/>
                <w:color w:val="000000"/>
                <w:szCs w:val="21"/>
              </w:rPr>
            </w:pPr>
            <w:r>
              <w:rPr>
                <w:rFonts w:ascii="Times New Roman" w:hAnsi="Times New Roman"/>
                <w:color w:val="000000"/>
                <w:szCs w:val="21"/>
              </w:rPr>
              <w:t>石油类</w:t>
            </w:r>
          </w:p>
        </w:tc>
      </w:tr>
      <w:tr w14:paraId="600FF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69" w:hRule="atLeast"/>
        </w:trPr>
        <w:tc>
          <w:tcPr>
            <w:tcW w:w="255" w:type="pct"/>
            <w:vMerge w:val="restart"/>
            <w:tcBorders>
              <w:top w:val="single" w:color="auto" w:sz="4" w:space="0"/>
            </w:tcBorders>
            <w:vAlign w:val="center"/>
          </w:tcPr>
          <w:p w14:paraId="660EDCFB">
            <w:pPr>
              <w:pStyle w:val="407"/>
              <w:adjustRightInd w:val="0"/>
              <w:snapToGrid w:val="0"/>
              <w:rPr>
                <w:rFonts w:ascii="Times New Roman" w:hAnsi="Times New Roman"/>
                <w:color w:val="000000"/>
                <w:szCs w:val="21"/>
              </w:rPr>
            </w:pPr>
            <w:r>
              <w:rPr>
                <w:rFonts w:ascii="Times New Roman" w:hAnsi="Times New Roman"/>
                <w:color w:val="000000"/>
                <w:szCs w:val="21"/>
              </w:rPr>
              <w:t>乌江</w:t>
            </w:r>
          </w:p>
        </w:tc>
        <w:tc>
          <w:tcPr>
            <w:tcW w:w="420" w:type="pct"/>
            <w:vMerge w:val="restart"/>
            <w:vAlign w:val="center"/>
          </w:tcPr>
          <w:p w14:paraId="246ED940">
            <w:pPr>
              <w:pStyle w:val="407"/>
              <w:adjustRightInd w:val="0"/>
              <w:snapToGrid w:val="0"/>
              <w:rPr>
                <w:rFonts w:ascii="Times New Roman" w:hAnsi="Times New Roman"/>
                <w:color w:val="000000"/>
                <w:szCs w:val="21"/>
              </w:rPr>
            </w:pPr>
            <w:r>
              <w:rPr>
                <w:rFonts w:ascii="Times New Roman" w:hAnsi="Times New Roman"/>
                <w:color w:val="000000"/>
                <w:szCs w:val="21"/>
              </w:rPr>
              <w:t>2020年Ⅰ断面</w:t>
            </w:r>
          </w:p>
          <w:p w14:paraId="39432691">
            <w:pPr>
              <w:pStyle w:val="407"/>
              <w:adjustRightInd w:val="0"/>
              <w:snapToGrid w:val="0"/>
              <w:rPr>
                <w:rFonts w:ascii="Times New Roman" w:hAnsi="Times New Roman"/>
                <w:color w:val="000000"/>
                <w:szCs w:val="21"/>
              </w:rPr>
            </w:pPr>
            <w:r>
              <w:rPr>
                <w:rFonts w:ascii="Times New Roman" w:hAnsi="Times New Roman"/>
                <w:color w:val="000000"/>
                <w:szCs w:val="21"/>
              </w:rPr>
              <w:t>白涛断面</w:t>
            </w:r>
          </w:p>
        </w:tc>
        <w:tc>
          <w:tcPr>
            <w:tcW w:w="588" w:type="pct"/>
            <w:vAlign w:val="center"/>
          </w:tcPr>
          <w:p w14:paraId="1986DAD8">
            <w:pPr>
              <w:pStyle w:val="407"/>
              <w:adjustRightInd w:val="0"/>
              <w:snapToGrid w:val="0"/>
              <w:rPr>
                <w:rFonts w:ascii="Times New Roman" w:hAnsi="Times New Roman"/>
                <w:color w:val="000000"/>
                <w:szCs w:val="21"/>
              </w:rPr>
            </w:pPr>
            <w:r>
              <w:rPr>
                <w:rFonts w:ascii="Times New Roman" w:hAnsi="Times New Roman"/>
                <w:color w:val="000000"/>
                <w:szCs w:val="21"/>
              </w:rPr>
              <w:t>浓度平均值</w:t>
            </w:r>
          </w:p>
        </w:tc>
        <w:tc>
          <w:tcPr>
            <w:tcW w:w="496" w:type="pct"/>
            <w:vAlign w:val="center"/>
          </w:tcPr>
          <w:p w14:paraId="371C120B">
            <w:pPr>
              <w:pStyle w:val="407"/>
              <w:adjustRightInd w:val="0"/>
              <w:snapToGrid w:val="0"/>
              <w:rPr>
                <w:rFonts w:ascii="Times New Roman" w:hAnsi="Times New Roman"/>
                <w:color w:val="000000"/>
                <w:szCs w:val="21"/>
              </w:rPr>
            </w:pPr>
            <w:r>
              <w:rPr>
                <w:rFonts w:ascii="Times New Roman" w:hAnsi="Times New Roman"/>
                <w:color w:val="000000"/>
                <w:szCs w:val="21"/>
              </w:rPr>
              <w:t xml:space="preserve">7.92 </w:t>
            </w:r>
          </w:p>
        </w:tc>
        <w:tc>
          <w:tcPr>
            <w:tcW w:w="625" w:type="pct"/>
            <w:vAlign w:val="center"/>
          </w:tcPr>
          <w:p w14:paraId="3930A826">
            <w:pPr>
              <w:pStyle w:val="407"/>
              <w:adjustRightInd w:val="0"/>
              <w:snapToGrid w:val="0"/>
              <w:rPr>
                <w:rFonts w:ascii="Times New Roman" w:hAnsi="Times New Roman"/>
                <w:color w:val="000000"/>
                <w:szCs w:val="21"/>
              </w:rPr>
            </w:pPr>
            <w:r>
              <w:rPr>
                <w:rFonts w:ascii="Times New Roman" w:hAnsi="Times New Roman"/>
                <w:color w:val="000000"/>
                <w:szCs w:val="21"/>
              </w:rPr>
              <w:t xml:space="preserve">0.12 </w:t>
            </w:r>
          </w:p>
        </w:tc>
        <w:tc>
          <w:tcPr>
            <w:tcW w:w="590" w:type="pct"/>
            <w:vAlign w:val="center"/>
          </w:tcPr>
          <w:p w14:paraId="07AAA994">
            <w:pPr>
              <w:pStyle w:val="407"/>
              <w:adjustRightInd w:val="0"/>
              <w:snapToGrid w:val="0"/>
              <w:rPr>
                <w:rFonts w:ascii="Times New Roman" w:hAnsi="Times New Roman"/>
                <w:color w:val="000000"/>
                <w:szCs w:val="21"/>
              </w:rPr>
            </w:pPr>
            <w:r>
              <w:rPr>
                <w:rFonts w:ascii="Times New Roman" w:hAnsi="Times New Roman"/>
                <w:color w:val="000000"/>
                <w:szCs w:val="21"/>
              </w:rPr>
              <w:t xml:space="preserve">7.67 </w:t>
            </w:r>
          </w:p>
        </w:tc>
        <w:tc>
          <w:tcPr>
            <w:tcW w:w="627" w:type="pct"/>
            <w:vAlign w:val="center"/>
          </w:tcPr>
          <w:p w14:paraId="056FE919">
            <w:pPr>
              <w:pStyle w:val="407"/>
              <w:adjustRightInd w:val="0"/>
              <w:snapToGrid w:val="0"/>
              <w:rPr>
                <w:rFonts w:ascii="Times New Roman" w:hAnsi="Times New Roman"/>
                <w:color w:val="000000"/>
                <w:szCs w:val="21"/>
              </w:rPr>
            </w:pPr>
            <w:r>
              <w:rPr>
                <w:rFonts w:ascii="Times New Roman" w:hAnsi="Times New Roman"/>
                <w:color w:val="000000"/>
                <w:szCs w:val="21"/>
              </w:rPr>
              <w:t xml:space="preserve">0.86 </w:t>
            </w:r>
          </w:p>
        </w:tc>
        <w:tc>
          <w:tcPr>
            <w:tcW w:w="655" w:type="pct"/>
            <w:vAlign w:val="center"/>
          </w:tcPr>
          <w:p w14:paraId="03B7FE45">
            <w:pPr>
              <w:pStyle w:val="407"/>
              <w:adjustRightInd w:val="0"/>
              <w:snapToGrid w:val="0"/>
              <w:rPr>
                <w:rFonts w:ascii="Times New Roman" w:hAnsi="Times New Roman"/>
                <w:color w:val="000000"/>
                <w:szCs w:val="21"/>
              </w:rPr>
            </w:pPr>
            <w:r>
              <w:rPr>
                <w:rFonts w:ascii="Times New Roman" w:hAnsi="Times New Roman"/>
                <w:color w:val="000000"/>
                <w:szCs w:val="21"/>
              </w:rPr>
              <w:t xml:space="preserve">0.07 </w:t>
            </w:r>
          </w:p>
        </w:tc>
        <w:tc>
          <w:tcPr>
            <w:tcW w:w="739" w:type="pct"/>
            <w:vAlign w:val="center"/>
          </w:tcPr>
          <w:p w14:paraId="4C071C6A">
            <w:pPr>
              <w:pStyle w:val="407"/>
              <w:adjustRightInd w:val="0"/>
              <w:snapToGrid w:val="0"/>
              <w:rPr>
                <w:rFonts w:ascii="Times New Roman" w:hAnsi="Times New Roman"/>
                <w:color w:val="000000"/>
                <w:szCs w:val="21"/>
              </w:rPr>
            </w:pPr>
            <w:r>
              <w:rPr>
                <w:rFonts w:ascii="Times New Roman" w:hAnsi="Times New Roman"/>
                <w:color w:val="000000"/>
                <w:szCs w:val="21"/>
              </w:rPr>
              <w:t>0.01L</w:t>
            </w:r>
          </w:p>
        </w:tc>
      </w:tr>
      <w:tr w14:paraId="24999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69" w:hRule="atLeast"/>
        </w:trPr>
        <w:tc>
          <w:tcPr>
            <w:tcW w:w="255" w:type="pct"/>
            <w:vMerge w:val="continue"/>
            <w:vAlign w:val="center"/>
          </w:tcPr>
          <w:p w14:paraId="566AA53D">
            <w:pPr>
              <w:pStyle w:val="407"/>
              <w:adjustRightInd w:val="0"/>
              <w:snapToGrid w:val="0"/>
              <w:rPr>
                <w:rFonts w:ascii="Times New Roman" w:hAnsi="Times New Roman"/>
                <w:color w:val="000000"/>
                <w:szCs w:val="21"/>
              </w:rPr>
            </w:pPr>
          </w:p>
        </w:tc>
        <w:tc>
          <w:tcPr>
            <w:tcW w:w="420" w:type="pct"/>
            <w:vMerge w:val="continue"/>
            <w:vAlign w:val="center"/>
          </w:tcPr>
          <w:p w14:paraId="2619DDCD">
            <w:pPr>
              <w:pStyle w:val="407"/>
              <w:adjustRightInd w:val="0"/>
              <w:snapToGrid w:val="0"/>
              <w:rPr>
                <w:rFonts w:ascii="Times New Roman" w:hAnsi="Times New Roman"/>
                <w:color w:val="000000"/>
                <w:szCs w:val="21"/>
              </w:rPr>
            </w:pPr>
          </w:p>
        </w:tc>
        <w:tc>
          <w:tcPr>
            <w:tcW w:w="588" w:type="pct"/>
            <w:vAlign w:val="center"/>
          </w:tcPr>
          <w:p w14:paraId="0C276BE5">
            <w:pPr>
              <w:pStyle w:val="407"/>
              <w:adjustRightInd w:val="0"/>
              <w:snapToGrid w:val="0"/>
              <w:rPr>
                <w:rFonts w:ascii="Times New Roman" w:hAnsi="Times New Roman"/>
                <w:color w:val="000000"/>
                <w:szCs w:val="21"/>
              </w:rPr>
            </w:pPr>
            <w:r>
              <w:rPr>
                <w:rFonts w:ascii="Times New Roman" w:hAnsi="Times New Roman"/>
                <w:color w:val="000000"/>
                <w:szCs w:val="21"/>
              </w:rPr>
              <w:t>超标率%</w:t>
            </w:r>
          </w:p>
        </w:tc>
        <w:tc>
          <w:tcPr>
            <w:tcW w:w="496" w:type="pct"/>
            <w:vAlign w:val="center"/>
          </w:tcPr>
          <w:p w14:paraId="004691CE">
            <w:pPr>
              <w:pStyle w:val="407"/>
              <w:adjustRightInd w:val="0"/>
              <w:snapToGrid w:val="0"/>
              <w:rPr>
                <w:rFonts w:ascii="Times New Roman" w:hAnsi="Times New Roman"/>
                <w:color w:val="000000"/>
                <w:szCs w:val="21"/>
              </w:rPr>
            </w:pPr>
            <w:r>
              <w:rPr>
                <w:rFonts w:ascii="Times New Roman" w:hAnsi="Times New Roman"/>
                <w:color w:val="000000"/>
                <w:szCs w:val="21"/>
              </w:rPr>
              <w:t>0</w:t>
            </w:r>
          </w:p>
        </w:tc>
        <w:tc>
          <w:tcPr>
            <w:tcW w:w="625" w:type="pct"/>
            <w:vAlign w:val="center"/>
          </w:tcPr>
          <w:p w14:paraId="0C8B0A70">
            <w:pPr>
              <w:pStyle w:val="407"/>
              <w:adjustRightInd w:val="0"/>
              <w:snapToGrid w:val="0"/>
              <w:rPr>
                <w:rFonts w:ascii="Times New Roman" w:hAnsi="Times New Roman"/>
                <w:color w:val="000000"/>
                <w:szCs w:val="21"/>
              </w:rPr>
            </w:pPr>
            <w:r>
              <w:rPr>
                <w:rFonts w:ascii="Times New Roman" w:hAnsi="Times New Roman"/>
                <w:color w:val="000000"/>
                <w:szCs w:val="21"/>
              </w:rPr>
              <w:t>0</w:t>
            </w:r>
          </w:p>
        </w:tc>
        <w:tc>
          <w:tcPr>
            <w:tcW w:w="590" w:type="pct"/>
            <w:vAlign w:val="center"/>
          </w:tcPr>
          <w:p w14:paraId="7B9BB602">
            <w:pPr>
              <w:pStyle w:val="407"/>
              <w:adjustRightInd w:val="0"/>
              <w:snapToGrid w:val="0"/>
              <w:rPr>
                <w:rFonts w:ascii="Times New Roman" w:hAnsi="Times New Roman"/>
                <w:color w:val="000000"/>
                <w:szCs w:val="21"/>
              </w:rPr>
            </w:pPr>
            <w:r>
              <w:rPr>
                <w:rFonts w:ascii="Times New Roman" w:hAnsi="Times New Roman"/>
                <w:color w:val="000000"/>
                <w:szCs w:val="21"/>
              </w:rPr>
              <w:t>0</w:t>
            </w:r>
          </w:p>
        </w:tc>
        <w:tc>
          <w:tcPr>
            <w:tcW w:w="627" w:type="pct"/>
            <w:vAlign w:val="center"/>
          </w:tcPr>
          <w:p w14:paraId="3B1DB22B">
            <w:pPr>
              <w:pStyle w:val="407"/>
              <w:adjustRightInd w:val="0"/>
              <w:snapToGrid w:val="0"/>
              <w:rPr>
                <w:rFonts w:ascii="Times New Roman" w:hAnsi="Times New Roman"/>
                <w:color w:val="000000"/>
                <w:szCs w:val="21"/>
              </w:rPr>
            </w:pPr>
            <w:r>
              <w:rPr>
                <w:rFonts w:ascii="Times New Roman" w:hAnsi="Times New Roman"/>
                <w:color w:val="000000"/>
                <w:szCs w:val="21"/>
              </w:rPr>
              <w:t>0</w:t>
            </w:r>
          </w:p>
        </w:tc>
        <w:tc>
          <w:tcPr>
            <w:tcW w:w="655" w:type="pct"/>
            <w:vAlign w:val="center"/>
          </w:tcPr>
          <w:p w14:paraId="5F773CF2">
            <w:pPr>
              <w:pStyle w:val="407"/>
              <w:adjustRightInd w:val="0"/>
              <w:snapToGrid w:val="0"/>
              <w:rPr>
                <w:rFonts w:ascii="Times New Roman" w:hAnsi="Times New Roman"/>
                <w:color w:val="000000"/>
                <w:szCs w:val="21"/>
              </w:rPr>
            </w:pPr>
            <w:r>
              <w:rPr>
                <w:rFonts w:ascii="Times New Roman" w:hAnsi="Times New Roman"/>
                <w:color w:val="000000"/>
                <w:szCs w:val="21"/>
              </w:rPr>
              <w:t>0</w:t>
            </w:r>
          </w:p>
        </w:tc>
        <w:tc>
          <w:tcPr>
            <w:tcW w:w="739" w:type="pct"/>
            <w:vAlign w:val="center"/>
          </w:tcPr>
          <w:p w14:paraId="0F53F3F7">
            <w:pPr>
              <w:pStyle w:val="407"/>
              <w:adjustRightInd w:val="0"/>
              <w:snapToGrid w:val="0"/>
              <w:rPr>
                <w:rFonts w:ascii="Times New Roman" w:hAnsi="Times New Roman"/>
                <w:color w:val="000000"/>
                <w:szCs w:val="21"/>
              </w:rPr>
            </w:pPr>
            <w:r>
              <w:rPr>
                <w:rFonts w:ascii="Times New Roman" w:hAnsi="Times New Roman"/>
                <w:color w:val="000000"/>
                <w:szCs w:val="21"/>
              </w:rPr>
              <w:t>0</w:t>
            </w:r>
          </w:p>
        </w:tc>
      </w:tr>
      <w:tr w14:paraId="2C8EBC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69" w:hRule="atLeast"/>
        </w:trPr>
        <w:tc>
          <w:tcPr>
            <w:tcW w:w="255" w:type="pct"/>
            <w:vMerge w:val="continue"/>
            <w:vAlign w:val="center"/>
          </w:tcPr>
          <w:p w14:paraId="2D616510">
            <w:pPr>
              <w:pStyle w:val="407"/>
              <w:adjustRightInd w:val="0"/>
              <w:snapToGrid w:val="0"/>
              <w:rPr>
                <w:rFonts w:ascii="Times New Roman" w:hAnsi="Times New Roman"/>
                <w:color w:val="000000"/>
                <w:szCs w:val="21"/>
              </w:rPr>
            </w:pPr>
          </w:p>
        </w:tc>
        <w:tc>
          <w:tcPr>
            <w:tcW w:w="420" w:type="pct"/>
            <w:vMerge w:val="continue"/>
            <w:vAlign w:val="center"/>
          </w:tcPr>
          <w:p w14:paraId="036C05ED">
            <w:pPr>
              <w:pStyle w:val="407"/>
              <w:adjustRightInd w:val="0"/>
              <w:snapToGrid w:val="0"/>
              <w:rPr>
                <w:rFonts w:ascii="Times New Roman" w:hAnsi="Times New Roman"/>
                <w:color w:val="000000"/>
                <w:szCs w:val="21"/>
              </w:rPr>
            </w:pPr>
          </w:p>
        </w:tc>
        <w:tc>
          <w:tcPr>
            <w:tcW w:w="588" w:type="pct"/>
            <w:vAlign w:val="center"/>
          </w:tcPr>
          <w:p w14:paraId="11DA26C7">
            <w:pPr>
              <w:pStyle w:val="407"/>
              <w:adjustRightInd w:val="0"/>
              <w:snapToGrid w:val="0"/>
              <w:rPr>
                <w:rFonts w:ascii="Times New Roman" w:hAnsi="Times New Roman"/>
                <w:color w:val="000000"/>
                <w:szCs w:val="21"/>
              </w:rPr>
            </w:pPr>
            <w:r>
              <w:rPr>
                <w:rFonts w:ascii="Times New Roman" w:hAnsi="Times New Roman"/>
                <w:color w:val="000000"/>
                <w:szCs w:val="21"/>
              </w:rPr>
              <w:t>最大Ii值</w:t>
            </w:r>
          </w:p>
        </w:tc>
        <w:tc>
          <w:tcPr>
            <w:tcW w:w="496" w:type="pct"/>
            <w:vAlign w:val="center"/>
          </w:tcPr>
          <w:p w14:paraId="684A5F74">
            <w:pPr>
              <w:pStyle w:val="407"/>
              <w:adjustRightInd w:val="0"/>
              <w:snapToGrid w:val="0"/>
              <w:rPr>
                <w:rFonts w:ascii="Times New Roman" w:hAnsi="Times New Roman"/>
                <w:color w:val="000000"/>
                <w:szCs w:val="21"/>
              </w:rPr>
            </w:pPr>
            <w:r>
              <w:rPr>
                <w:rFonts w:ascii="Times New Roman" w:hAnsi="Times New Roman"/>
                <w:color w:val="000000"/>
                <w:szCs w:val="21"/>
              </w:rPr>
              <w:t>0.46</w:t>
            </w:r>
          </w:p>
        </w:tc>
        <w:tc>
          <w:tcPr>
            <w:tcW w:w="625" w:type="pct"/>
            <w:vAlign w:val="center"/>
          </w:tcPr>
          <w:p w14:paraId="5CA333F4">
            <w:pPr>
              <w:pStyle w:val="407"/>
              <w:adjustRightInd w:val="0"/>
              <w:snapToGrid w:val="0"/>
              <w:rPr>
                <w:rFonts w:ascii="Times New Roman" w:hAnsi="Times New Roman"/>
                <w:color w:val="000000"/>
                <w:szCs w:val="21"/>
              </w:rPr>
            </w:pPr>
            <w:r>
              <w:rPr>
                <w:rFonts w:ascii="Times New Roman" w:hAnsi="Times New Roman"/>
                <w:color w:val="000000"/>
                <w:szCs w:val="21"/>
              </w:rPr>
              <w:t xml:space="preserve">0.12 </w:t>
            </w:r>
          </w:p>
        </w:tc>
        <w:tc>
          <w:tcPr>
            <w:tcW w:w="590" w:type="pct"/>
            <w:vAlign w:val="center"/>
          </w:tcPr>
          <w:p w14:paraId="3ADBA4FD">
            <w:pPr>
              <w:pStyle w:val="407"/>
              <w:adjustRightInd w:val="0"/>
              <w:snapToGrid w:val="0"/>
              <w:rPr>
                <w:rFonts w:ascii="Times New Roman" w:hAnsi="Times New Roman"/>
                <w:color w:val="000000"/>
                <w:szCs w:val="21"/>
              </w:rPr>
            </w:pPr>
            <w:r>
              <w:rPr>
                <w:rFonts w:ascii="Times New Roman" w:hAnsi="Times New Roman"/>
                <w:color w:val="000000"/>
                <w:szCs w:val="21"/>
              </w:rPr>
              <w:t xml:space="preserve">0.38 </w:t>
            </w:r>
          </w:p>
        </w:tc>
        <w:tc>
          <w:tcPr>
            <w:tcW w:w="627" w:type="pct"/>
            <w:vAlign w:val="center"/>
          </w:tcPr>
          <w:p w14:paraId="4EE53A27">
            <w:pPr>
              <w:pStyle w:val="407"/>
              <w:adjustRightInd w:val="0"/>
              <w:snapToGrid w:val="0"/>
              <w:rPr>
                <w:rFonts w:ascii="Times New Roman" w:hAnsi="Times New Roman"/>
                <w:color w:val="000000"/>
                <w:szCs w:val="21"/>
              </w:rPr>
            </w:pPr>
            <w:r>
              <w:rPr>
                <w:rFonts w:ascii="Times New Roman" w:hAnsi="Times New Roman"/>
                <w:color w:val="000000"/>
                <w:szCs w:val="21"/>
              </w:rPr>
              <w:t xml:space="preserve">0.21 </w:t>
            </w:r>
          </w:p>
        </w:tc>
        <w:tc>
          <w:tcPr>
            <w:tcW w:w="655" w:type="pct"/>
            <w:vAlign w:val="center"/>
          </w:tcPr>
          <w:p w14:paraId="4D8AEDB9">
            <w:pPr>
              <w:pStyle w:val="407"/>
              <w:adjustRightInd w:val="0"/>
              <w:snapToGrid w:val="0"/>
              <w:rPr>
                <w:rFonts w:ascii="Times New Roman" w:hAnsi="Times New Roman"/>
                <w:color w:val="000000"/>
                <w:szCs w:val="21"/>
              </w:rPr>
            </w:pPr>
            <w:r>
              <w:rPr>
                <w:rFonts w:ascii="Times New Roman" w:hAnsi="Times New Roman"/>
                <w:color w:val="000000"/>
                <w:szCs w:val="21"/>
              </w:rPr>
              <w:t xml:space="preserve">0.07 </w:t>
            </w:r>
          </w:p>
        </w:tc>
        <w:tc>
          <w:tcPr>
            <w:tcW w:w="739" w:type="pct"/>
            <w:vAlign w:val="center"/>
          </w:tcPr>
          <w:p w14:paraId="44C103F3">
            <w:pPr>
              <w:pStyle w:val="407"/>
              <w:adjustRightInd w:val="0"/>
              <w:snapToGrid w:val="0"/>
              <w:rPr>
                <w:rFonts w:ascii="Times New Roman" w:hAnsi="Times New Roman"/>
                <w:color w:val="000000"/>
                <w:szCs w:val="21"/>
              </w:rPr>
            </w:pPr>
            <w:r>
              <w:rPr>
                <w:rFonts w:ascii="Times New Roman" w:hAnsi="Times New Roman"/>
                <w:color w:val="000000"/>
                <w:szCs w:val="21"/>
              </w:rPr>
              <w:t>/</w:t>
            </w:r>
          </w:p>
        </w:tc>
      </w:tr>
      <w:tr w14:paraId="76F83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69" w:hRule="atLeast"/>
        </w:trPr>
        <w:tc>
          <w:tcPr>
            <w:tcW w:w="255" w:type="pct"/>
            <w:vMerge w:val="continue"/>
            <w:vAlign w:val="center"/>
          </w:tcPr>
          <w:p w14:paraId="28E9F5C4">
            <w:pPr>
              <w:pStyle w:val="407"/>
              <w:adjustRightInd w:val="0"/>
              <w:snapToGrid w:val="0"/>
              <w:rPr>
                <w:rFonts w:ascii="Times New Roman" w:hAnsi="Times New Roman"/>
                <w:color w:val="000000"/>
                <w:szCs w:val="21"/>
              </w:rPr>
            </w:pPr>
          </w:p>
        </w:tc>
        <w:tc>
          <w:tcPr>
            <w:tcW w:w="420" w:type="pct"/>
            <w:vMerge w:val="restart"/>
            <w:vAlign w:val="center"/>
          </w:tcPr>
          <w:p w14:paraId="33DA66A2">
            <w:pPr>
              <w:pStyle w:val="407"/>
              <w:adjustRightInd w:val="0"/>
              <w:snapToGrid w:val="0"/>
              <w:rPr>
                <w:rFonts w:ascii="Times New Roman" w:hAnsi="Times New Roman"/>
                <w:color w:val="000000"/>
                <w:szCs w:val="21"/>
              </w:rPr>
            </w:pPr>
            <w:r>
              <w:rPr>
                <w:rFonts w:ascii="Times New Roman" w:hAnsi="Times New Roman"/>
                <w:color w:val="000000"/>
                <w:szCs w:val="21"/>
              </w:rPr>
              <w:t>2020年II断面</w:t>
            </w:r>
          </w:p>
          <w:p w14:paraId="63742C1E">
            <w:pPr>
              <w:pStyle w:val="407"/>
              <w:adjustRightInd w:val="0"/>
              <w:snapToGrid w:val="0"/>
              <w:rPr>
                <w:rFonts w:ascii="Times New Roman" w:hAnsi="Times New Roman"/>
                <w:color w:val="000000"/>
                <w:szCs w:val="21"/>
              </w:rPr>
            </w:pPr>
            <w:r>
              <w:rPr>
                <w:rFonts w:ascii="Times New Roman" w:hAnsi="Times New Roman"/>
                <w:color w:val="000000"/>
                <w:szCs w:val="21"/>
              </w:rPr>
              <w:t>麻柳嘴断面</w:t>
            </w:r>
          </w:p>
        </w:tc>
        <w:tc>
          <w:tcPr>
            <w:tcW w:w="588" w:type="pct"/>
            <w:vAlign w:val="center"/>
          </w:tcPr>
          <w:p w14:paraId="41304E4F">
            <w:pPr>
              <w:pStyle w:val="407"/>
              <w:adjustRightInd w:val="0"/>
              <w:snapToGrid w:val="0"/>
              <w:rPr>
                <w:rFonts w:ascii="Times New Roman" w:hAnsi="Times New Roman"/>
                <w:color w:val="000000"/>
                <w:szCs w:val="21"/>
              </w:rPr>
            </w:pPr>
            <w:r>
              <w:rPr>
                <w:rFonts w:ascii="Times New Roman" w:hAnsi="Times New Roman"/>
                <w:color w:val="000000"/>
                <w:szCs w:val="21"/>
              </w:rPr>
              <w:t>浓度平均值</w:t>
            </w:r>
          </w:p>
        </w:tc>
        <w:tc>
          <w:tcPr>
            <w:tcW w:w="496" w:type="pct"/>
            <w:vAlign w:val="center"/>
          </w:tcPr>
          <w:p w14:paraId="5D00E2CD">
            <w:pPr>
              <w:pStyle w:val="407"/>
              <w:adjustRightInd w:val="0"/>
              <w:snapToGrid w:val="0"/>
              <w:rPr>
                <w:rFonts w:ascii="Times New Roman" w:hAnsi="Times New Roman"/>
                <w:color w:val="000000"/>
                <w:szCs w:val="21"/>
              </w:rPr>
            </w:pPr>
            <w:r>
              <w:rPr>
                <w:rFonts w:ascii="Times New Roman" w:hAnsi="Times New Roman"/>
                <w:color w:val="000000"/>
                <w:szCs w:val="21"/>
              </w:rPr>
              <w:t xml:space="preserve">7.91 </w:t>
            </w:r>
          </w:p>
        </w:tc>
        <w:tc>
          <w:tcPr>
            <w:tcW w:w="625" w:type="pct"/>
            <w:vAlign w:val="center"/>
          </w:tcPr>
          <w:p w14:paraId="260010ED">
            <w:pPr>
              <w:pStyle w:val="407"/>
              <w:adjustRightInd w:val="0"/>
              <w:snapToGrid w:val="0"/>
              <w:rPr>
                <w:rFonts w:ascii="Times New Roman" w:hAnsi="Times New Roman"/>
                <w:color w:val="000000"/>
                <w:szCs w:val="21"/>
              </w:rPr>
            </w:pPr>
            <w:r>
              <w:rPr>
                <w:rFonts w:ascii="Times New Roman" w:hAnsi="Times New Roman"/>
                <w:color w:val="000000"/>
                <w:szCs w:val="21"/>
              </w:rPr>
              <w:t xml:space="preserve">0.18 </w:t>
            </w:r>
          </w:p>
        </w:tc>
        <w:tc>
          <w:tcPr>
            <w:tcW w:w="590" w:type="pct"/>
            <w:vAlign w:val="center"/>
          </w:tcPr>
          <w:p w14:paraId="176D8CD0">
            <w:pPr>
              <w:pStyle w:val="407"/>
              <w:adjustRightInd w:val="0"/>
              <w:snapToGrid w:val="0"/>
              <w:rPr>
                <w:rFonts w:ascii="Times New Roman" w:hAnsi="Times New Roman"/>
                <w:color w:val="000000"/>
                <w:szCs w:val="21"/>
              </w:rPr>
            </w:pPr>
            <w:r>
              <w:rPr>
                <w:rFonts w:ascii="Times New Roman" w:hAnsi="Times New Roman"/>
                <w:color w:val="000000"/>
                <w:szCs w:val="21"/>
              </w:rPr>
              <w:t xml:space="preserve">5.83 </w:t>
            </w:r>
          </w:p>
        </w:tc>
        <w:tc>
          <w:tcPr>
            <w:tcW w:w="627" w:type="pct"/>
            <w:vAlign w:val="center"/>
          </w:tcPr>
          <w:p w14:paraId="123C0792">
            <w:pPr>
              <w:pStyle w:val="407"/>
              <w:adjustRightInd w:val="0"/>
              <w:snapToGrid w:val="0"/>
              <w:rPr>
                <w:rFonts w:ascii="Times New Roman" w:hAnsi="Times New Roman"/>
                <w:color w:val="000000"/>
                <w:szCs w:val="21"/>
              </w:rPr>
            </w:pPr>
            <w:r>
              <w:rPr>
                <w:rFonts w:ascii="Times New Roman" w:hAnsi="Times New Roman"/>
                <w:color w:val="000000"/>
                <w:szCs w:val="21"/>
              </w:rPr>
              <w:t xml:space="preserve">0.80 </w:t>
            </w:r>
          </w:p>
        </w:tc>
        <w:tc>
          <w:tcPr>
            <w:tcW w:w="655" w:type="pct"/>
            <w:vAlign w:val="center"/>
          </w:tcPr>
          <w:p w14:paraId="7F26ADAC">
            <w:pPr>
              <w:pStyle w:val="407"/>
              <w:adjustRightInd w:val="0"/>
              <w:snapToGrid w:val="0"/>
              <w:rPr>
                <w:rFonts w:ascii="Times New Roman" w:hAnsi="Times New Roman"/>
                <w:color w:val="000000"/>
                <w:szCs w:val="21"/>
              </w:rPr>
            </w:pPr>
            <w:r>
              <w:rPr>
                <w:rFonts w:ascii="Times New Roman" w:hAnsi="Times New Roman"/>
                <w:color w:val="000000"/>
                <w:szCs w:val="21"/>
              </w:rPr>
              <w:t xml:space="preserve">0.07 </w:t>
            </w:r>
          </w:p>
        </w:tc>
        <w:tc>
          <w:tcPr>
            <w:tcW w:w="739" w:type="pct"/>
            <w:vAlign w:val="center"/>
          </w:tcPr>
          <w:p w14:paraId="499F50AF">
            <w:pPr>
              <w:pStyle w:val="407"/>
              <w:adjustRightInd w:val="0"/>
              <w:snapToGrid w:val="0"/>
              <w:rPr>
                <w:rFonts w:ascii="Times New Roman" w:hAnsi="Times New Roman"/>
                <w:color w:val="000000"/>
                <w:szCs w:val="21"/>
              </w:rPr>
            </w:pPr>
            <w:r>
              <w:rPr>
                <w:rFonts w:ascii="Times New Roman" w:hAnsi="Times New Roman"/>
                <w:color w:val="000000"/>
                <w:szCs w:val="21"/>
              </w:rPr>
              <w:t>0.01L</w:t>
            </w:r>
          </w:p>
        </w:tc>
      </w:tr>
      <w:tr w14:paraId="7D0F2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69" w:hRule="atLeast"/>
        </w:trPr>
        <w:tc>
          <w:tcPr>
            <w:tcW w:w="255" w:type="pct"/>
            <w:vMerge w:val="continue"/>
            <w:vAlign w:val="center"/>
          </w:tcPr>
          <w:p w14:paraId="0BE6E86F">
            <w:pPr>
              <w:pStyle w:val="407"/>
              <w:adjustRightInd w:val="0"/>
              <w:snapToGrid w:val="0"/>
              <w:rPr>
                <w:rFonts w:ascii="Times New Roman" w:hAnsi="Times New Roman"/>
                <w:color w:val="000000"/>
                <w:szCs w:val="21"/>
              </w:rPr>
            </w:pPr>
          </w:p>
        </w:tc>
        <w:tc>
          <w:tcPr>
            <w:tcW w:w="420" w:type="pct"/>
            <w:vMerge w:val="continue"/>
            <w:vAlign w:val="center"/>
          </w:tcPr>
          <w:p w14:paraId="5A8C5691">
            <w:pPr>
              <w:pStyle w:val="407"/>
              <w:adjustRightInd w:val="0"/>
              <w:snapToGrid w:val="0"/>
              <w:rPr>
                <w:rFonts w:ascii="Times New Roman" w:hAnsi="Times New Roman"/>
                <w:color w:val="000000"/>
                <w:szCs w:val="21"/>
              </w:rPr>
            </w:pPr>
          </w:p>
        </w:tc>
        <w:tc>
          <w:tcPr>
            <w:tcW w:w="588" w:type="pct"/>
            <w:vAlign w:val="center"/>
          </w:tcPr>
          <w:p w14:paraId="5FB33C49">
            <w:pPr>
              <w:pStyle w:val="407"/>
              <w:adjustRightInd w:val="0"/>
              <w:snapToGrid w:val="0"/>
              <w:rPr>
                <w:rFonts w:ascii="Times New Roman" w:hAnsi="Times New Roman"/>
                <w:color w:val="000000"/>
                <w:szCs w:val="21"/>
              </w:rPr>
            </w:pPr>
            <w:r>
              <w:rPr>
                <w:rFonts w:ascii="Times New Roman" w:hAnsi="Times New Roman"/>
                <w:color w:val="000000"/>
                <w:szCs w:val="21"/>
              </w:rPr>
              <w:t>超标率%</w:t>
            </w:r>
          </w:p>
        </w:tc>
        <w:tc>
          <w:tcPr>
            <w:tcW w:w="496" w:type="pct"/>
            <w:vAlign w:val="center"/>
          </w:tcPr>
          <w:p w14:paraId="7B023273">
            <w:pPr>
              <w:pStyle w:val="407"/>
              <w:adjustRightInd w:val="0"/>
              <w:snapToGrid w:val="0"/>
              <w:rPr>
                <w:rFonts w:ascii="Times New Roman" w:hAnsi="Times New Roman"/>
                <w:color w:val="000000"/>
                <w:szCs w:val="21"/>
              </w:rPr>
            </w:pPr>
            <w:r>
              <w:rPr>
                <w:rFonts w:ascii="Times New Roman" w:hAnsi="Times New Roman"/>
                <w:color w:val="000000"/>
                <w:szCs w:val="21"/>
              </w:rPr>
              <w:t>0</w:t>
            </w:r>
          </w:p>
        </w:tc>
        <w:tc>
          <w:tcPr>
            <w:tcW w:w="625" w:type="pct"/>
            <w:vAlign w:val="center"/>
          </w:tcPr>
          <w:p w14:paraId="5092D77A">
            <w:pPr>
              <w:pStyle w:val="407"/>
              <w:adjustRightInd w:val="0"/>
              <w:snapToGrid w:val="0"/>
              <w:rPr>
                <w:rFonts w:ascii="Times New Roman" w:hAnsi="Times New Roman"/>
                <w:color w:val="000000"/>
                <w:szCs w:val="21"/>
              </w:rPr>
            </w:pPr>
            <w:r>
              <w:rPr>
                <w:rFonts w:ascii="Times New Roman" w:hAnsi="Times New Roman"/>
                <w:color w:val="000000"/>
                <w:szCs w:val="21"/>
              </w:rPr>
              <w:t>0</w:t>
            </w:r>
          </w:p>
        </w:tc>
        <w:tc>
          <w:tcPr>
            <w:tcW w:w="590" w:type="pct"/>
            <w:vAlign w:val="center"/>
          </w:tcPr>
          <w:p w14:paraId="6E81428B">
            <w:pPr>
              <w:pStyle w:val="407"/>
              <w:adjustRightInd w:val="0"/>
              <w:snapToGrid w:val="0"/>
              <w:rPr>
                <w:rFonts w:ascii="Times New Roman" w:hAnsi="Times New Roman"/>
                <w:color w:val="000000"/>
                <w:szCs w:val="21"/>
              </w:rPr>
            </w:pPr>
            <w:r>
              <w:rPr>
                <w:rFonts w:ascii="Times New Roman" w:hAnsi="Times New Roman"/>
                <w:color w:val="000000"/>
                <w:szCs w:val="21"/>
              </w:rPr>
              <w:t>0</w:t>
            </w:r>
          </w:p>
        </w:tc>
        <w:tc>
          <w:tcPr>
            <w:tcW w:w="627" w:type="pct"/>
            <w:vAlign w:val="center"/>
          </w:tcPr>
          <w:p w14:paraId="009B178E">
            <w:pPr>
              <w:pStyle w:val="407"/>
              <w:adjustRightInd w:val="0"/>
              <w:snapToGrid w:val="0"/>
              <w:rPr>
                <w:rFonts w:ascii="Times New Roman" w:hAnsi="Times New Roman"/>
                <w:color w:val="000000"/>
                <w:szCs w:val="21"/>
              </w:rPr>
            </w:pPr>
            <w:r>
              <w:rPr>
                <w:rFonts w:ascii="Times New Roman" w:hAnsi="Times New Roman"/>
                <w:color w:val="000000"/>
                <w:szCs w:val="21"/>
              </w:rPr>
              <w:t>0</w:t>
            </w:r>
          </w:p>
        </w:tc>
        <w:tc>
          <w:tcPr>
            <w:tcW w:w="655" w:type="pct"/>
            <w:vAlign w:val="center"/>
          </w:tcPr>
          <w:p w14:paraId="4C78B679">
            <w:pPr>
              <w:pStyle w:val="407"/>
              <w:adjustRightInd w:val="0"/>
              <w:snapToGrid w:val="0"/>
              <w:rPr>
                <w:rFonts w:ascii="Times New Roman" w:hAnsi="Times New Roman"/>
                <w:color w:val="000000"/>
                <w:szCs w:val="21"/>
              </w:rPr>
            </w:pPr>
            <w:r>
              <w:rPr>
                <w:rFonts w:ascii="Times New Roman" w:hAnsi="Times New Roman"/>
                <w:color w:val="000000"/>
                <w:szCs w:val="21"/>
              </w:rPr>
              <w:t>0</w:t>
            </w:r>
          </w:p>
        </w:tc>
        <w:tc>
          <w:tcPr>
            <w:tcW w:w="739" w:type="pct"/>
            <w:vAlign w:val="center"/>
          </w:tcPr>
          <w:p w14:paraId="2BFECB88">
            <w:pPr>
              <w:pStyle w:val="407"/>
              <w:adjustRightInd w:val="0"/>
              <w:snapToGrid w:val="0"/>
              <w:rPr>
                <w:rFonts w:ascii="Times New Roman" w:hAnsi="Times New Roman"/>
                <w:color w:val="000000"/>
                <w:szCs w:val="21"/>
              </w:rPr>
            </w:pPr>
            <w:r>
              <w:rPr>
                <w:rFonts w:ascii="Times New Roman" w:hAnsi="Times New Roman"/>
                <w:color w:val="000000"/>
                <w:szCs w:val="21"/>
              </w:rPr>
              <w:t>0</w:t>
            </w:r>
          </w:p>
        </w:tc>
      </w:tr>
      <w:tr w14:paraId="0FD8D3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69" w:hRule="atLeast"/>
        </w:trPr>
        <w:tc>
          <w:tcPr>
            <w:tcW w:w="255" w:type="pct"/>
            <w:vMerge w:val="continue"/>
            <w:vAlign w:val="center"/>
          </w:tcPr>
          <w:p w14:paraId="4FAB29DD">
            <w:pPr>
              <w:pStyle w:val="407"/>
              <w:adjustRightInd w:val="0"/>
              <w:snapToGrid w:val="0"/>
              <w:rPr>
                <w:rFonts w:ascii="Times New Roman" w:hAnsi="Times New Roman"/>
                <w:color w:val="000000"/>
                <w:szCs w:val="21"/>
              </w:rPr>
            </w:pPr>
          </w:p>
        </w:tc>
        <w:tc>
          <w:tcPr>
            <w:tcW w:w="420" w:type="pct"/>
            <w:vMerge w:val="continue"/>
            <w:vAlign w:val="center"/>
          </w:tcPr>
          <w:p w14:paraId="5216D1D8">
            <w:pPr>
              <w:pStyle w:val="407"/>
              <w:adjustRightInd w:val="0"/>
              <w:snapToGrid w:val="0"/>
              <w:rPr>
                <w:rFonts w:ascii="Times New Roman" w:hAnsi="Times New Roman"/>
                <w:color w:val="000000"/>
                <w:szCs w:val="21"/>
              </w:rPr>
            </w:pPr>
          </w:p>
        </w:tc>
        <w:tc>
          <w:tcPr>
            <w:tcW w:w="588" w:type="pct"/>
            <w:vAlign w:val="center"/>
          </w:tcPr>
          <w:p w14:paraId="0B6132B1">
            <w:pPr>
              <w:pStyle w:val="407"/>
              <w:adjustRightInd w:val="0"/>
              <w:snapToGrid w:val="0"/>
              <w:rPr>
                <w:rFonts w:ascii="Times New Roman" w:hAnsi="Times New Roman"/>
                <w:color w:val="000000"/>
                <w:szCs w:val="21"/>
              </w:rPr>
            </w:pPr>
            <w:r>
              <w:rPr>
                <w:rFonts w:ascii="Times New Roman" w:hAnsi="Times New Roman"/>
                <w:color w:val="000000"/>
                <w:szCs w:val="21"/>
              </w:rPr>
              <w:t>最大Ii值</w:t>
            </w:r>
          </w:p>
        </w:tc>
        <w:tc>
          <w:tcPr>
            <w:tcW w:w="496" w:type="pct"/>
            <w:vAlign w:val="center"/>
          </w:tcPr>
          <w:p w14:paraId="453BDE00">
            <w:pPr>
              <w:pStyle w:val="407"/>
              <w:adjustRightInd w:val="0"/>
              <w:snapToGrid w:val="0"/>
              <w:rPr>
                <w:rFonts w:ascii="Times New Roman" w:hAnsi="Times New Roman"/>
                <w:color w:val="000000"/>
                <w:szCs w:val="21"/>
              </w:rPr>
            </w:pPr>
            <w:r>
              <w:rPr>
                <w:rFonts w:ascii="Times New Roman" w:hAnsi="Times New Roman"/>
                <w:color w:val="000000"/>
                <w:szCs w:val="21"/>
              </w:rPr>
              <w:t>0.46</w:t>
            </w:r>
          </w:p>
        </w:tc>
        <w:tc>
          <w:tcPr>
            <w:tcW w:w="625" w:type="pct"/>
            <w:vAlign w:val="center"/>
          </w:tcPr>
          <w:p w14:paraId="732A5C65">
            <w:pPr>
              <w:pStyle w:val="407"/>
              <w:adjustRightInd w:val="0"/>
              <w:snapToGrid w:val="0"/>
              <w:rPr>
                <w:rFonts w:ascii="Times New Roman" w:hAnsi="Times New Roman"/>
                <w:color w:val="000000"/>
                <w:szCs w:val="21"/>
              </w:rPr>
            </w:pPr>
            <w:r>
              <w:rPr>
                <w:rFonts w:ascii="Times New Roman" w:hAnsi="Times New Roman"/>
                <w:color w:val="000000"/>
                <w:szCs w:val="21"/>
              </w:rPr>
              <w:t xml:space="preserve">0.18 </w:t>
            </w:r>
          </w:p>
        </w:tc>
        <w:tc>
          <w:tcPr>
            <w:tcW w:w="590" w:type="pct"/>
            <w:vAlign w:val="center"/>
          </w:tcPr>
          <w:p w14:paraId="175C7C39">
            <w:pPr>
              <w:pStyle w:val="407"/>
              <w:adjustRightInd w:val="0"/>
              <w:snapToGrid w:val="0"/>
              <w:rPr>
                <w:rFonts w:ascii="Times New Roman" w:hAnsi="Times New Roman"/>
                <w:color w:val="000000"/>
                <w:szCs w:val="21"/>
              </w:rPr>
            </w:pPr>
            <w:r>
              <w:rPr>
                <w:rFonts w:ascii="Times New Roman" w:hAnsi="Times New Roman"/>
                <w:color w:val="000000"/>
                <w:szCs w:val="21"/>
              </w:rPr>
              <w:t xml:space="preserve">0.29 </w:t>
            </w:r>
          </w:p>
        </w:tc>
        <w:tc>
          <w:tcPr>
            <w:tcW w:w="627" w:type="pct"/>
            <w:vAlign w:val="center"/>
          </w:tcPr>
          <w:p w14:paraId="2341A380">
            <w:pPr>
              <w:pStyle w:val="407"/>
              <w:adjustRightInd w:val="0"/>
              <w:snapToGrid w:val="0"/>
              <w:rPr>
                <w:rFonts w:ascii="Times New Roman" w:hAnsi="Times New Roman"/>
                <w:color w:val="000000"/>
                <w:szCs w:val="21"/>
              </w:rPr>
            </w:pPr>
            <w:r>
              <w:rPr>
                <w:rFonts w:ascii="Times New Roman" w:hAnsi="Times New Roman"/>
                <w:color w:val="000000"/>
                <w:szCs w:val="21"/>
              </w:rPr>
              <w:t xml:space="preserve">0.20 </w:t>
            </w:r>
          </w:p>
        </w:tc>
        <w:tc>
          <w:tcPr>
            <w:tcW w:w="655" w:type="pct"/>
            <w:vAlign w:val="center"/>
          </w:tcPr>
          <w:p w14:paraId="15252BA1">
            <w:pPr>
              <w:pStyle w:val="407"/>
              <w:adjustRightInd w:val="0"/>
              <w:snapToGrid w:val="0"/>
              <w:rPr>
                <w:rFonts w:ascii="Times New Roman" w:hAnsi="Times New Roman"/>
                <w:color w:val="000000"/>
                <w:szCs w:val="21"/>
              </w:rPr>
            </w:pPr>
            <w:r>
              <w:rPr>
                <w:rFonts w:ascii="Times New Roman" w:hAnsi="Times New Roman"/>
                <w:color w:val="000000"/>
                <w:szCs w:val="21"/>
              </w:rPr>
              <w:t xml:space="preserve">0.07 </w:t>
            </w:r>
          </w:p>
        </w:tc>
        <w:tc>
          <w:tcPr>
            <w:tcW w:w="739" w:type="pct"/>
            <w:vAlign w:val="center"/>
          </w:tcPr>
          <w:p w14:paraId="7D98B483">
            <w:pPr>
              <w:pStyle w:val="407"/>
              <w:adjustRightInd w:val="0"/>
              <w:snapToGrid w:val="0"/>
              <w:rPr>
                <w:rFonts w:ascii="Times New Roman" w:hAnsi="Times New Roman"/>
                <w:color w:val="000000"/>
                <w:szCs w:val="21"/>
              </w:rPr>
            </w:pPr>
            <w:r>
              <w:rPr>
                <w:rFonts w:ascii="Times New Roman" w:hAnsi="Times New Roman"/>
                <w:color w:val="000000"/>
                <w:szCs w:val="21"/>
              </w:rPr>
              <w:t>/</w:t>
            </w:r>
          </w:p>
        </w:tc>
      </w:tr>
      <w:tr w14:paraId="10031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cantSplit/>
          <w:trHeight w:val="369" w:hRule="atLeast"/>
        </w:trPr>
        <w:tc>
          <w:tcPr>
            <w:tcW w:w="1264" w:type="pct"/>
            <w:gridSpan w:val="3"/>
            <w:vAlign w:val="center"/>
          </w:tcPr>
          <w:p w14:paraId="47219B04">
            <w:pPr>
              <w:pStyle w:val="407"/>
              <w:adjustRightInd w:val="0"/>
              <w:snapToGrid w:val="0"/>
              <w:rPr>
                <w:rFonts w:ascii="Times New Roman" w:hAnsi="Times New Roman"/>
                <w:color w:val="000000"/>
                <w:szCs w:val="21"/>
              </w:rPr>
            </w:pPr>
            <w:r>
              <w:rPr>
                <w:rFonts w:ascii="Times New Roman" w:hAnsi="Times New Roman"/>
                <w:color w:val="000000"/>
                <w:szCs w:val="21"/>
              </w:rPr>
              <w:t>标准值</w:t>
            </w:r>
          </w:p>
        </w:tc>
        <w:tc>
          <w:tcPr>
            <w:tcW w:w="496" w:type="pct"/>
            <w:vAlign w:val="center"/>
          </w:tcPr>
          <w:p w14:paraId="16A4C0E0">
            <w:pPr>
              <w:pStyle w:val="407"/>
              <w:adjustRightInd w:val="0"/>
              <w:snapToGrid w:val="0"/>
              <w:rPr>
                <w:rFonts w:ascii="Times New Roman" w:hAnsi="Times New Roman"/>
                <w:color w:val="000000"/>
                <w:szCs w:val="21"/>
              </w:rPr>
            </w:pPr>
            <w:r>
              <w:rPr>
                <w:rFonts w:ascii="Times New Roman" w:hAnsi="Times New Roman"/>
                <w:color w:val="000000"/>
                <w:szCs w:val="21"/>
              </w:rPr>
              <w:t>6～9</w:t>
            </w:r>
          </w:p>
        </w:tc>
        <w:tc>
          <w:tcPr>
            <w:tcW w:w="625" w:type="pct"/>
            <w:vAlign w:val="center"/>
          </w:tcPr>
          <w:p w14:paraId="6A3D9302">
            <w:pPr>
              <w:pStyle w:val="407"/>
              <w:adjustRightInd w:val="0"/>
              <w:snapToGrid w:val="0"/>
              <w:rPr>
                <w:rFonts w:ascii="Times New Roman" w:hAnsi="Times New Roman"/>
                <w:color w:val="000000"/>
                <w:szCs w:val="21"/>
              </w:rPr>
            </w:pPr>
            <w:r>
              <w:rPr>
                <w:rFonts w:ascii="Times New Roman" w:hAnsi="Times New Roman"/>
                <w:color w:val="000000"/>
                <w:szCs w:val="21"/>
              </w:rPr>
              <w:t>≤1</w:t>
            </w:r>
          </w:p>
        </w:tc>
        <w:tc>
          <w:tcPr>
            <w:tcW w:w="590" w:type="pct"/>
            <w:vAlign w:val="center"/>
          </w:tcPr>
          <w:p w14:paraId="0A0E6476">
            <w:pPr>
              <w:pStyle w:val="407"/>
              <w:adjustRightInd w:val="0"/>
              <w:snapToGrid w:val="0"/>
              <w:rPr>
                <w:rFonts w:ascii="Times New Roman" w:hAnsi="Times New Roman"/>
                <w:color w:val="000000"/>
                <w:szCs w:val="21"/>
              </w:rPr>
            </w:pPr>
            <w:r>
              <w:rPr>
                <w:rFonts w:ascii="Times New Roman" w:hAnsi="Times New Roman"/>
                <w:color w:val="000000"/>
                <w:szCs w:val="21"/>
              </w:rPr>
              <w:t>≤20</w:t>
            </w:r>
          </w:p>
        </w:tc>
        <w:tc>
          <w:tcPr>
            <w:tcW w:w="627" w:type="pct"/>
            <w:vAlign w:val="center"/>
          </w:tcPr>
          <w:p w14:paraId="0228C8EF">
            <w:pPr>
              <w:pStyle w:val="407"/>
              <w:adjustRightInd w:val="0"/>
              <w:snapToGrid w:val="0"/>
              <w:rPr>
                <w:rFonts w:ascii="Times New Roman" w:hAnsi="Times New Roman"/>
                <w:color w:val="000000"/>
                <w:szCs w:val="21"/>
              </w:rPr>
            </w:pPr>
            <w:r>
              <w:rPr>
                <w:rFonts w:ascii="Times New Roman" w:hAnsi="Times New Roman"/>
                <w:color w:val="000000"/>
                <w:szCs w:val="21"/>
              </w:rPr>
              <w:t>≤4</w:t>
            </w:r>
          </w:p>
        </w:tc>
        <w:tc>
          <w:tcPr>
            <w:tcW w:w="655" w:type="pct"/>
            <w:vAlign w:val="center"/>
          </w:tcPr>
          <w:p w14:paraId="6408CA4E">
            <w:pPr>
              <w:pStyle w:val="407"/>
              <w:adjustRightInd w:val="0"/>
              <w:snapToGrid w:val="0"/>
              <w:rPr>
                <w:rFonts w:ascii="Times New Roman" w:hAnsi="Times New Roman"/>
                <w:color w:val="000000"/>
                <w:szCs w:val="21"/>
              </w:rPr>
            </w:pPr>
            <w:r>
              <w:rPr>
                <w:rFonts w:ascii="Times New Roman" w:hAnsi="Times New Roman"/>
                <w:color w:val="000000"/>
                <w:szCs w:val="21"/>
              </w:rPr>
              <w:t>≤0.2</w:t>
            </w:r>
          </w:p>
        </w:tc>
        <w:tc>
          <w:tcPr>
            <w:tcW w:w="739" w:type="pct"/>
            <w:vAlign w:val="center"/>
          </w:tcPr>
          <w:p w14:paraId="09033AB2">
            <w:pPr>
              <w:pStyle w:val="407"/>
              <w:adjustRightInd w:val="0"/>
              <w:snapToGrid w:val="0"/>
              <w:rPr>
                <w:rFonts w:ascii="Times New Roman" w:hAnsi="Times New Roman"/>
                <w:color w:val="000000"/>
                <w:szCs w:val="21"/>
              </w:rPr>
            </w:pPr>
            <w:r>
              <w:rPr>
                <w:rFonts w:ascii="Times New Roman" w:hAnsi="Times New Roman"/>
                <w:color w:val="000000"/>
                <w:szCs w:val="21"/>
              </w:rPr>
              <w:t>≤0.05</w:t>
            </w:r>
          </w:p>
        </w:tc>
      </w:tr>
    </w:tbl>
    <w:p w14:paraId="2668F4A5">
      <w:pPr>
        <w:ind w:firstLine="480" w:firstLineChars="200"/>
        <w:rPr>
          <w:color w:val="000000"/>
        </w:rPr>
      </w:pPr>
      <w:r>
        <w:rPr>
          <w:color w:val="000000"/>
        </w:rPr>
        <w:t>由上表可见，乌江2个现状监测断面各监测因子均符合《地表水环境质量标准》（GB3838-2002）Ⅲ类标准的要求。</w:t>
      </w:r>
    </w:p>
    <w:p w14:paraId="6786D625">
      <w:pPr>
        <w:pStyle w:val="771"/>
        <w:rPr>
          <w:color w:val="000000"/>
        </w:rPr>
      </w:pPr>
      <w:bookmarkStart w:id="446" w:name="_Toc458070891"/>
      <w:bookmarkStart w:id="447" w:name="_Toc450674585"/>
      <w:bookmarkStart w:id="448" w:name="_Toc21961449"/>
      <w:bookmarkStart w:id="449" w:name="_Toc15499332"/>
      <w:bookmarkStart w:id="450" w:name="_Toc458021322"/>
      <w:bookmarkStart w:id="451" w:name="_Toc461100451"/>
      <w:bookmarkStart w:id="452" w:name="_Toc15499572"/>
      <w:bookmarkStart w:id="453" w:name="_Toc449353900"/>
      <w:r>
        <w:rPr>
          <w:color w:val="000000"/>
        </w:rPr>
        <w:t>4.3.3 地下水环境质量现状评价</w:t>
      </w:r>
      <w:bookmarkEnd w:id="446"/>
      <w:bookmarkEnd w:id="447"/>
      <w:bookmarkEnd w:id="448"/>
      <w:bookmarkEnd w:id="449"/>
      <w:bookmarkEnd w:id="450"/>
      <w:bookmarkEnd w:id="451"/>
      <w:bookmarkEnd w:id="452"/>
      <w:bookmarkEnd w:id="453"/>
    </w:p>
    <w:p w14:paraId="306D987C">
      <w:pPr>
        <w:pStyle w:val="785"/>
        <w:rPr>
          <w:color w:val="000000"/>
          <w:lang w:val="en-US"/>
        </w:rPr>
      </w:pPr>
      <w:r>
        <w:rPr>
          <w:color w:val="000000"/>
          <w:lang w:val="en-US"/>
        </w:rPr>
        <w:t>4.3.3.1地下水</w:t>
      </w:r>
      <w:r>
        <w:rPr>
          <w:color w:val="000000"/>
        </w:rPr>
        <w:t>环境质量</w:t>
      </w:r>
      <w:r>
        <w:rPr>
          <w:color w:val="000000"/>
          <w:lang w:val="en-US"/>
        </w:rPr>
        <w:t>现状监测与评价</w:t>
      </w:r>
    </w:p>
    <w:p w14:paraId="6C57C1CC">
      <w:pPr>
        <w:tabs>
          <w:tab w:val="left" w:pos="993"/>
        </w:tabs>
        <w:ind w:left="240" w:leftChars="100" w:firstLine="240" w:firstLineChars="100"/>
        <w:rPr>
          <w:color w:val="000000"/>
        </w:rPr>
      </w:pPr>
      <w:r>
        <w:rPr>
          <w:color w:val="000000"/>
        </w:rPr>
        <w:t>本次地下水环境现状监测数据引用天航（监）字【2020】第QTRJ0104DE 监测报告3个地下水环境质量现状监测点位（HS1、HS2、HS3）监测数据，以及九升（监）字【2019】第WT4158监测报告2个地下水环境质量现状监测点位（FX1、FX2）监测数据进行评价，引用的监测点均位于本项目所在的水文地质单元内，监测资料满足导则对于引用资料有效性的相关要求。</w:t>
      </w:r>
    </w:p>
    <w:p w14:paraId="21179AD0">
      <w:pPr>
        <w:tabs>
          <w:tab w:val="left" w:pos="993"/>
        </w:tabs>
        <w:ind w:firstLine="480"/>
        <w:rPr>
          <w:color w:val="000000"/>
        </w:rPr>
      </w:pPr>
      <w:r>
        <w:rPr>
          <w:color w:val="000000"/>
        </w:rPr>
        <w:t>（1）监测情况</w:t>
      </w:r>
    </w:p>
    <w:p w14:paraId="021DC7C1">
      <w:pPr>
        <w:tabs>
          <w:tab w:val="left" w:pos="993"/>
        </w:tabs>
        <w:ind w:firstLine="480"/>
        <w:rPr>
          <w:color w:val="000000"/>
        </w:rPr>
      </w:pPr>
      <w:r>
        <w:rPr>
          <w:color w:val="000000"/>
        </w:rPr>
        <w:t>引用监测点点位、监测因子等详见表4.3.3-1。</w:t>
      </w:r>
    </w:p>
    <w:p w14:paraId="343613D2">
      <w:pPr>
        <w:pStyle w:val="133"/>
        <w:spacing w:line="240" w:lineRule="auto"/>
        <w:outlineLvl w:val="9"/>
        <w:rPr>
          <w:rFonts w:ascii="Times New Roman" w:hAnsi="Times New Roman"/>
          <w:color w:val="000000"/>
          <w:lang w:val="en-US"/>
        </w:rPr>
      </w:pPr>
      <w:r>
        <w:rPr>
          <w:rFonts w:ascii="Times New Roman" w:hAnsi="Times New Roman"/>
          <w:color w:val="000000"/>
        </w:rPr>
        <w:t>表</w:t>
      </w:r>
      <w:r>
        <w:rPr>
          <w:rFonts w:ascii="Times New Roman" w:hAnsi="Times New Roman"/>
          <w:color w:val="000000"/>
          <w:lang w:val="en-US"/>
        </w:rPr>
        <w:t>4</w:t>
      </w:r>
      <w:r>
        <w:rPr>
          <w:rFonts w:ascii="Times New Roman" w:hAnsi="Times New Roman"/>
          <w:color w:val="000000"/>
        </w:rPr>
        <w:t xml:space="preserve">.3.3-1  </w:t>
      </w:r>
      <w:r>
        <w:rPr>
          <w:rFonts w:ascii="Times New Roman" w:hAnsi="Times New Roman"/>
          <w:color w:val="000000"/>
          <w:lang w:val="en-US"/>
        </w:rPr>
        <w:t>引用</w:t>
      </w:r>
      <w:r>
        <w:rPr>
          <w:rFonts w:ascii="Times New Roman" w:hAnsi="Times New Roman"/>
          <w:color w:val="000000"/>
        </w:rPr>
        <w:t>地下水监测</w:t>
      </w:r>
      <w:r>
        <w:rPr>
          <w:rFonts w:ascii="Times New Roman" w:hAnsi="Times New Roman"/>
          <w:color w:val="000000"/>
          <w:lang w:val="en-US"/>
        </w:rPr>
        <w:t>点情况</w:t>
      </w:r>
    </w:p>
    <w:tbl>
      <w:tblPr>
        <w:tblStyle w:val="7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091"/>
        <w:gridCol w:w="1271"/>
        <w:gridCol w:w="4251"/>
        <w:gridCol w:w="641"/>
        <w:gridCol w:w="641"/>
      </w:tblGrid>
      <w:tr w14:paraId="0DDA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1175" w:type="pct"/>
            <w:tcBorders>
              <w:bottom w:val="single" w:color="auto" w:sz="4" w:space="0"/>
            </w:tcBorders>
            <w:vAlign w:val="center"/>
          </w:tcPr>
          <w:p w14:paraId="5ADB939C">
            <w:pPr>
              <w:spacing w:line="240" w:lineRule="auto"/>
              <w:rPr>
                <w:bCs/>
                <w:color w:val="000000"/>
                <w:sz w:val="21"/>
              </w:rPr>
            </w:pPr>
            <w:r>
              <w:rPr>
                <w:bCs/>
                <w:color w:val="000000"/>
                <w:sz w:val="21"/>
              </w:rPr>
              <w:t>监测点</w:t>
            </w:r>
          </w:p>
        </w:tc>
        <w:tc>
          <w:tcPr>
            <w:tcW w:w="714" w:type="pct"/>
            <w:tcBorders>
              <w:bottom w:val="single" w:color="auto" w:sz="4" w:space="0"/>
            </w:tcBorders>
            <w:vAlign w:val="center"/>
          </w:tcPr>
          <w:p w14:paraId="1C5A5DD5">
            <w:pPr>
              <w:spacing w:line="240" w:lineRule="auto"/>
              <w:rPr>
                <w:bCs/>
                <w:color w:val="000000"/>
                <w:sz w:val="21"/>
              </w:rPr>
            </w:pPr>
            <w:r>
              <w:rPr>
                <w:color w:val="000000"/>
                <w:kern w:val="0"/>
                <w:sz w:val="18"/>
                <w:szCs w:val="18"/>
              </w:rPr>
              <w:t>与本项目位置关系</w:t>
            </w:r>
          </w:p>
        </w:tc>
        <w:tc>
          <w:tcPr>
            <w:tcW w:w="2388" w:type="pct"/>
            <w:tcBorders>
              <w:bottom w:val="single" w:color="auto" w:sz="4" w:space="0"/>
            </w:tcBorders>
            <w:vAlign w:val="center"/>
          </w:tcPr>
          <w:p w14:paraId="70C9DD6D">
            <w:pPr>
              <w:spacing w:line="240" w:lineRule="auto"/>
              <w:rPr>
                <w:bCs/>
                <w:color w:val="000000"/>
                <w:sz w:val="21"/>
              </w:rPr>
            </w:pPr>
            <w:r>
              <w:rPr>
                <w:bCs/>
                <w:color w:val="000000"/>
                <w:sz w:val="21"/>
              </w:rPr>
              <w:t>监测因子</w:t>
            </w:r>
          </w:p>
        </w:tc>
        <w:tc>
          <w:tcPr>
            <w:tcW w:w="360" w:type="pct"/>
            <w:tcBorders>
              <w:bottom w:val="single" w:color="auto" w:sz="4" w:space="0"/>
            </w:tcBorders>
            <w:vAlign w:val="center"/>
          </w:tcPr>
          <w:p w14:paraId="0604A602">
            <w:pPr>
              <w:spacing w:line="240" w:lineRule="auto"/>
              <w:rPr>
                <w:bCs/>
                <w:color w:val="000000"/>
                <w:sz w:val="21"/>
              </w:rPr>
            </w:pPr>
            <w:r>
              <w:rPr>
                <w:bCs/>
                <w:color w:val="000000"/>
                <w:sz w:val="21"/>
              </w:rPr>
              <w:t>监测频次</w:t>
            </w:r>
          </w:p>
        </w:tc>
        <w:tc>
          <w:tcPr>
            <w:tcW w:w="360" w:type="pct"/>
            <w:tcBorders>
              <w:bottom w:val="single" w:color="auto" w:sz="4" w:space="0"/>
            </w:tcBorders>
            <w:vAlign w:val="center"/>
          </w:tcPr>
          <w:p w14:paraId="0F7C730F">
            <w:pPr>
              <w:spacing w:line="240" w:lineRule="auto"/>
              <w:rPr>
                <w:bCs/>
                <w:color w:val="000000"/>
                <w:sz w:val="21"/>
              </w:rPr>
            </w:pPr>
            <w:r>
              <w:rPr>
                <w:bCs/>
                <w:color w:val="000000"/>
                <w:sz w:val="21"/>
              </w:rPr>
              <w:t>监测时间</w:t>
            </w:r>
          </w:p>
        </w:tc>
      </w:tr>
      <w:tr w14:paraId="7A2E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76" w:hRule="atLeast"/>
          <w:jc w:val="center"/>
        </w:trPr>
        <w:tc>
          <w:tcPr>
            <w:tcW w:w="1175" w:type="pct"/>
            <w:vAlign w:val="center"/>
          </w:tcPr>
          <w:p w14:paraId="2A869364">
            <w:pPr>
              <w:spacing w:line="240" w:lineRule="auto"/>
              <w:rPr>
                <w:color w:val="000000"/>
                <w:sz w:val="21"/>
              </w:rPr>
            </w:pPr>
            <w:r>
              <w:rPr>
                <w:color w:val="000000"/>
                <w:sz w:val="21"/>
              </w:rPr>
              <w:t>华峰化工厂区东南侧处监测井HS1</w:t>
            </w:r>
          </w:p>
        </w:tc>
        <w:tc>
          <w:tcPr>
            <w:tcW w:w="714" w:type="pct"/>
            <w:vAlign w:val="center"/>
          </w:tcPr>
          <w:p w14:paraId="1A16003A">
            <w:pPr>
              <w:spacing w:line="240" w:lineRule="auto"/>
              <w:rPr>
                <w:color w:val="000000"/>
                <w:sz w:val="21"/>
              </w:rPr>
            </w:pPr>
            <w:r>
              <w:rPr>
                <w:color w:val="000000"/>
                <w:sz w:val="21"/>
              </w:rPr>
              <w:t>项目场地东侧</w:t>
            </w:r>
          </w:p>
        </w:tc>
        <w:tc>
          <w:tcPr>
            <w:tcW w:w="2388" w:type="pct"/>
            <w:vMerge w:val="restart"/>
            <w:vAlign w:val="center"/>
          </w:tcPr>
          <w:p w14:paraId="53EEC067">
            <w:pPr>
              <w:spacing w:line="240" w:lineRule="auto"/>
              <w:rPr>
                <w:color w:val="000000"/>
                <w:sz w:val="21"/>
              </w:rPr>
            </w:pPr>
            <w:r>
              <w:rPr>
                <w:color w:val="000000"/>
                <w:sz w:val="21"/>
              </w:rPr>
              <w:t>pH、氨氮、硝酸盐(以N计)、亚硝酸盐(以N计)、挥发性酚类、氰化物、砷、汞、铬（六价）、总硬度、铅、氟化物、镉、铁、锰、铜、锌、镍、溶解性总固体、耗氧量、硫酸盐、氯化物、总大肠菌群、细菌总数、8大离子（Ca</w:t>
            </w:r>
            <w:r>
              <w:rPr>
                <w:color w:val="000000"/>
                <w:sz w:val="21"/>
                <w:vertAlign w:val="superscript"/>
              </w:rPr>
              <w:t>2+</w:t>
            </w:r>
            <w:r>
              <w:rPr>
                <w:color w:val="000000"/>
                <w:sz w:val="21"/>
              </w:rPr>
              <w:t>、Mg</w:t>
            </w:r>
            <w:r>
              <w:rPr>
                <w:color w:val="000000"/>
                <w:sz w:val="21"/>
                <w:vertAlign w:val="superscript"/>
              </w:rPr>
              <w:t>2+</w:t>
            </w:r>
            <w:r>
              <w:rPr>
                <w:color w:val="000000"/>
                <w:sz w:val="21"/>
              </w:rPr>
              <w:t>、Na</w:t>
            </w:r>
            <w:r>
              <w:rPr>
                <w:color w:val="000000"/>
                <w:sz w:val="21"/>
                <w:vertAlign w:val="superscript"/>
              </w:rPr>
              <w:t>+</w:t>
            </w:r>
            <w:r>
              <w:rPr>
                <w:color w:val="000000"/>
                <w:sz w:val="21"/>
              </w:rPr>
              <w:t>、K</w:t>
            </w:r>
            <w:r>
              <w:rPr>
                <w:color w:val="000000"/>
                <w:sz w:val="21"/>
                <w:vertAlign w:val="superscript"/>
              </w:rPr>
              <w:t>+</w:t>
            </w:r>
            <w:r>
              <w:rPr>
                <w:color w:val="000000"/>
                <w:sz w:val="21"/>
              </w:rPr>
              <w:t>、CO</w:t>
            </w:r>
            <w:r>
              <w:rPr>
                <w:color w:val="000000"/>
                <w:sz w:val="21"/>
                <w:vertAlign w:val="subscript"/>
              </w:rPr>
              <w:t>3</w:t>
            </w:r>
            <w:r>
              <w:rPr>
                <w:color w:val="000000"/>
                <w:sz w:val="21"/>
                <w:vertAlign w:val="superscript"/>
              </w:rPr>
              <w:t>2-</w:t>
            </w:r>
            <w:r>
              <w:rPr>
                <w:color w:val="000000"/>
                <w:sz w:val="21"/>
              </w:rPr>
              <w:t>、HCO</w:t>
            </w:r>
            <w:r>
              <w:rPr>
                <w:color w:val="000000"/>
                <w:sz w:val="21"/>
                <w:vertAlign w:val="superscript"/>
              </w:rPr>
              <w:t>3-</w:t>
            </w:r>
            <w:r>
              <w:rPr>
                <w:color w:val="000000"/>
                <w:sz w:val="21"/>
              </w:rPr>
              <w:t>、SO</w:t>
            </w:r>
            <w:r>
              <w:rPr>
                <w:color w:val="000000"/>
                <w:sz w:val="21"/>
                <w:vertAlign w:val="subscript"/>
              </w:rPr>
              <w:t>4</w:t>
            </w:r>
            <w:r>
              <w:rPr>
                <w:color w:val="000000"/>
                <w:sz w:val="21"/>
                <w:vertAlign w:val="superscript"/>
              </w:rPr>
              <w:t>2-</w:t>
            </w:r>
            <w:r>
              <w:rPr>
                <w:color w:val="000000"/>
                <w:sz w:val="21"/>
              </w:rPr>
              <w:t>和Cl</w:t>
            </w:r>
            <w:r>
              <w:rPr>
                <w:color w:val="000000"/>
                <w:sz w:val="21"/>
                <w:vertAlign w:val="superscript"/>
              </w:rPr>
              <w:t>-</w:t>
            </w:r>
            <w:r>
              <w:rPr>
                <w:color w:val="000000"/>
                <w:sz w:val="21"/>
              </w:rPr>
              <w:t>）</w:t>
            </w:r>
          </w:p>
        </w:tc>
        <w:tc>
          <w:tcPr>
            <w:tcW w:w="360" w:type="pct"/>
            <w:vMerge w:val="restart"/>
            <w:vAlign w:val="center"/>
          </w:tcPr>
          <w:p w14:paraId="13D4C776">
            <w:pPr>
              <w:spacing w:line="240" w:lineRule="auto"/>
              <w:rPr>
                <w:color w:val="000000"/>
                <w:sz w:val="21"/>
              </w:rPr>
            </w:pPr>
            <w:r>
              <w:rPr>
                <w:color w:val="000000"/>
                <w:sz w:val="21"/>
              </w:rPr>
              <w:t>采样1d，每天1次</w:t>
            </w:r>
          </w:p>
        </w:tc>
        <w:tc>
          <w:tcPr>
            <w:tcW w:w="360" w:type="pct"/>
            <w:vMerge w:val="restart"/>
            <w:vAlign w:val="center"/>
          </w:tcPr>
          <w:p w14:paraId="2ECA133F">
            <w:pPr>
              <w:spacing w:line="240" w:lineRule="auto"/>
              <w:rPr>
                <w:color w:val="000000"/>
                <w:sz w:val="21"/>
              </w:rPr>
            </w:pPr>
            <w:r>
              <w:rPr>
                <w:color w:val="000000"/>
                <w:sz w:val="21"/>
              </w:rPr>
              <w:t>2020年9月9日</w:t>
            </w:r>
          </w:p>
        </w:tc>
      </w:tr>
      <w:tr w14:paraId="0538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76" w:hRule="atLeast"/>
          <w:jc w:val="center"/>
        </w:trPr>
        <w:tc>
          <w:tcPr>
            <w:tcW w:w="1175" w:type="pct"/>
            <w:vAlign w:val="center"/>
          </w:tcPr>
          <w:p w14:paraId="77A59C08">
            <w:pPr>
              <w:spacing w:line="240" w:lineRule="auto"/>
              <w:rPr>
                <w:color w:val="000000"/>
                <w:sz w:val="21"/>
              </w:rPr>
            </w:pPr>
            <w:r>
              <w:rPr>
                <w:color w:val="000000"/>
                <w:sz w:val="21"/>
              </w:rPr>
              <w:t>规划区内东北侧山窝监测井HS2</w:t>
            </w:r>
          </w:p>
        </w:tc>
        <w:tc>
          <w:tcPr>
            <w:tcW w:w="714" w:type="pct"/>
            <w:vAlign w:val="center"/>
          </w:tcPr>
          <w:p w14:paraId="65501735">
            <w:pPr>
              <w:spacing w:line="240" w:lineRule="auto"/>
              <w:rPr>
                <w:color w:val="000000"/>
                <w:sz w:val="21"/>
              </w:rPr>
            </w:pPr>
            <w:r>
              <w:rPr>
                <w:color w:val="000000"/>
                <w:sz w:val="21"/>
              </w:rPr>
              <w:t>项目上游</w:t>
            </w:r>
          </w:p>
        </w:tc>
        <w:tc>
          <w:tcPr>
            <w:tcW w:w="2388" w:type="pct"/>
            <w:vMerge w:val="continue"/>
            <w:vAlign w:val="center"/>
          </w:tcPr>
          <w:p w14:paraId="1468310E">
            <w:pPr>
              <w:spacing w:line="240" w:lineRule="auto"/>
              <w:rPr>
                <w:color w:val="000000"/>
                <w:sz w:val="21"/>
              </w:rPr>
            </w:pPr>
          </w:p>
        </w:tc>
        <w:tc>
          <w:tcPr>
            <w:tcW w:w="360" w:type="pct"/>
            <w:vMerge w:val="continue"/>
            <w:vAlign w:val="center"/>
          </w:tcPr>
          <w:p w14:paraId="74CEF1A2">
            <w:pPr>
              <w:spacing w:line="300" w:lineRule="exact"/>
              <w:rPr>
                <w:color w:val="000000"/>
                <w:sz w:val="21"/>
              </w:rPr>
            </w:pPr>
          </w:p>
        </w:tc>
        <w:tc>
          <w:tcPr>
            <w:tcW w:w="360" w:type="pct"/>
            <w:vMerge w:val="continue"/>
            <w:vAlign w:val="center"/>
          </w:tcPr>
          <w:p w14:paraId="41B95D6F">
            <w:pPr>
              <w:spacing w:line="300" w:lineRule="exact"/>
              <w:rPr>
                <w:color w:val="000000"/>
                <w:sz w:val="21"/>
              </w:rPr>
            </w:pPr>
          </w:p>
        </w:tc>
      </w:tr>
      <w:tr w14:paraId="5FB9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76" w:hRule="atLeast"/>
          <w:jc w:val="center"/>
        </w:trPr>
        <w:tc>
          <w:tcPr>
            <w:tcW w:w="1175" w:type="pct"/>
            <w:vAlign w:val="center"/>
          </w:tcPr>
          <w:p w14:paraId="5C8BB726">
            <w:pPr>
              <w:spacing w:line="240" w:lineRule="auto"/>
              <w:rPr>
                <w:color w:val="000000"/>
                <w:sz w:val="21"/>
              </w:rPr>
            </w:pPr>
            <w:r>
              <w:rPr>
                <w:color w:val="000000"/>
                <w:sz w:val="21"/>
              </w:rPr>
              <w:t>规划区外西北监测井HS3</w:t>
            </w:r>
          </w:p>
        </w:tc>
        <w:tc>
          <w:tcPr>
            <w:tcW w:w="714" w:type="pct"/>
            <w:vAlign w:val="center"/>
          </w:tcPr>
          <w:p w14:paraId="5776E411">
            <w:pPr>
              <w:spacing w:line="240" w:lineRule="auto"/>
              <w:rPr>
                <w:color w:val="000000"/>
                <w:sz w:val="21"/>
              </w:rPr>
            </w:pPr>
            <w:r>
              <w:rPr>
                <w:color w:val="000000"/>
                <w:sz w:val="21"/>
              </w:rPr>
              <w:t>项目上游</w:t>
            </w:r>
          </w:p>
        </w:tc>
        <w:tc>
          <w:tcPr>
            <w:tcW w:w="2388" w:type="pct"/>
            <w:vMerge w:val="continue"/>
            <w:vAlign w:val="center"/>
          </w:tcPr>
          <w:p w14:paraId="16C977D7">
            <w:pPr>
              <w:spacing w:line="240" w:lineRule="auto"/>
              <w:rPr>
                <w:color w:val="000000"/>
                <w:sz w:val="21"/>
              </w:rPr>
            </w:pPr>
          </w:p>
        </w:tc>
        <w:tc>
          <w:tcPr>
            <w:tcW w:w="360" w:type="pct"/>
            <w:vMerge w:val="continue"/>
            <w:vAlign w:val="center"/>
          </w:tcPr>
          <w:p w14:paraId="7623A351">
            <w:pPr>
              <w:spacing w:line="240" w:lineRule="auto"/>
              <w:rPr>
                <w:color w:val="000000"/>
                <w:sz w:val="21"/>
              </w:rPr>
            </w:pPr>
          </w:p>
        </w:tc>
        <w:tc>
          <w:tcPr>
            <w:tcW w:w="360" w:type="pct"/>
            <w:vMerge w:val="continue"/>
            <w:vAlign w:val="center"/>
          </w:tcPr>
          <w:p w14:paraId="345AE850">
            <w:pPr>
              <w:spacing w:line="240" w:lineRule="auto"/>
              <w:rPr>
                <w:color w:val="000000"/>
                <w:sz w:val="21"/>
              </w:rPr>
            </w:pPr>
          </w:p>
        </w:tc>
      </w:tr>
      <w:tr w14:paraId="0890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76" w:hRule="atLeast"/>
          <w:jc w:val="center"/>
        </w:trPr>
        <w:tc>
          <w:tcPr>
            <w:tcW w:w="1175" w:type="pct"/>
            <w:vAlign w:val="center"/>
          </w:tcPr>
          <w:p w14:paraId="3A0A3C13">
            <w:pPr>
              <w:spacing w:line="300" w:lineRule="exact"/>
              <w:rPr>
                <w:color w:val="000000"/>
                <w:sz w:val="21"/>
              </w:rPr>
            </w:pPr>
            <w:r>
              <w:rPr>
                <w:color w:val="000000"/>
                <w:sz w:val="21"/>
              </w:rPr>
              <w:t>嘉惠厂区监测井FX1</w:t>
            </w:r>
          </w:p>
        </w:tc>
        <w:tc>
          <w:tcPr>
            <w:tcW w:w="714" w:type="pct"/>
            <w:vAlign w:val="center"/>
          </w:tcPr>
          <w:p w14:paraId="272471B6">
            <w:pPr>
              <w:spacing w:line="300" w:lineRule="exact"/>
              <w:rPr>
                <w:color w:val="000000"/>
                <w:sz w:val="21"/>
              </w:rPr>
            </w:pPr>
            <w:r>
              <w:rPr>
                <w:color w:val="000000"/>
                <w:sz w:val="21"/>
              </w:rPr>
              <w:t>项目下游</w:t>
            </w:r>
          </w:p>
        </w:tc>
        <w:tc>
          <w:tcPr>
            <w:tcW w:w="2388" w:type="pct"/>
            <w:vAlign w:val="center"/>
          </w:tcPr>
          <w:p w14:paraId="541DFD64">
            <w:pPr>
              <w:spacing w:line="300" w:lineRule="exact"/>
              <w:rPr>
                <w:color w:val="000000"/>
                <w:sz w:val="21"/>
              </w:rPr>
            </w:pPr>
            <w:r>
              <w:rPr>
                <w:color w:val="000000"/>
                <w:sz w:val="21"/>
              </w:rPr>
              <w:t>pH、总硬度、溶解性总固体、硫酸盐、氯化物、铁、锰、铜、锌、挥发性酚类、耗氧量（CODMn）、氨氮、亚硝酸盐氮、硝酸盐、氰化物、氟化物、汞、砷、镉、铬（六价）、铅、镍</w:t>
            </w:r>
          </w:p>
        </w:tc>
        <w:tc>
          <w:tcPr>
            <w:tcW w:w="360" w:type="pct"/>
            <w:vAlign w:val="center"/>
          </w:tcPr>
          <w:p w14:paraId="735BF36D">
            <w:pPr>
              <w:spacing w:line="300" w:lineRule="exact"/>
              <w:rPr>
                <w:color w:val="000000"/>
                <w:sz w:val="21"/>
              </w:rPr>
            </w:pPr>
            <w:r>
              <w:rPr>
                <w:color w:val="000000"/>
                <w:sz w:val="21"/>
              </w:rPr>
              <w:t>采样1d，每天1次</w:t>
            </w:r>
          </w:p>
        </w:tc>
        <w:tc>
          <w:tcPr>
            <w:tcW w:w="360" w:type="pct"/>
            <w:vMerge w:val="restart"/>
            <w:vAlign w:val="center"/>
          </w:tcPr>
          <w:p w14:paraId="44C8BBE9">
            <w:pPr>
              <w:spacing w:line="300" w:lineRule="exact"/>
              <w:rPr>
                <w:color w:val="000000"/>
                <w:sz w:val="21"/>
              </w:rPr>
            </w:pPr>
            <w:r>
              <w:rPr>
                <w:color w:val="000000"/>
                <w:sz w:val="21"/>
              </w:rPr>
              <w:t>2019年11月7日</w:t>
            </w:r>
          </w:p>
        </w:tc>
      </w:tr>
      <w:tr w14:paraId="4A3D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76" w:hRule="atLeast"/>
          <w:jc w:val="center"/>
        </w:trPr>
        <w:tc>
          <w:tcPr>
            <w:tcW w:w="1175" w:type="pct"/>
            <w:vAlign w:val="center"/>
          </w:tcPr>
          <w:p w14:paraId="2D0745B7">
            <w:pPr>
              <w:spacing w:line="300" w:lineRule="exact"/>
              <w:rPr>
                <w:color w:val="000000"/>
                <w:sz w:val="21"/>
              </w:rPr>
            </w:pPr>
            <w:r>
              <w:rPr>
                <w:color w:val="000000"/>
                <w:sz w:val="21"/>
              </w:rPr>
              <w:t>嘉惠厂区监测井FX2</w:t>
            </w:r>
          </w:p>
        </w:tc>
        <w:tc>
          <w:tcPr>
            <w:tcW w:w="714" w:type="pct"/>
            <w:vAlign w:val="center"/>
          </w:tcPr>
          <w:p w14:paraId="59B1076F">
            <w:pPr>
              <w:spacing w:line="300" w:lineRule="exact"/>
              <w:rPr>
                <w:color w:val="000000"/>
                <w:sz w:val="21"/>
              </w:rPr>
            </w:pPr>
            <w:r>
              <w:rPr>
                <w:color w:val="000000"/>
                <w:sz w:val="21"/>
              </w:rPr>
              <w:t>项目下游</w:t>
            </w:r>
          </w:p>
        </w:tc>
        <w:tc>
          <w:tcPr>
            <w:tcW w:w="2388" w:type="pct"/>
            <w:vAlign w:val="center"/>
          </w:tcPr>
          <w:p w14:paraId="1D3C5C0D">
            <w:pPr>
              <w:spacing w:line="300" w:lineRule="exact"/>
              <w:rPr>
                <w:color w:val="000000"/>
                <w:sz w:val="21"/>
              </w:rPr>
            </w:pPr>
            <w:r>
              <w:rPr>
                <w:color w:val="000000"/>
                <w:sz w:val="21"/>
              </w:rPr>
              <w:t>pH、总硬度、溶解性总固体、硫酸盐、氯化物、铁、锰、铜、锌、挥发性酚类、耗氧量（CODMn）、氨氮、亚硝酸盐氮、硝酸盐、氰化物、氟化物、汞、砷、镉、铬（六价）、铅、镍</w:t>
            </w:r>
          </w:p>
        </w:tc>
        <w:tc>
          <w:tcPr>
            <w:tcW w:w="360" w:type="pct"/>
            <w:vAlign w:val="center"/>
          </w:tcPr>
          <w:p w14:paraId="6D85567F">
            <w:pPr>
              <w:spacing w:line="300" w:lineRule="exact"/>
              <w:rPr>
                <w:color w:val="000000"/>
                <w:sz w:val="21"/>
              </w:rPr>
            </w:pPr>
            <w:r>
              <w:rPr>
                <w:color w:val="000000"/>
                <w:sz w:val="21"/>
              </w:rPr>
              <w:t>采样1d，每天1次</w:t>
            </w:r>
          </w:p>
        </w:tc>
        <w:tc>
          <w:tcPr>
            <w:tcW w:w="360" w:type="pct"/>
            <w:vMerge w:val="continue"/>
            <w:vAlign w:val="center"/>
          </w:tcPr>
          <w:p w14:paraId="35F87B5F">
            <w:pPr>
              <w:spacing w:line="300" w:lineRule="exact"/>
              <w:rPr>
                <w:color w:val="000000"/>
                <w:sz w:val="21"/>
              </w:rPr>
            </w:pPr>
          </w:p>
        </w:tc>
      </w:tr>
    </w:tbl>
    <w:p w14:paraId="1BD8A460">
      <w:pPr>
        <w:tabs>
          <w:tab w:val="left" w:pos="993"/>
        </w:tabs>
        <w:ind w:firstLine="480"/>
        <w:rPr>
          <w:snapToGrid w:val="0"/>
          <w:color w:val="000000"/>
        </w:rPr>
      </w:pPr>
      <w:r>
        <w:rPr>
          <w:color w:val="000000"/>
        </w:rPr>
        <w:t>（2）</w:t>
      </w:r>
      <w:r>
        <w:rPr>
          <w:snapToGrid w:val="0"/>
          <w:color w:val="000000"/>
        </w:rPr>
        <w:t>评价方法</w:t>
      </w:r>
    </w:p>
    <w:p w14:paraId="3E731421">
      <w:pPr>
        <w:tabs>
          <w:tab w:val="left" w:pos="993"/>
        </w:tabs>
        <w:ind w:firstLine="480"/>
        <w:rPr>
          <w:color w:val="000000"/>
        </w:rPr>
      </w:pPr>
      <w:r>
        <w:rPr>
          <w:snapToGrid w:val="0"/>
          <w:color w:val="000000"/>
        </w:rPr>
        <w:t>地下水水质现状评价采用单项标准指数法。</w:t>
      </w:r>
    </w:p>
    <w:p w14:paraId="3AB75721">
      <w:pPr>
        <w:tabs>
          <w:tab w:val="left" w:pos="993"/>
        </w:tabs>
        <w:ind w:firstLine="480"/>
        <w:rPr>
          <w:snapToGrid w:val="0"/>
          <w:color w:val="000000"/>
        </w:rPr>
      </w:pPr>
      <w:r>
        <w:rPr>
          <w:snapToGrid w:val="0"/>
          <w:color w:val="000000"/>
        </w:rPr>
        <w:t>（3）监测结果及评价</w:t>
      </w:r>
    </w:p>
    <w:p w14:paraId="2B7D6460">
      <w:pPr>
        <w:tabs>
          <w:tab w:val="left" w:pos="993"/>
        </w:tabs>
        <w:ind w:firstLine="482"/>
        <w:rPr>
          <w:snapToGrid w:val="0"/>
          <w:color w:val="000000"/>
        </w:rPr>
      </w:pPr>
      <w:r>
        <w:rPr>
          <w:snapToGrid w:val="0"/>
          <w:color w:val="000000"/>
        </w:rPr>
        <w:t>地下水现状监测值及标准指数统计结果见表4.3.3-2。</w:t>
      </w:r>
    </w:p>
    <w:p w14:paraId="3C0EF1EE">
      <w:pPr>
        <w:rPr>
          <w:color w:val="000000"/>
        </w:rPr>
      </w:pPr>
    </w:p>
    <w:p w14:paraId="38F69729">
      <w:pPr>
        <w:rPr>
          <w:color w:val="000000"/>
        </w:rPr>
      </w:pPr>
    </w:p>
    <w:p w14:paraId="5FBE9222">
      <w:pPr>
        <w:rPr>
          <w:color w:val="000000"/>
        </w:rPr>
        <w:sectPr>
          <w:pgSz w:w="11906" w:h="16838"/>
          <w:pgMar w:top="1440" w:right="1531" w:bottom="1440" w:left="1531" w:header="851" w:footer="992" w:gutter="0"/>
          <w:cols w:space="720" w:num="1"/>
          <w:docGrid w:type="lines" w:linePitch="312" w:charSpace="0"/>
        </w:sectPr>
      </w:pPr>
    </w:p>
    <w:p w14:paraId="28656285">
      <w:pPr>
        <w:jc w:val="center"/>
        <w:rPr>
          <w:color w:val="000000"/>
          <w:sz w:val="21"/>
          <w:lang w:val="zh-CN"/>
        </w:rPr>
      </w:pPr>
      <w:r>
        <w:rPr>
          <w:color w:val="000000"/>
          <w:sz w:val="21"/>
          <w:lang w:val="zh-CN"/>
        </w:rPr>
        <w:t>表</w:t>
      </w:r>
      <w:r>
        <w:rPr>
          <w:color w:val="000000"/>
          <w:sz w:val="21"/>
        </w:rPr>
        <w:t>4</w:t>
      </w:r>
      <w:r>
        <w:rPr>
          <w:color w:val="000000"/>
          <w:sz w:val="21"/>
          <w:lang w:val="zh-CN"/>
        </w:rPr>
        <w:t>.3.3-2-</w:t>
      </w:r>
      <w:r>
        <w:rPr>
          <w:color w:val="000000"/>
          <w:sz w:val="21"/>
        </w:rPr>
        <w:t>1</w:t>
      </w:r>
      <w:r>
        <w:rPr>
          <w:color w:val="000000"/>
          <w:sz w:val="21"/>
          <w:lang w:val="zh-CN"/>
        </w:rPr>
        <w:t xml:space="preserve">   地下水八大离子监测结果表   单位：mg/L</w:t>
      </w:r>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1192"/>
        <w:gridCol w:w="1472"/>
        <w:gridCol w:w="1538"/>
        <w:gridCol w:w="1538"/>
        <w:gridCol w:w="1495"/>
        <w:gridCol w:w="1685"/>
        <w:gridCol w:w="1436"/>
        <w:gridCol w:w="1430"/>
        <w:gridCol w:w="1427"/>
      </w:tblGrid>
      <w:tr w14:paraId="6AED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759" w:type="pct"/>
            <w:gridSpan w:val="2"/>
            <w:tcBorders>
              <w:tl2br w:val="single" w:color="auto" w:sz="4" w:space="0"/>
            </w:tcBorders>
            <w:vAlign w:val="center"/>
          </w:tcPr>
          <w:p w14:paraId="171DA3F0">
            <w:pPr>
              <w:spacing w:line="240" w:lineRule="exact"/>
              <w:jc w:val="right"/>
              <w:rPr>
                <w:bCs/>
                <w:color w:val="000000"/>
                <w:sz w:val="21"/>
              </w:rPr>
            </w:pPr>
            <w:r>
              <w:rPr>
                <w:bCs/>
                <w:color w:val="000000"/>
                <w:sz w:val="21"/>
              </w:rPr>
              <w:t>指标</w:t>
            </w:r>
          </w:p>
          <w:p w14:paraId="1CF43852">
            <w:pPr>
              <w:spacing w:line="240" w:lineRule="exact"/>
              <w:rPr>
                <w:bCs/>
                <w:color w:val="000000"/>
                <w:sz w:val="21"/>
              </w:rPr>
            </w:pPr>
            <w:r>
              <w:rPr>
                <w:bCs/>
                <w:color w:val="000000"/>
                <w:sz w:val="21"/>
              </w:rPr>
              <w:t>监测点位</w:t>
            </w:r>
          </w:p>
        </w:tc>
        <w:tc>
          <w:tcPr>
            <w:tcW w:w="519" w:type="pct"/>
            <w:vAlign w:val="center"/>
          </w:tcPr>
          <w:p w14:paraId="7BD9288E">
            <w:pPr>
              <w:spacing w:line="240" w:lineRule="exact"/>
              <w:jc w:val="center"/>
              <w:rPr>
                <w:bCs/>
                <w:color w:val="000000"/>
                <w:sz w:val="21"/>
              </w:rPr>
            </w:pPr>
            <w:r>
              <w:rPr>
                <w:bCs/>
                <w:color w:val="000000"/>
                <w:sz w:val="21"/>
              </w:rPr>
              <w:t>Ca</w:t>
            </w:r>
            <w:r>
              <w:rPr>
                <w:bCs/>
                <w:color w:val="000000"/>
                <w:sz w:val="21"/>
                <w:vertAlign w:val="superscript"/>
              </w:rPr>
              <w:t>2+</w:t>
            </w:r>
          </w:p>
        </w:tc>
        <w:tc>
          <w:tcPr>
            <w:tcW w:w="542" w:type="pct"/>
            <w:vAlign w:val="center"/>
          </w:tcPr>
          <w:p w14:paraId="2CFB0521">
            <w:pPr>
              <w:spacing w:line="240" w:lineRule="exact"/>
              <w:jc w:val="center"/>
              <w:rPr>
                <w:bCs/>
                <w:color w:val="000000"/>
                <w:sz w:val="21"/>
              </w:rPr>
            </w:pPr>
            <w:r>
              <w:rPr>
                <w:bCs/>
                <w:color w:val="000000"/>
                <w:sz w:val="21"/>
              </w:rPr>
              <w:t>Mg</w:t>
            </w:r>
            <w:r>
              <w:rPr>
                <w:bCs/>
                <w:color w:val="000000"/>
                <w:sz w:val="21"/>
                <w:vertAlign w:val="superscript"/>
              </w:rPr>
              <w:t>2+</w:t>
            </w:r>
          </w:p>
        </w:tc>
        <w:tc>
          <w:tcPr>
            <w:tcW w:w="542" w:type="pct"/>
            <w:vAlign w:val="center"/>
          </w:tcPr>
          <w:p w14:paraId="7E6D4608">
            <w:pPr>
              <w:spacing w:line="240" w:lineRule="exact"/>
              <w:jc w:val="center"/>
              <w:rPr>
                <w:bCs/>
                <w:color w:val="000000"/>
                <w:sz w:val="21"/>
              </w:rPr>
            </w:pPr>
            <w:r>
              <w:rPr>
                <w:bCs/>
                <w:color w:val="000000"/>
                <w:sz w:val="21"/>
              </w:rPr>
              <w:t>Na</w:t>
            </w:r>
            <w:r>
              <w:rPr>
                <w:bCs/>
                <w:color w:val="000000"/>
                <w:sz w:val="21"/>
                <w:vertAlign w:val="superscript"/>
              </w:rPr>
              <w:t>+</w:t>
            </w:r>
          </w:p>
        </w:tc>
        <w:tc>
          <w:tcPr>
            <w:tcW w:w="527" w:type="pct"/>
            <w:vAlign w:val="center"/>
          </w:tcPr>
          <w:p w14:paraId="7C05871A">
            <w:pPr>
              <w:spacing w:line="240" w:lineRule="exact"/>
              <w:jc w:val="center"/>
              <w:rPr>
                <w:bCs/>
                <w:color w:val="000000"/>
                <w:sz w:val="21"/>
              </w:rPr>
            </w:pPr>
            <w:r>
              <w:rPr>
                <w:bCs/>
                <w:color w:val="000000"/>
                <w:sz w:val="21"/>
              </w:rPr>
              <w:t>K</w:t>
            </w:r>
            <w:r>
              <w:rPr>
                <w:bCs/>
                <w:color w:val="000000"/>
                <w:sz w:val="21"/>
                <w:vertAlign w:val="superscript"/>
              </w:rPr>
              <w:t>+</w:t>
            </w:r>
          </w:p>
        </w:tc>
        <w:tc>
          <w:tcPr>
            <w:tcW w:w="594" w:type="pct"/>
            <w:vAlign w:val="center"/>
          </w:tcPr>
          <w:p w14:paraId="7AED0062">
            <w:pPr>
              <w:spacing w:line="240" w:lineRule="exact"/>
              <w:jc w:val="center"/>
              <w:rPr>
                <w:bCs/>
                <w:color w:val="000000"/>
                <w:sz w:val="21"/>
              </w:rPr>
            </w:pPr>
            <w:r>
              <w:rPr>
                <w:bCs/>
                <w:color w:val="000000"/>
                <w:sz w:val="21"/>
              </w:rPr>
              <w:t>CO</w:t>
            </w:r>
            <w:r>
              <w:rPr>
                <w:bCs/>
                <w:color w:val="000000"/>
                <w:sz w:val="21"/>
                <w:vertAlign w:val="subscript"/>
              </w:rPr>
              <w:t>3</w:t>
            </w:r>
            <w:r>
              <w:rPr>
                <w:bCs/>
                <w:color w:val="000000"/>
                <w:sz w:val="21"/>
                <w:vertAlign w:val="superscript"/>
              </w:rPr>
              <w:t>2-</w:t>
            </w:r>
          </w:p>
        </w:tc>
        <w:tc>
          <w:tcPr>
            <w:tcW w:w="506" w:type="pct"/>
            <w:vAlign w:val="center"/>
          </w:tcPr>
          <w:p w14:paraId="3C49F04C">
            <w:pPr>
              <w:spacing w:line="240" w:lineRule="exact"/>
              <w:jc w:val="center"/>
              <w:rPr>
                <w:bCs/>
                <w:color w:val="000000"/>
                <w:sz w:val="21"/>
              </w:rPr>
            </w:pPr>
            <w:r>
              <w:rPr>
                <w:bCs/>
                <w:color w:val="000000"/>
                <w:sz w:val="21"/>
              </w:rPr>
              <w:t>HCO</w:t>
            </w:r>
            <w:r>
              <w:rPr>
                <w:bCs/>
                <w:color w:val="000000"/>
                <w:sz w:val="21"/>
                <w:vertAlign w:val="subscript"/>
              </w:rPr>
              <w:t>3</w:t>
            </w:r>
            <w:r>
              <w:rPr>
                <w:bCs/>
                <w:color w:val="000000"/>
                <w:sz w:val="21"/>
                <w:vertAlign w:val="superscript"/>
              </w:rPr>
              <w:t>-</w:t>
            </w:r>
          </w:p>
        </w:tc>
        <w:tc>
          <w:tcPr>
            <w:tcW w:w="504" w:type="pct"/>
            <w:vAlign w:val="center"/>
          </w:tcPr>
          <w:p w14:paraId="5A95A0AE">
            <w:pPr>
              <w:spacing w:line="240" w:lineRule="exact"/>
              <w:jc w:val="center"/>
              <w:rPr>
                <w:bCs/>
                <w:color w:val="000000"/>
                <w:sz w:val="21"/>
              </w:rPr>
            </w:pPr>
            <w:r>
              <w:rPr>
                <w:bCs/>
                <w:color w:val="000000"/>
                <w:kern w:val="0"/>
                <w:sz w:val="21"/>
              </w:rPr>
              <w:t>Cl</w:t>
            </w:r>
            <w:r>
              <w:rPr>
                <w:bCs/>
                <w:color w:val="000000"/>
                <w:kern w:val="0"/>
                <w:sz w:val="21"/>
                <w:vertAlign w:val="superscript"/>
              </w:rPr>
              <w:t>-</w:t>
            </w:r>
          </w:p>
        </w:tc>
        <w:tc>
          <w:tcPr>
            <w:tcW w:w="503" w:type="pct"/>
            <w:vAlign w:val="center"/>
          </w:tcPr>
          <w:p w14:paraId="56A75393">
            <w:pPr>
              <w:spacing w:line="240" w:lineRule="exact"/>
              <w:jc w:val="center"/>
              <w:rPr>
                <w:bCs/>
                <w:color w:val="000000"/>
                <w:sz w:val="21"/>
              </w:rPr>
            </w:pPr>
            <w:r>
              <w:rPr>
                <w:bCs/>
                <w:color w:val="000000"/>
                <w:sz w:val="21"/>
              </w:rPr>
              <w:t>SO</w:t>
            </w:r>
            <w:r>
              <w:rPr>
                <w:bCs/>
                <w:color w:val="000000"/>
                <w:sz w:val="21"/>
                <w:vertAlign w:val="subscript"/>
              </w:rPr>
              <w:t>4</w:t>
            </w:r>
            <w:r>
              <w:rPr>
                <w:bCs/>
                <w:color w:val="000000"/>
                <w:sz w:val="21"/>
                <w:vertAlign w:val="superscript"/>
              </w:rPr>
              <w:t>2-</w:t>
            </w:r>
          </w:p>
        </w:tc>
      </w:tr>
      <w:tr w14:paraId="4F97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339" w:type="pct"/>
            <w:vMerge w:val="restart"/>
            <w:vAlign w:val="center"/>
          </w:tcPr>
          <w:p w14:paraId="55B0DD74">
            <w:pPr>
              <w:spacing w:line="240" w:lineRule="exact"/>
              <w:jc w:val="center"/>
              <w:rPr>
                <w:color w:val="000000"/>
                <w:sz w:val="21"/>
              </w:rPr>
            </w:pPr>
            <w:r>
              <w:rPr>
                <w:color w:val="000000"/>
                <w:sz w:val="21"/>
              </w:rPr>
              <w:t>监测值</w:t>
            </w:r>
          </w:p>
        </w:tc>
        <w:tc>
          <w:tcPr>
            <w:tcW w:w="420" w:type="pct"/>
            <w:vAlign w:val="center"/>
          </w:tcPr>
          <w:p w14:paraId="05244C15">
            <w:pPr>
              <w:spacing w:line="240" w:lineRule="exact"/>
              <w:jc w:val="center"/>
              <w:rPr>
                <w:color w:val="000000"/>
                <w:sz w:val="21"/>
              </w:rPr>
            </w:pPr>
            <w:r>
              <w:rPr>
                <w:color w:val="000000"/>
                <w:sz w:val="21"/>
              </w:rPr>
              <w:t>HS1</w:t>
            </w:r>
          </w:p>
        </w:tc>
        <w:tc>
          <w:tcPr>
            <w:tcW w:w="519" w:type="pct"/>
            <w:vAlign w:val="center"/>
          </w:tcPr>
          <w:p w14:paraId="0BD72AE5">
            <w:pPr>
              <w:spacing w:line="240" w:lineRule="exact"/>
              <w:jc w:val="center"/>
              <w:rPr>
                <w:color w:val="000000"/>
                <w:sz w:val="21"/>
              </w:rPr>
            </w:pPr>
            <w:r>
              <w:rPr>
                <w:color w:val="000000"/>
                <w:sz w:val="21"/>
              </w:rPr>
              <w:t>131</w:t>
            </w:r>
          </w:p>
        </w:tc>
        <w:tc>
          <w:tcPr>
            <w:tcW w:w="542" w:type="pct"/>
            <w:vAlign w:val="center"/>
          </w:tcPr>
          <w:p w14:paraId="1D3BBC6E">
            <w:pPr>
              <w:spacing w:line="240" w:lineRule="exact"/>
              <w:jc w:val="center"/>
              <w:rPr>
                <w:color w:val="000000"/>
                <w:sz w:val="21"/>
              </w:rPr>
            </w:pPr>
            <w:r>
              <w:rPr>
                <w:color w:val="000000"/>
                <w:sz w:val="21"/>
              </w:rPr>
              <w:t>12.1</w:t>
            </w:r>
          </w:p>
        </w:tc>
        <w:tc>
          <w:tcPr>
            <w:tcW w:w="542" w:type="pct"/>
            <w:vAlign w:val="center"/>
          </w:tcPr>
          <w:p w14:paraId="159C3936">
            <w:pPr>
              <w:spacing w:line="240" w:lineRule="exact"/>
              <w:jc w:val="center"/>
              <w:rPr>
                <w:color w:val="000000"/>
                <w:sz w:val="21"/>
              </w:rPr>
            </w:pPr>
            <w:r>
              <w:rPr>
                <w:color w:val="000000"/>
                <w:sz w:val="21"/>
              </w:rPr>
              <w:t>3.34</w:t>
            </w:r>
          </w:p>
        </w:tc>
        <w:tc>
          <w:tcPr>
            <w:tcW w:w="527" w:type="pct"/>
            <w:vAlign w:val="center"/>
          </w:tcPr>
          <w:p w14:paraId="5E5404B7">
            <w:pPr>
              <w:spacing w:line="240" w:lineRule="exact"/>
              <w:jc w:val="center"/>
              <w:rPr>
                <w:color w:val="000000"/>
                <w:sz w:val="21"/>
              </w:rPr>
            </w:pPr>
            <w:r>
              <w:rPr>
                <w:color w:val="000000"/>
                <w:sz w:val="21"/>
              </w:rPr>
              <w:t>6.47</w:t>
            </w:r>
          </w:p>
        </w:tc>
        <w:tc>
          <w:tcPr>
            <w:tcW w:w="594" w:type="pct"/>
            <w:vAlign w:val="center"/>
          </w:tcPr>
          <w:p w14:paraId="624E5F60">
            <w:pPr>
              <w:spacing w:line="240" w:lineRule="exact"/>
              <w:jc w:val="center"/>
              <w:rPr>
                <w:color w:val="000000"/>
                <w:sz w:val="21"/>
              </w:rPr>
            </w:pPr>
            <w:r>
              <w:rPr>
                <w:color w:val="000000"/>
                <w:sz w:val="21"/>
              </w:rPr>
              <w:t>未检出</w:t>
            </w:r>
          </w:p>
        </w:tc>
        <w:tc>
          <w:tcPr>
            <w:tcW w:w="506" w:type="pct"/>
            <w:vAlign w:val="center"/>
          </w:tcPr>
          <w:p w14:paraId="6BCBFA5D">
            <w:pPr>
              <w:spacing w:line="240" w:lineRule="exact"/>
              <w:jc w:val="center"/>
              <w:rPr>
                <w:color w:val="000000"/>
                <w:sz w:val="21"/>
              </w:rPr>
            </w:pPr>
            <w:r>
              <w:rPr>
                <w:color w:val="000000"/>
                <w:sz w:val="21"/>
              </w:rPr>
              <w:t>264</w:t>
            </w:r>
          </w:p>
        </w:tc>
        <w:tc>
          <w:tcPr>
            <w:tcW w:w="504" w:type="pct"/>
            <w:vAlign w:val="center"/>
          </w:tcPr>
          <w:p w14:paraId="6EAAC013">
            <w:pPr>
              <w:spacing w:line="240" w:lineRule="exact"/>
              <w:jc w:val="center"/>
              <w:rPr>
                <w:color w:val="000000"/>
                <w:sz w:val="21"/>
              </w:rPr>
            </w:pPr>
            <w:r>
              <w:rPr>
                <w:color w:val="000000"/>
                <w:sz w:val="21"/>
              </w:rPr>
              <w:t>38</w:t>
            </w:r>
          </w:p>
        </w:tc>
        <w:tc>
          <w:tcPr>
            <w:tcW w:w="503" w:type="pct"/>
            <w:vAlign w:val="center"/>
          </w:tcPr>
          <w:p w14:paraId="59FE019B">
            <w:pPr>
              <w:spacing w:line="240" w:lineRule="exact"/>
              <w:jc w:val="center"/>
              <w:rPr>
                <w:color w:val="000000"/>
                <w:sz w:val="21"/>
              </w:rPr>
            </w:pPr>
            <w:r>
              <w:rPr>
                <w:color w:val="000000"/>
                <w:sz w:val="21"/>
              </w:rPr>
              <w:t>67</w:t>
            </w:r>
          </w:p>
        </w:tc>
      </w:tr>
      <w:tr w14:paraId="3C88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339" w:type="pct"/>
            <w:vMerge w:val="continue"/>
            <w:vAlign w:val="center"/>
          </w:tcPr>
          <w:p w14:paraId="29F3AD12">
            <w:pPr>
              <w:spacing w:line="240" w:lineRule="exact"/>
              <w:jc w:val="center"/>
              <w:rPr>
                <w:color w:val="000000"/>
                <w:sz w:val="21"/>
              </w:rPr>
            </w:pPr>
          </w:p>
        </w:tc>
        <w:tc>
          <w:tcPr>
            <w:tcW w:w="420" w:type="pct"/>
            <w:vAlign w:val="center"/>
          </w:tcPr>
          <w:p w14:paraId="3597FAA6">
            <w:pPr>
              <w:spacing w:line="240" w:lineRule="exact"/>
              <w:jc w:val="center"/>
              <w:rPr>
                <w:color w:val="000000"/>
                <w:sz w:val="21"/>
              </w:rPr>
            </w:pPr>
            <w:r>
              <w:rPr>
                <w:color w:val="000000"/>
                <w:sz w:val="21"/>
              </w:rPr>
              <w:t>HS2</w:t>
            </w:r>
          </w:p>
        </w:tc>
        <w:tc>
          <w:tcPr>
            <w:tcW w:w="519" w:type="pct"/>
            <w:vAlign w:val="center"/>
          </w:tcPr>
          <w:p w14:paraId="00BDA387">
            <w:pPr>
              <w:spacing w:line="240" w:lineRule="exact"/>
              <w:jc w:val="center"/>
              <w:rPr>
                <w:color w:val="000000"/>
                <w:sz w:val="21"/>
              </w:rPr>
            </w:pPr>
            <w:r>
              <w:rPr>
                <w:color w:val="000000"/>
                <w:sz w:val="21"/>
              </w:rPr>
              <w:t>124</w:t>
            </w:r>
          </w:p>
        </w:tc>
        <w:tc>
          <w:tcPr>
            <w:tcW w:w="542" w:type="pct"/>
            <w:vAlign w:val="center"/>
          </w:tcPr>
          <w:p w14:paraId="54CB1B6D">
            <w:pPr>
              <w:spacing w:line="240" w:lineRule="exact"/>
              <w:jc w:val="center"/>
              <w:rPr>
                <w:color w:val="000000"/>
                <w:sz w:val="21"/>
              </w:rPr>
            </w:pPr>
            <w:r>
              <w:rPr>
                <w:color w:val="000000"/>
                <w:sz w:val="21"/>
              </w:rPr>
              <w:t>11.9</w:t>
            </w:r>
          </w:p>
        </w:tc>
        <w:tc>
          <w:tcPr>
            <w:tcW w:w="542" w:type="pct"/>
            <w:vAlign w:val="center"/>
          </w:tcPr>
          <w:p w14:paraId="1CE1A25A">
            <w:pPr>
              <w:spacing w:line="240" w:lineRule="exact"/>
              <w:jc w:val="center"/>
              <w:rPr>
                <w:color w:val="000000"/>
                <w:sz w:val="21"/>
              </w:rPr>
            </w:pPr>
            <w:r>
              <w:rPr>
                <w:color w:val="000000"/>
                <w:sz w:val="21"/>
              </w:rPr>
              <w:t>2.94</w:t>
            </w:r>
          </w:p>
        </w:tc>
        <w:tc>
          <w:tcPr>
            <w:tcW w:w="527" w:type="pct"/>
            <w:vAlign w:val="center"/>
          </w:tcPr>
          <w:p w14:paraId="41C010FA">
            <w:pPr>
              <w:spacing w:line="240" w:lineRule="exact"/>
              <w:jc w:val="center"/>
              <w:rPr>
                <w:color w:val="000000"/>
                <w:sz w:val="21"/>
              </w:rPr>
            </w:pPr>
            <w:r>
              <w:rPr>
                <w:color w:val="000000"/>
                <w:sz w:val="21"/>
              </w:rPr>
              <w:t>5.71</w:t>
            </w:r>
          </w:p>
        </w:tc>
        <w:tc>
          <w:tcPr>
            <w:tcW w:w="594" w:type="pct"/>
            <w:vAlign w:val="center"/>
          </w:tcPr>
          <w:p w14:paraId="62D692D5">
            <w:pPr>
              <w:spacing w:line="240" w:lineRule="exact"/>
              <w:jc w:val="center"/>
              <w:rPr>
                <w:color w:val="000000"/>
                <w:sz w:val="21"/>
              </w:rPr>
            </w:pPr>
            <w:r>
              <w:rPr>
                <w:color w:val="000000"/>
                <w:sz w:val="21"/>
              </w:rPr>
              <w:t>未检出</w:t>
            </w:r>
          </w:p>
        </w:tc>
        <w:tc>
          <w:tcPr>
            <w:tcW w:w="506" w:type="pct"/>
            <w:vAlign w:val="center"/>
          </w:tcPr>
          <w:p w14:paraId="484B569E">
            <w:pPr>
              <w:spacing w:line="240" w:lineRule="exact"/>
              <w:jc w:val="center"/>
              <w:rPr>
                <w:color w:val="000000"/>
                <w:sz w:val="21"/>
              </w:rPr>
            </w:pPr>
            <w:r>
              <w:rPr>
                <w:color w:val="000000"/>
                <w:sz w:val="21"/>
              </w:rPr>
              <w:t>238</w:t>
            </w:r>
          </w:p>
        </w:tc>
        <w:tc>
          <w:tcPr>
            <w:tcW w:w="504" w:type="pct"/>
            <w:vAlign w:val="center"/>
          </w:tcPr>
          <w:p w14:paraId="7832E6E5">
            <w:pPr>
              <w:spacing w:line="240" w:lineRule="exact"/>
              <w:jc w:val="center"/>
              <w:textAlignment w:val="center"/>
              <w:rPr>
                <w:color w:val="000000"/>
                <w:kern w:val="0"/>
                <w:sz w:val="21"/>
              </w:rPr>
            </w:pPr>
            <w:r>
              <w:rPr>
                <w:color w:val="000000"/>
                <w:kern w:val="0"/>
                <w:sz w:val="21"/>
              </w:rPr>
              <w:t>35</w:t>
            </w:r>
          </w:p>
        </w:tc>
        <w:tc>
          <w:tcPr>
            <w:tcW w:w="503" w:type="pct"/>
            <w:vAlign w:val="center"/>
          </w:tcPr>
          <w:p w14:paraId="02EC817F">
            <w:pPr>
              <w:spacing w:line="240" w:lineRule="exact"/>
              <w:jc w:val="center"/>
              <w:textAlignment w:val="center"/>
              <w:rPr>
                <w:color w:val="000000"/>
                <w:sz w:val="21"/>
              </w:rPr>
            </w:pPr>
            <w:r>
              <w:rPr>
                <w:color w:val="000000"/>
                <w:sz w:val="21"/>
              </w:rPr>
              <w:t>70</w:t>
            </w:r>
          </w:p>
        </w:tc>
      </w:tr>
      <w:tr w14:paraId="04B8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339" w:type="pct"/>
            <w:vMerge w:val="continue"/>
            <w:vAlign w:val="center"/>
          </w:tcPr>
          <w:p w14:paraId="4320306A">
            <w:pPr>
              <w:spacing w:line="240" w:lineRule="exact"/>
              <w:jc w:val="center"/>
              <w:rPr>
                <w:color w:val="000000"/>
                <w:sz w:val="21"/>
              </w:rPr>
            </w:pPr>
          </w:p>
        </w:tc>
        <w:tc>
          <w:tcPr>
            <w:tcW w:w="420" w:type="pct"/>
            <w:vAlign w:val="center"/>
          </w:tcPr>
          <w:p w14:paraId="0C9CB03D">
            <w:pPr>
              <w:spacing w:line="240" w:lineRule="exact"/>
              <w:jc w:val="center"/>
              <w:rPr>
                <w:color w:val="000000"/>
                <w:sz w:val="21"/>
              </w:rPr>
            </w:pPr>
            <w:r>
              <w:rPr>
                <w:color w:val="000000"/>
                <w:sz w:val="21"/>
              </w:rPr>
              <w:t>HS3</w:t>
            </w:r>
          </w:p>
        </w:tc>
        <w:tc>
          <w:tcPr>
            <w:tcW w:w="519" w:type="pct"/>
            <w:vAlign w:val="center"/>
          </w:tcPr>
          <w:p w14:paraId="36AD9089">
            <w:pPr>
              <w:spacing w:line="240" w:lineRule="exact"/>
              <w:jc w:val="center"/>
              <w:rPr>
                <w:color w:val="000000"/>
                <w:sz w:val="21"/>
              </w:rPr>
            </w:pPr>
            <w:r>
              <w:rPr>
                <w:color w:val="000000"/>
                <w:sz w:val="21"/>
              </w:rPr>
              <w:t>112</w:t>
            </w:r>
          </w:p>
        </w:tc>
        <w:tc>
          <w:tcPr>
            <w:tcW w:w="542" w:type="pct"/>
            <w:vAlign w:val="center"/>
          </w:tcPr>
          <w:p w14:paraId="73C87C79">
            <w:pPr>
              <w:spacing w:line="240" w:lineRule="exact"/>
              <w:jc w:val="center"/>
              <w:rPr>
                <w:color w:val="000000"/>
                <w:sz w:val="21"/>
              </w:rPr>
            </w:pPr>
            <w:r>
              <w:rPr>
                <w:color w:val="000000"/>
                <w:sz w:val="21"/>
              </w:rPr>
              <w:t>11.4</w:t>
            </w:r>
          </w:p>
        </w:tc>
        <w:tc>
          <w:tcPr>
            <w:tcW w:w="542" w:type="pct"/>
            <w:vAlign w:val="center"/>
          </w:tcPr>
          <w:p w14:paraId="495A1B17">
            <w:pPr>
              <w:spacing w:line="240" w:lineRule="exact"/>
              <w:jc w:val="center"/>
              <w:rPr>
                <w:color w:val="000000"/>
                <w:sz w:val="21"/>
              </w:rPr>
            </w:pPr>
            <w:r>
              <w:rPr>
                <w:color w:val="000000"/>
                <w:sz w:val="21"/>
              </w:rPr>
              <w:t>2.68</w:t>
            </w:r>
          </w:p>
        </w:tc>
        <w:tc>
          <w:tcPr>
            <w:tcW w:w="527" w:type="pct"/>
            <w:vAlign w:val="center"/>
          </w:tcPr>
          <w:p w14:paraId="70909811">
            <w:pPr>
              <w:spacing w:line="240" w:lineRule="exact"/>
              <w:jc w:val="center"/>
              <w:rPr>
                <w:color w:val="000000"/>
                <w:sz w:val="21"/>
              </w:rPr>
            </w:pPr>
            <w:r>
              <w:rPr>
                <w:color w:val="000000"/>
                <w:sz w:val="21"/>
              </w:rPr>
              <w:t>4.51</w:t>
            </w:r>
          </w:p>
        </w:tc>
        <w:tc>
          <w:tcPr>
            <w:tcW w:w="594" w:type="pct"/>
            <w:vAlign w:val="center"/>
          </w:tcPr>
          <w:p w14:paraId="2204B194">
            <w:pPr>
              <w:spacing w:line="240" w:lineRule="exact"/>
              <w:jc w:val="center"/>
              <w:rPr>
                <w:color w:val="000000"/>
                <w:sz w:val="21"/>
              </w:rPr>
            </w:pPr>
            <w:r>
              <w:rPr>
                <w:color w:val="000000"/>
                <w:sz w:val="21"/>
              </w:rPr>
              <w:t>未检出</w:t>
            </w:r>
          </w:p>
        </w:tc>
        <w:tc>
          <w:tcPr>
            <w:tcW w:w="506" w:type="pct"/>
            <w:vAlign w:val="center"/>
          </w:tcPr>
          <w:p w14:paraId="2908AE30">
            <w:pPr>
              <w:spacing w:line="240" w:lineRule="exact"/>
              <w:jc w:val="center"/>
              <w:rPr>
                <w:color w:val="000000"/>
                <w:sz w:val="21"/>
              </w:rPr>
            </w:pPr>
            <w:r>
              <w:rPr>
                <w:color w:val="000000"/>
                <w:sz w:val="21"/>
              </w:rPr>
              <w:t>223</w:t>
            </w:r>
          </w:p>
        </w:tc>
        <w:tc>
          <w:tcPr>
            <w:tcW w:w="504" w:type="pct"/>
            <w:vAlign w:val="center"/>
          </w:tcPr>
          <w:p w14:paraId="4564EAEC">
            <w:pPr>
              <w:spacing w:line="240" w:lineRule="exact"/>
              <w:jc w:val="center"/>
              <w:rPr>
                <w:color w:val="000000"/>
                <w:sz w:val="21"/>
              </w:rPr>
            </w:pPr>
            <w:r>
              <w:rPr>
                <w:color w:val="000000"/>
                <w:sz w:val="21"/>
              </w:rPr>
              <w:t>30</w:t>
            </w:r>
          </w:p>
        </w:tc>
        <w:tc>
          <w:tcPr>
            <w:tcW w:w="503" w:type="pct"/>
            <w:vAlign w:val="center"/>
          </w:tcPr>
          <w:p w14:paraId="5A61FC6F">
            <w:pPr>
              <w:spacing w:line="240" w:lineRule="exact"/>
              <w:jc w:val="center"/>
              <w:rPr>
                <w:color w:val="000000"/>
                <w:sz w:val="21"/>
              </w:rPr>
            </w:pPr>
            <w:r>
              <w:rPr>
                <w:color w:val="000000"/>
                <w:sz w:val="21"/>
              </w:rPr>
              <w:t>64</w:t>
            </w:r>
          </w:p>
        </w:tc>
      </w:tr>
    </w:tbl>
    <w:p w14:paraId="5A9AFC84">
      <w:pPr>
        <w:pStyle w:val="133"/>
        <w:spacing w:line="240" w:lineRule="auto"/>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4</w:t>
      </w:r>
      <w:r>
        <w:rPr>
          <w:rFonts w:ascii="Times New Roman" w:hAnsi="Times New Roman"/>
          <w:color w:val="000000"/>
        </w:rPr>
        <w:t>.3.3-2-2  地下水环境质量现状监测及评价结果统计    单位：mg/L</w:t>
      </w:r>
    </w:p>
    <w:tbl>
      <w:tblPr>
        <w:tblStyle w:val="7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366"/>
        <w:gridCol w:w="860"/>
        <w:gridCol w:w="1217"/>
        <w:gridCol w:w="1396"/>
        <w:gridCol w:w="1223"/>
        <w:gridCol w:w="1050"/>
        <w:gridCol w:w="1172"/>
        <w:gridCol w:w="1169"/>
        <w:gridCol w:w="1331"/>
        <w:gridCol w:w="1331"/>
        <w:gridCol w:w="1331"/>
      </w:tblGrid>
      <w:tr w14:paraId="1D70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739" w:type="pct"/>
            <w:gridSpan w:val="2"/>
            <w:vMerge w:val="restart"/>
            <w:tcBorders>
              <w:tl2br w:val="single" w:color="auto" w:sz="4" w:space="0"/>
            </w:tcBorders>
            <w:vAlign w:val="center"/>
          </w:tcPr>
          <w:p w14:paraId="05AB7F8C">
            <w:pPr>
              <w:spacing w:line="240" w:lineRule="exact"/>
              <w:jc w:val="center"/>
              <w:rPr>
                <w:color w:val="000000"/>
                <w:kern w:val="0"/>
                <w:sz w:val="21"/>
              </w:rPr>
            </w:pPr>
            <w:r>
              <w:rPr>
                <w:color w:val="000000"/>
                <w:kern w:val="0"/>
                <w:sz w:val="21"/>
              </w:rPr>
              <w:t xml:space="preserve">         指标</w:t>
            </w:r>
          </w:p>
          <w:p w14:paraId="189A9D75">
            <w:pPr>
              <w:spacing w:line="240" w:lineRule="exact"/>
              <w:rPr>
                <w:color w:val="000000"/>
                <w:kern w:val="0"/>
                <w:sz w:val="21"/>
              </w:rPr>
            </w:pPr>
            <w:r>
              <w:rPr>
                <w:color w:val="000000"/>
                <w:kern w:val="0"/>
                <w:sz w:val="21"/>
              </w:rPr>
              <w:t>监测点位</w:t>
            </w:r>
          </w:p>
        </w:tc>
        <w:tc>
          <w:tcPr>
            <w:tcW w:w="303" w:type="pct"/>
            <w:vAlign w:val="center"/>
          </w:tcPr>
          <w:p w14:paraId="0FCE2F7D">
            <w:pPr>
              <w:spacing w:line="240" w:lineRule="exact"/>
              <w:jc w:val="center"/>
              <w:rPr>
                <w:color w:val="000000"/>
                <w:kern w:val="0"/>
                <w:sz w:val="21"/>
              </w:rPr>
            </w:pPr>
            <w:r>
              <w:rPr>
                <w:color w:val="000000"/>
                <w:kern w:val="0"/>
                <w:sz w:val="21"/>
              </w:rPr>
              <w:t>pH</w:t>
            </w:r>
          </w:p>
        </w:tc>
        <w:tc>
          <w:tcPr>
            <w:tcW w:w="429" w:type="pct"/>
            <w:vAlign w:val="center"/>
          </w:tcPr>
          <w:p w14:paraId="783953EE">
            <w:pPr>
              <w:spacing w:line="240" w:lineRule="exact"/>
              <w:jc w:val="center"/>
              <w:rPr>
                <w:color w:val="000000"/>
                <w:kern w:val="0"/>
                <w:sz w:val="21"/>
              </w:rPr>
            </w:pPr>
            <w:r>
              <w:rPr>
                <w:color w:val="000000"/>
                <w:kern w:val="0"/>
                <w:sz w:val="21"/>
              </w:rPr>
              <w:t>溶解性</w:t>
            </w:r>
          </w:p>
          <w:p w14:paraId="69C6E0D2">
            <w:pPr>
              <w:spacing w:line="240" w:lineRule="exact"/>
              <w:jc w:val="center"/>
              <w:rPr>
                <w:color w:val="000000"/>
                <w:kern w:val="0"/>
                <w:sz w:val="21"/>
              </w:rPr>
            </w:pPr>
            <w:r>
              <w:rPr>
                <w:color w:val="000000"/>
                <w:kern w:val="0"/>
                <w:sz w:val="21"/>
              </w:rPr>
              <w:t>总固体</w:t>
            </w:r>
          </w:p>
        </w:tc>
        <w:tc>
          <w:tcPr>
            <w:tcW w:w="492" w:type="pct"/>
            <w:vAlign w:val="center"/>
          </w:tcPr>
          <w:p w14:paraId="5F920315">
            <w:pPr>
              <w:spacing w:line="240" w:lineRule="exact"/>
              <w:jc w:val="center"/>
              <w:rPr>
                <w:color w:val="000000"/>
                <w:kern w:val="0"/>
                <w:sz w:val="21"/>
              </w:rPr>
            </w:pPr>
            <w:r>
              <w:rPr>
                <w:color w:val="000000"/>
                <w:kern w:val="0"/>
                <w:sz w:val="21"/>
              </w:rPr>
              <w:t>耗氧量（高锰酸盐指数）</w:t>
            </w:r>
          </w:p>
        </w:tc>
        <w:tc>
          <w:tcPr>
            <w:tcW w:w="431" w:type="pct"/>
            <w:vAlign w:val="center"/>
          </w:tcPr>
          <w:p w14:paraId="25D192F0">
            <w:pPr>
              <w:spacing w:line="240" w:lineRule="exact"/>
              <w:jc w:val="center"/>
              <w:rPr>
                <w:color w:val="000000"/>
                <w:kern w:val="0"/>
                <w:sz w:val="21"/>
              </w:rPr>
            </w:pPr>
            <w:r>
              <w:rPr>
                <w:color w:val="000000"/>
                <w:kern w:val="0"/>
                <w:sz w:val="21"/>
              </w:rPr>
              <w:t>硝酸盐</w:t>
            </w:r>
          </w:p>
          <w:p w14:paraId="45EF29A1">
            <w:pPr>
              <w:spacing w:line="240" w:lineRule="exact"/>
              <w:jc w:val="center"/>
              <w:rPr>
                <w:color w:val="000000"/>
                <w:kern w:val="0"/>
                <w:sz w:val="21"/>
              </w:rPr>
            </w:pPr>
            <w:r>
              <w:rPr>
                <w:color w:val="000000"/>
                <w:kern w:val="0"/>
                <w:sz w:val="21"/>
              </w:rPr>
              <w:t>（以N计）</w:t>
            </w:r>
          </w:p>
        </w:tc>
        <w:tc>
          <w:tcPr>
            <w:tcW w:w="370" w:type="pct"/>
            <w:vAlign w:val="center"/>
          </w:tcPr>
          <w:p w14:paraId="3A56D50D">
            <w:pPr>
              <w:spacing w:line="240" w:lineRule="exact"/>
              <w:jc w:val="center"/>
              <w:rPr>
                <w:color w:val="000000"/>
                <w:kern w:val="0"/>
                <w:sz w:val="21"/>
              </w:rPr>
            </w:pPr>
            <w:r>
              <w:rPr>
                <w:color w:val="000000"/>
                <w:kern w:val="0"/>
                <w:sz w:val="21"/>
              </w:rPr>
              <w:t>氨氮</w:t>
            </w:r>
          </w:p>
        </w:tc>
        <w:tc>
          <w:tcPr>
            <w:tcW w:w="413" w:type="pct"/>
            <w:vAlign w:val="center"/>
          </w:tcPr>
          <w:p w14:paraId="31E228C7">
            <w:pPr>
              <w:spacing w:line="240" w:lineRule="exact"/>
              <w:jc w:val="center"/>
              <w:rPr>
                <w:color w:val="000000"/>
                <w:kern w:val="0"/>
                <w:sz w:val="21"/>
              </w:rPr>
            </w:pPr>
            <w:r>
              <w:rPr>
                <w:color w:val="000000"/>
                <w:kern w:val="0"/>
                <w:sz w:val="21"/>
              </w:rPr>
              <w:t>氯化物</w:t>
            </w:r>
          </w:p>
        </w:tc>
        <w:tc>
          <w:tcPr>
            <w:tcW w:w="412" w:type="pct"/>
            <w:vAlign w:val="center"/>
          </w:tcPr>
          <w:p w14:paraId="5960C21C">
            <w:pPr>
              <w:spacing w:line="240" w:lineRule="exact"/>
              <w:jc w:val="center"/>
              <w:rPr>
                <w:color w:val="000000"/>
                <w:kern w:val="0"/>
                <w:sz w:val="21"/>
              </w:rPr>
            </w:pPr>
            <w:r>
              <w:rPr>
                <w:color w:val="000000"/>
                <w:kern w:val="0"/>
                <w:sz w:val="21"/>
              </w:rPr>
              <w:t>硫酸盐</w:t>
            </w:r>
          </w:p>
        </w:tc>
        <w:tc>
          <w:tcPr>
            <w:tcW w:w="469" w:type="pct"/>
            <w:vAlign w:val="center"/>
          </w:tcPr>
          <w:p w14:paraId="2964B4F1">
            <w:pPr>
              <w:spacing w:line="240" w:lineRule="exact"/>
              <w:jc w:val="center"/>
              <w:rPr>
                <w:color w:val="000000"/>
                <w:kern w:val="0"/>
                <w:sz w:val="21"/>
              </w:rPr>
            </w:pPr>
            <w:r>
              <w:rPr>
                <w:color w:val="000000"/>
                <w:kern w:val="0"/>
                <w:sz w:val="21"/>
              </w:rPr>
              <w:t>亚硝酸盐</w:t>
            </w:r>
          </w:p>
          <w:p w14:paraId="140D7B74">
            <w:pPr>
              <w:spacing w:line="240" w:lineRule="exact"/>
              <w:jc w:val="center"/>
              <w:rPr>
                <w:color w:val="000000"/>
                <w:kern w:val="0"/>
                <w:sz w:val="21"/>
              </w:rPr>
            </w:pPr>
            <w:r>
              <w:rPr>
                <w:color w:val="000000"/>
                <w:kern w:val="0"/>
                <w:sz w:val="21"/>
              </w:rPr>
              <w:t>（以N计）</w:t>
            </w:r>
          </w:p>
        </w:tc>
        <w:tc>
          <w:tcPr>
            <w:tcW w:w="469" w:type="pct"/>
            <w:vAlign w:val="center"/>
          </w:tcPr>
          <w:p w14:paraId="6E7693F4">
            <w:pPr>
              <w:spacing w:line="240" w:lineRule="exact"/>
              <w:jc w:val="center"/>
              <w:rPr>
                <w:color w:val="000000"/>
                <w:kern w:val="0"/>
                <w:sz w:val="21"/>
              </w:rPr>
            </w:pPr>
            <w:r>
              <w:rPr>
                <w:color w:val="000000"/>
                <w:kern w:val="0"/>
                <w:sz w:val="21"/>
              </w:rPr>
              <w:t>挥发酚</w:t>
            </w:r>
          </w:p>
        </w:tc>
        <w:tc>
          <w:tcPr>
            <w:tcW w:w="469" w:type="pct"/>
            <w:vAlign w:val="center"/>
          </w:tcPr>
          <w:p w14:paraId="313D75FC">
            <w:pPr>
              <w:spacing w:line="240" w:lineRule="exact"/>
              <w:jc w:val="center"/>
              <w:rPr>
                <w:color w:val="000000"/>
                <w:kern w:val="0"/>
                <w:sz w:val="21"/>
              </w:rPr>
            </w:pPr>
            <w:r>
              <w:rPr>
                <w:color w:val="000000"/>
                <w:kern w:val="0"/>
                <w:sz w:val="21"/>
              </w:rPr>
              <w:t>镍</w:t>
            </w:r>
          </w:p>
        </w:tc>
      </w:tr>
      <w:tr w14:paraId="3417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739" w:type="pct"/>
            <w:gridSpan w:val="2"/>
            <w:vMerge w:val="continue"/>
            <w:vAlign w:val="center"/>
          </w:tcPr>
          <w:p w14:paraId="3C8323DF">
            <w:pPr>
              <w:spacing w:line="240" w:lineRule="exact"/>
              <w:jc w:val="center"/>
              <w:rPr>
                <w:color w:val="000000"/>
                <w:sz w:val="21"/>
              </w:rPr>
            </w:pPr>
          </w:p>
        </w:tc>
        <w:tc>
          <w:tcPr>
            <w:tcW w:w="303" w:type="pct"/>
            <w:vAlign w:val="center"/>
          </w:tcPr>
          <w:p w14:paraId="0A4C8943">
            <w:pPr>
              <w:spacing w:line="240" w:lineRule="exact"/>
              <w:jc w:val="center"/>
              <w:rPr>
                <w:color w:val="000000"/>
                <w:sz w:val="21"/>
              </w:rPr>
            </w:pPr>
            <w:r>
              <w:rPr>
                <w:color w:val="000000"/>
                <w:sz w:val="21"/>
              </w:rPr>
              <w:t>/</w:t>
            </w:r>
          </w:p>
        </w:tc>
        <w:tc>
          <w:tcPr>
            <w:tcW w:w="429" w:type="pct"/>
            <w:vAlign w:val="center"/>
          </w:tcPr>
          <w:p w14:paraId="548E03B9">
            <w:pPr>
              <w:spacing w:line="240" w:lineRule="exact"/>
              <w:jc w:val="center"/>
              <w:rPr>
                <w:color w:val="000000"/>
                <w:sz w:val="21"/>
              </w:rPr>
            </w:pPr>
            <w:r>
              <w:rPr>
                <w:color w:val="000000"/>
                <w:kern w:val="0"/>
                <w:sz w:val="21"/>
              </w:rPr>
              <w:t>mg/L</w:t>
            </w:r>
          </w:p>
        </w:tc>
        <w:tc>
          <w:tcPr>
            <w:tcW w:w="492" w:type="pct"/>
            <w:vAlign w:val="center"/>
          </w:tcPr>
          <w:p w14:paraId="4242FFAC">
            <w:pPr>
              <w:spacing w:line="240" w:lineRule="exact"/>
              <w:jc w:val="center"/>
              <w:rPr>
                <w:color w:val="000000"/>
                <w:sz w:val="21"/>
              </w:rPr>
            </w:pPr>
            <w:r>
              <w:rPr>
                <w:color w:val="000000"/>
                <w:kern w:val="0"/>
                <w:sz w:val="21"/>
              </w:rPr>
              <w:t>mg/L</w:t>
            </w:r>
          </w:p>
        </w:tc>
        <w:tc>
          <w:tcPr>
            <w:tcW w:w="431" w:type="pct"/>
            <w:vAlign w:val="center"/>
          </w:tcPr>
          <w:p w14:paraId="6FDCA4B6">
            <w:pPr>
              <w:spacing w:line="240" w:lineRule="exact"/>
              <w:jc w:val="center"/>
              <w:rPr>
                <w:color w:val="000000"/>
                <w:sz w:val="21"/>
              </w:rPr>
            </w:pPr>
            <w:r>
              <w:rPr>
                <w:color w:val="000000"/>
                <w:kern w:val="0"/>
                <w:sz w:val="21"/>
              </w:rPr>
              <w:t>mg/L</w:t>
            </w:r>
          </w:p>
        </w:tc>
        <w:tc>
          <w:tcPr>
            <w:tcW w:w="370" w:type="pct"/>
            <w:vAlign w:val="center"/>
          </w:tcPr>
          <w:p w14:paraId="7AEFB247">
            <w:pPr>
              <w:spacing w:line="240" w:lineRule="exact"/>
              <w:jc w:val="center"/>
              <w:rPr>
                <w:color w:val="000000"/>
                <w:kern w:val="0"/>
                <w:sz w:val="21"/>
              </w:rPr>
            </w:pPr>
            <w:r>
              <w:rPr>
                <w:color w:val="000000"/>
                <w:kern w:val="0"/>
                <w:sz w:val="21"/>
              </w:rPr>
              <w:t>mg/L</w:t>
            </w:r>
          </w:p>
        </w:tc>
        <w:tc>
          <w:tcPr>
            <w:tcW w:w="413" w:type="pct"/>
            <w:vAlign w:val="center"/>
          </w:tcPr>
          <w:p w14:paraId="3651FC2C">
            <w:pPr>
              <w:spacing w:line="240" w:lineRule="exact"/>
              <w:jc w:val="center"/>
              <w:rPr>
                <w:color w:val="000000"/>
                <w:kern w:val="0"/>
                <w:sz w:val="21"/>
              </w:rPr>
            </w:pPr>
            <w:r>
              <w:rPr>
                <w:color w:val="000000"/>
                <w:kern w:val="0"/>
                <w:sz w:val="21"/>
              </w:rPr>
              <w:t>mg/L</w:t>
            </w:r>
          </w:p>
        </w:tc>
        <w:tc>
          <w:tcPr>
            <w:tcW w:w="412" w:type="pct"/>
            <w:vAlign w:val="center"/>
          </w:tcPr>
          <w:p w14:paraId="1F02ADD0">
            <w:pPr>
              <w:spacing w:line="240" w:lineRule="exact"/>
              <w:jc w:val="center"/>
              <w:rPr>
                <w:color w:val="000000"/>
                <w:kern w:val="0"/>
                <w:sz w:val="21"/>
              </w:rPr>
            </w:pPr>
            <w:r>
              <w:rPr>
                <w:color w:val="000000"/>
                <w:kern w:val="0"/>
                <w:sz w:val="21"/>
              </w:rPr>
              <w:t>mg/L</w:t>
            </w:r>
          </w:p>
        </w:tc>
        <w:tc>
          <w:tcPr>
            <w:tcW w:w="469" w:type="pct"/>
            <w:vAlign w:val="center"/>
          </w:tcPr>
          <w:p w14:paraId="1996061E">
            <w:pPr>
              <w:spacing w:line="240" w:lineRule="exact"/>
              <w:jc w:val="center"/>
              <w:rPr>
                <w:color w:val="000000"/>
                <w:kern w:val="0"/>
                <w:sz w:val="21"/>
              </w:rPr>
            </w:pPr>
            <w:r>
              <w:rPr>
                <w:color w:val="000000"/>
                <w:kern w:val="0"/>
                <w:sz w:val="21"/>
              </w:rPr>
              <w:t>mg/L</w:t>
            </w:r>
          </w:p>
        </w:tc>
        <w:tc>
          <w:tcPr>
            <w:tcW w:w="469" w:type="pct"/>
            <w:vAlign w:val="center"/>
          </w:tcPr>
          <w:p w14:paraId="19981BCA">
            <w:pPr>
              <w:spacing w:line="240" w:lineRule="exact"/>
              <w:jc w:val="center"/>
              <w:rPr>
                <w:color w:val="000000"/>
                <w:kern w:val="0"/>
                <w:sz w:val="21"/>
              </w:rPr>
            </w:pPr>
            <w:r>
              <w:rPr>
                <w:color w:val="000000"/>
                <w:kern w:val="0"/>
                <w:sz w:val="21"/>
              </w:rPr>
              <w:t>mg/L</w:t>
            </w:r>
          </w:p>
        </w:tc>
        <w:tc>
          <w:tcPr>
            <w:tcW w:w="469" w:type="pct"/>
            <w:vAlign w:val="center"/>
          </w:tcPr>
          <w:p w14:paraId="72021937">
            <w:pPr>
              <w:spacing w:line="240" w:lineRule="exact"/>
              <w:jc w:val="center"/>
              <w:rPr>
                <w:color w:val="000000"/>
                <w:kern w:val="0"/>
                <w:sz w:val="21"/>
              </w:rPr>
            </w:pPr>
            <w:r>
              <w:rPr>
                <w:color w:val="000000"/>
                <w:kern w:val="0"/>
                <w:sz w:val="21"/>
              </w:rPr>
              <w:t>mg/L</w:t>
            </w:r>
          </w:p>
        </w:tc>
      </w:tr>
      <w:tr w14:paraId="7E74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7" w:type="pct"/>
            <w:vMerge w:val="restart"/>
            <w:vAlign w:val="center"/>
          </w:tcPr>
          <w:p w14:paraId="537E523A">
            <w:pPr>
              <w:spacing w:line="240" w:lineRule="exact"/>
              <w:jc w:val="center"/>
              <w:rPr>
                <w:color w:val="000000"/>
                <w:sz w:val="21"/>
              </w:rPr>
            </w:pPr>
            <w:r>
              <w:rPr>
                <w:color w:val="000000"/>
                <w:sz w:val="21"/>
              </w:rPr>
              <w:t>HS1</w:t>
            </w:r>
          </w:p>
        </w:tc>
        <w:tc>
          <w:tcPr>
            <w:tcW w:w="481" w:type="pct"/>
            <w:vAlign w:val="center"/>
          </w:tcPr>
          <w:p w14:paraId="3C6E0894">
            <w:pPr>
              <w:spacing w:line="240" w:lineRule="exact"/>
              <w:jc w:val="center"/>
              <w:rPr>
                <w:color w:val="000000"/>
                <w:sz w:val="21"/>
              </w:rPr>
            </w:pPr>
            <w:r>
              <w:rPr>
                <w:color w:val="000000"/>
                <w:sz w:val="21"/>
              </w:rPr>
              <w:t>监测值</w:t>
            </w:r>
          </w:p>
        </w:tc>
        <w:tc>
          <w:tcPr>
            <w:tcW w:w="303" w:type="pct"/>
            <w:vAlign w:val="center"/>
          </w:tcPr>
          <w:p w14:paraId="04054210">
            <w:pPr>
              <w:spacing w:line="240" w:lineRule="exact"/>
              <w:jc w:val="center"/>
              <w:rPr>
                <w:color w:val="000000"/>
                <w:sz w:val="21"/>
              </w:rPr>
            </w:pPr>
            <w:r>
              <w:rPr>
                <w:color w:val="000000"/>
                <w:sz w:val="21"/>
              </w:rPr>
              <w:t>7.14</w:t>
            </w:r>
          </w:p>
        </w:tc>
        <w:tc>
          <w:tcPr>
            <w:tcW w:w="429" w:type="pct"/>
            <w:vAlign w:val="center"/>
          </w:tcPr>
          <w:p w14:paraId="7140FED4">
            <w:pPr>
              <w:spacing w:line="240" w:lineRule="exact"/>
              <w:jc w:val="center"/>
              <w:rPr>
                <w:color w:val="000000"/>
                <w:sz w:val="21"/>
              </w:rPr>
            </w:pPr>
            <w:r>
              <w:rPr>
                <w:color w:val="000000"/>
                <w:sz w:val="21"/>
              </w:rPr>
              <w:t>379</w:t>
            </w:r>
          </w:p>
        </w:tc>
        <w:tc>
          <w:tcPr>
            <w:tcW w:w="492" w:type="pct"/>
            <w:vAlign w:val="center"/>
          </w:tcPr>
          <w:p w14:paraId="3CBBE3C2">
            <w:pPr>
              <w:spacing w:line="240" w:lineRule="exact"/>
              <w:jc w:val="center"/>
              <w:rPr>
                <w:color w:val="000000"/>
                <w:sz w:val="21"/>
              </w:rPr>
            </w:pPr>
            <w:r>
              <w:rPr>
                <w:color w:val="000000"/>
                <w:sz w:val="21"/>
              </w:rPr>
              <w:t>1.8</w:t>
            </w:r>
          </w:p>
        </w:tc>
        <w:tc>
          <w:tcPr>
            <w:tcW w:w="431" w:type="pct"/>
            <w:vAlign w:val="center"/>
          </w:tcPr>
          <w:p w14:paraId="29A306D7">
            <w:pPr>
              <w:spacing w:line="240" w:lineRule="exact"/>
              <w:jc w:val="center"/>
              <w:rPr>
                <w:color w:val="000000"/>
                <w:sz w:val="21"/>
              </w:rPr>
            </w:pPr>
            <w:r>
              <w:rPr>
                <w:color w:val="000000"/>
                <w:sz w:val="21"/>
              </w:rPr>
              <w:t>1.21</w:t>
            </w:r>
          </w:p>
        </w:tc>
        <w:tc>
          <w:tcPr>
            <w:tcW w:w="370" w:type="pct"/>
            <w:vAlign w:val="center"/>
          </w:tcPr>
          <w:p w14:paraId="74BA2F9E">
            <w:pPr>
              <w:spacing w:line="240" w:lineRule="exact"/>
              <w:jc w:val="center"/>
              <w:rPr>
                <w:color w:val="000000"/>
                <w:sz w:val="21"/>
              </w:rPr>
            </w:pPr>
            <w:r>
              <w:rPr>
                <w:color w:val="000000"/>
                <w:sz w:val="21"/>
              </w:rPr>
              <w:t>0.112</w:t>
            </w:r>
          </w:p>
        </w:tc>
        <w:tc>
          <w:tcPr>
            <w:tcW w:w="413" w:type="pct"/>
            <w:vAlign w:val="center"/>
          </w:tcPr>
          <w:p w14:paraId="76C78926">
            <w:pPr>
              <w:spacing w:line="240" w:lineRule="exact"/>
              <w:jc w:val="center"/>
              <w:rPr>
                <w:color w:val="000000"/>
                <w:sz w:val="21"/>
              </w:rPr>
            </w:pPr>
            <w:r>
              <w:rPr>
                <w:color w:val="000000"/>
                <w:sz w:val="21"/>
              </w:rPr>
              <w:t>38</w:t>
            </w:r>
          </w:p>
        </w:tc>
        <w:tc>
          <w:tcPr>
            <w:tcW w:w="412" w:type="pct"/>
            <w:vAlign w:val="center"/>
          </w:tcPr>
          <w:p w14:paraId="314A36F9">
            <w:pPr>
              <w:spacing w:line="240" w:lineRule="exact"/>
              <w:jc w:val="center"/>
              <w:rPr>
                <w:color w:val="000000"/>
                <w:sz w:val="21"/>
              </w:rPr>
            </w:pPr>
            <w:r>
              <w:rPr>
                <w:color w:val="000000"/>
                <w:sz w:val="21"/>
              </w:rPr>
              <w:t>67</w:t>
            </w:r>
          </w:p>
        </w:tc>
        <w:tc>
          <w:tcPr>
            <w:tcW w:w="469" w:type="pct"/>
            <w:vAlign w:val="center"/>
          </w:tcPr>
          <w:p w14:paraId="78B807C1">
            <w:pPr>
              <w:spacing w:line="240" w:lineRule="exact"/>
              <w:jc w:val="center"/>
              <w:rPr>
                <w:color w:val="000000"/>
                <w:sz w:val="21"/>
              </w:rPr>
            </w:pPr>
            <w:r>
              <w:rPr>
                <w:color w:val="000000"/>
                <w:sz w:val="21"/>
              </w:rPr>
              <w:t>0.008</w:t>
            </w:r>
          </w:p>
        </w:tc>
        <w:tc>
          <w:tcPr>
            <w:tcW w:w="469" w:type="pct"/>
            <w:vAlign w:val="center"/>
          </w:tcPr>
          <w:p w14:paraId="1A916AAD">
            <w:pPr>
              <w:spacing w:line="240" w:lineRule="exact"/>
              <w:jc w:val="center"/>
              <w:rPr>
                <w:color w:val="000000"/>
                <w:sz w:val="21"/>
              </w:rPr>
            </w:pPr>
            <w:r>
              <w:rPr>
                <w:color w:val="000000"/>
                <w:sz w:val="21"/>
              </w:rPr>
              <w:t>0.0003L</w:t>
            </w:r>
          </w:p>
        </w:tc>
        <w:tc>
          <w:tcPr>
            <w:tcW w:w="469" w:type="pct"/>
            <w:vAlign w:val="center"/>
          </w:tcPr>
          <w:p w14:paraId="56532B68">
            <w:pPr>
              <w:spacing w:line="240" w:lineRule="exact"/>
              <w:jc w:val="center"/>
              <w:rPr>
                <w:color w:val="000000"/>
                <w:sz w:val="21"/>
              </w:rPr>
            </w:pPr>
            <w:r>
              <w:rPr>
                <w:color w:val="000000"/>
                <w:sz w:val="21"/>
              </w:rPr>
              <w:t>5×10</w:t>
            </w:r>
            <w:r>
              <w:rPr>
                <w:color w:val="000000"/>
                <w:sz w:val="21"/>
                <w:vertAlign w:val="superscript"/>
              </w:rPr>
              <w:t>-3</w:t>
            </w:r>
            <w:r>
              <w:rPr>
                <w:color w:val="000000"/>
                <w:sz w:val="21"/>
              </w:rPr>
              <w:t>L</w:t>
            </w:r>
          </w:p>
        </w:tc>
      </w:tr>
      <w:tr w14:paraId="7A8A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7" w:type="pct"/>
            <w:vMerge w:val="continue"/>
            <w:vAlign w:val="center"/>
          </w:tcPr>
          <w:p w14:paraId="0BA3C38D">
            <w:pPr>
              <w:spacing w:line="240" w:lineRule="exact"/>
              <w:jc w:val="center"/>
              <w:rPr>
                <w:color w:val="000000"/>
                <w:sz w:val="21"/>
              </w:rPr>
            </w:pPr>
          </w:p>
        </w:tc>
        <w:tc>
          <w:tcPr>
            <w:tcW w:w="481" w:type="pct"/>
            <w:vAlign w:val="center"/>
          </w:tcPr>
          <w:p w14:paraId="40C7ACEE">
            <w:pPr>
              <w:autoSpaceDE w:val="0"/>
              <w:autoSpaceDN w:val="0"/>
              <w:spacing w:line="240" w:lineRule="exact"/>
              <w:jc w:val="center"/>
              <w:rPr>
                <w:color w:val="000000"/>
                <w:w w:val="90"/>
                <w:sz w:val="21"/>
              </w:rPr>
            </w:pPr>
            <w:r>
              <w:rPr>
                <w:color w:val="000000"/>
                <w:w w:val="90"/>
                <w:sz w:val="21"/>
              </w:rPr>
              <w:t>超标率%</w:t>
            </w:r>
          </w:p>
        </w:tc>
        <w:tc>
          <w:tcPr>
            <w:tcW w:w="303" w:type="pct"/>
            <w:vAlign w:val="center"/>
          </w:tcPr>
          <w:p w14:paraId="7727A2FB">
            <w:pPr>
              <w:spacing w:line="240" w:lineRule="exact"/>
              <w:jc w:val="center"/>
              <w:rPr>
                <w:color w:val="000000"/>
                <w:sz w:val="21"/>
              </w:rPr>
            </w:pPr>
            <w:r>
              <w:rPr>
                <w:color w:val="000000"/>
                <w:sz w:val="21"/>
              </w:rPr>
              <w:t>0</w:t>
            </w:r>
          </w:p>
        </w:tc>
        <w:tc>
          <w:tcPr>
            <w:tcW w:w="429" w:type="pct"/>
            <w:vAlign w:val="center"/>
          </w:tcPr>
          <w:p w14:paraId="15257E30">
            <w:pPr>
              <w:spacing w:line="240" w:lineRule="exact"/>
              <w:jc w:val="center"/>
              <w:rPr>
                <w:color w:val="000000"/>
                <w:sz w:val="21"/>
              </w:rPr>
            </w:pPr>
            <w:r>
              <w:rPr>
                <w:color w:val="000000"/>
                <w:sz w:val="21"/>
              </w:rPr>
              <w:t>0</w:t>
            </w:r>
          </w:p>
        </w:tc>
        <w:tc>
          <w:tcPr>
            <w:tcW w:w="492" w:type="pct"/>
            <w:vAlign w:val="center"/>
          </w:tcPr>
          <w:p w14:paraId="014F9E97">
            <w:pPr>
              <w:spacing w:line="240" w:lineRule="exact"/>
              <w:jc w:val="center"/>
              <w:rPr>
                <w:color w:val="000000"/>
                <w:sz w:val="21"/>
              </w:rPr>
            </w:pPr>
            <w:r>
              <w:rPr>
                <w:color w:val="000000"/>
                <w:sz w:val="21"/>
              </w:rPr>
              <w:t>0</w:t>
            </w:r>
          </w:p>
        </w:tc>
        <w:tc>
          <w:tcPr>
            <w:tcW w:w="431" w:type="pct"/>
            <w:vAlign w:val="center"/>
          </w:tcPr>
          <w:p w14:paraId="511DB9C7">
            <w:pPr>
              <w:spacing w:line="240" w:lineRule="exact"/>
              <w:jc w:val="center"/>
              <w:rPr>
                <w:color w:val="000000"/>
                <w:sz w:val="21"/>
              </w:rPr>
            </w:pPr>
            <w:r>
              <w:rPr>
                <w:color w:val="000000"/>
                <w:sz w:val="21"/>
              </w:rPr>
              <w:t>0</w:t>
            </w:r>
          </w:p>
        </w:tc>
        <w:tc>
          <w:tcPr>
            <w:tcW w:w="370" w:type="pct"/>
            <w:vAlign w:val="center"/>
          </w:tcPr>
          <w:p w14:paraId="1333661D">
            <w:pPr>
              <w:spacing w:line="240" w:lineRule="exact"/>
              <w:jc w:val="center"/>
              <w:rPr>
                <w:color w:val="000000"/>
                <w:sz w:val="21"/>
              </w:rPr>
            </w:pPr>
            <w:r>
              <w:rPr>
                <w:color w:val="000000"/>
                <w:sz w:val="21"/>
              </w:rPr>
              <w:t>0</w:t>
            </w:r>
          </w:p>
        </w:tc>
        <w:tc>
          <w:tcPr>
            <w:tcW w:w="413" w:type="pct"/>
            <w:vAlign w:val="center"/>
          </w:tcPr>
          <w:p w14:paraId="2F8B0ECC">
            <w:pPr>
              <w:spacing w:line="240" w:lineRule="exact"/>
              <w:jc w:val="center"/>
              <w:rPr>
                <w:color w:val="000000"/>
                <w:sz w:val="21"/>
              </w:rPr>
            </w:pPr>
            <w:r>
              <w:rPr>
                <w:color w:val="000000"/>
                <w:sz w:val="21"/>
              </w:rPr>
              <w:t>0</w:t>
            </w:r>
          </w:p>
        </w:tc>
        <w:tc>
          <w:tcPr>
            <w:tcW w:w="412" w:type="pct"/>
            <w:vAlign w:val="center"/>
          </w:tcPr>
          <w:p w14:paraId="3E2F93CB">
            <w:pPr>
              <w:spacing w:line="240" w:lineRule="exact"/>
              <w:jc w:val="center"/>
              <w:rPr>
                <w:color w:val="000000"/>
                <w:sz w:val="21"/>
              </w:rPr>
            </w:pPr>
            <w:r>
              <w:rPr>
                <w:color w:val="000000"/>
                <w:sz w:val="21"/>
              </w:rPr>
              <w:t>0</w:t>
            </w:r>
          </w:p>
        </w:tc>
        <w:tc>
          <w:tcPr>
            <w:tcW w:w="469" w:type="pct"/>
            <w:vAlign w:val="center"/>
          </w:tcPr>
          <w:p w14:paraId="410373C8">
            <w:pPr>
              <w:spacing w:line="240" w:lineRule="exact"/>
              <w:jc w:val="center"/>
              <w:rPr>
                <w:color w:val="000000"/>
                <w:sz w:val="21"/>
              </w:rPr>
            </w:pPr>
            <w:r>
              <w:rPr>
                <w:color w:val="000000"/>
                <w:sz w:val="21"/>
              </w:rPr>
              <w:t>0</w:t>
            </w:r>
          </w:p>
        </w:tc>
        <w:tc>
          <w:tcPr>
            <w:tcW w:w="469" w:type="pct"/>
            <w:vAlign w:val="center"/>
          </w:tcPr>
          <w:p w14:paraId="4224125C">
            <w:pPr>
              <w:spacing w:line="240" w:lineRule="exact"/>
              <w:jc w:val="center"/>
              <w:rPr>
                <w:color w:val="000000"/>
                <w:sz w:val="21"/>
              </w:rPr>
            </w:pPr>
            <w:r>
              <w:rPr>
                <w:color w:val="000000"/>
                <w:sz w:val="21"/>
              </w:rPr>
              <w:t>0</w:t>
            </w:r>
          </w:p>
        </w:tc>
        <w:tc>
          <w:tcPr>
            <w:tcW w:w="469" w:type="pct"/>
            <w:vAlign w:val="center"/>
          </w:tcPr>
          <w:p w14:paraId="181CEAF4">
            <w:pPr>
              <w:spacing w:line="240" w:lineRule="exact"/>
              <w:jc w:val="center"/>
              <w:rPr>
                <w:color w:val="000000"/>
                <w:sz w:val="21"/>
              </w:rPr>
            </w:pPr>
            <w:r>
              <w:rPr>
                <w:color w:val="000000"/>
                <w:sz w:val="21"/>
              </w:rPr>
              <w:t>0</w:t>
            </w:r>
          </w:p>
        </w:tc>
      </w:tr>
      <w:tr w14:paraId="0AAB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7" w:type="pct"/>
            <w:vMerge w:val="continue"/>
            <w:vAlign w:val="center"/>
          </w:tcPr>
          <w:p w14:paraId="255FD0B5">
            <w:pPr>
              <w:spacing w:line="240" w:lineRule="exact"/>
              <w:jc w:val="center"/>
              <w:rPr>
                <w:color w:val="000000"/>
                <w:sz w:val="21"/>
              </w:rPr>
            </w:pPr>
          </w:p>
        </w:tc>
        <w:tc>
          <w:tcPr>
            <w:tcW w:w="481" w:type="pct"/>
            <w:vAlign w:val="center"/>
          </w:tcPr>
          <w:p w14:paraId="2CF8DB7B">
            <w:pPr>
              <w:autoSpaceDE w:val="0"/>
              <w:autoSpaceDN w:val="0"/>
              <w:spacing w:line="240" w:lineRule="exact"/>
              <w:jc w:val="center"/>
              <w:rPr>
                <w:color w:val="000000"/>
                <w:w w:val="90"/>
                <w:sz w:val="21"/>
              </w:rPr>
            </w:pPr>
            <w:r>
              <w:rPr>
                <w:color w:val="000000"/>
                <w:w w:val="90"/>
                <w:sz w:val="21"/>
              </w:rPr>
              <w:t>Ii值</w:t>
            </w:r>
          </w:p>
        </w:tc>
        <w:tc>
          <w:tcPr>
            <w:tcW w:w="303" w:type="pct"/>
            <w:vAlign w:val="center"/>
          </w:tcPr>
          <w:p w14:paraId="1ADADABA">
            <w:pPr>
              <w:spacing w:line="240" w:lineRule="exact"/>
              <w:jc w:val="center"/>
              <w:rPr>
                <w:color w:val="000000"/>
                <w:sz w:val="21"/>
              </w:rPr>
            </w:pPr>
            <w:r>
              <w:rPr>
                <w:color w:val="000000"/>
                <w:sz w:val="21"/>
              </w:rPr>
              <w:t>0.09</w:t>
            </w:r>
          </w:p>
        </w:tc>
        <w:tc>
          <w:tcPr>
            <w:tcW w:w="429" w:type="pct"/>
            <w:vAlign w:val="center"/>
          </w:tcPr>
          <w:p w14:paraId="20989CBC">
            <w:pPr>
              <w:spacing w:line="240" w:lineRule="exact"/>
              <w:jc w:val="center"/>
              <w:rPr>
                <w:color w:val="000000"/>
                <w:sz w:val="21"/>
              </w:rPr>
            </w:pPr>
            <w:r>
              <w:rPr>
                <w:color w:val="000000"/>
                <w:sz w:val="21"/>
              </w:rPr>
              <w:t>0.379</w:t>
            </w:r>
          </w:p>
        </w:tc>
        <w:tc>
          <w:tcPr>
            <w:tcW w:w="492" w:type="pct"/>
            <w:vAlign w:val="center"/>
          </w:tcPr>
          <w:p w14:paraId="40E0BB33">
            <w:pPr>
              <w:spacing w:line="240" w:lineRule="exact"/>
              <w:jc w:val="center"/>
              <w:rPr>
                <w:color w:val="000000"/>
                <w:sz w:val="21"/>
              </w:rPr>
            </w:pPr>
            <w:r>
              <w:rPr>
                <w:color w:val="000000"/>
                <w:sz w:val="21"/>
              </w:rPr>
              <w:t>0.6</w:t>
            </w:r>
          </w:p>
        </w:tc>
        <w:tc>
          <w:tcPr>
            <w:tcW w:w="431" w:type="pct"/>
            <w:vAlign w:val="center"/>
          </w:tcPr>
          <w:p w14:paraId="7F2AAC0D">
            <w:pPr>
              <w:spacing w:line="240" w:lineRule="exact"/>
              <w:jc w:val="center"/>
              <w:rPr>
                <w:color w:val="000000"/>
                <w:sz w:val="21"/>
              </w:rPr>
            </w:pPr>
            <w:r>
              <w:rPr>
                <w:color w:val="000000"/>
                <w:sz w:val="21"/>
              </w:rPr>
              <w:t>0.0605</w:t>
            </w:r>
          </w:p>
        </w:tc>
        <w:tc>
          <w:tcPr>
            <w:tcW w:w="370" w:type="pct"/>
            <w:vAlign w:val="center"/>
          </w:tcPr>
          <w:p w14:paraId="2EEB6371">
            <w:pPr>
              <w:spacing w:line="240" w:lineRule="exact"/>
              <w:jc w:val="center"/>
              <w:rPr>
                <w:color w:val="000000"/>
                <w:sz w:val="21"/>
              </w:rPr>
            </w:pPr>
            <w:r>
              <w:rPr>
                <w:color w:val="000000"/>
                <w:sz w:val="21"/>
              </w:rPr>
              <w:t>0.224</w:t>
            </w:r>
          </w:p>
        </w:tc>
        <w:tc>
          <w:tcPr>
            <w:tcW w:w="413" w:type="pct"/>
            <w:vAlign w:val="center"/>
          </w:tcPr>
          <w:p w14:paraId="4C2B3413">
            <w:pPr>
              <w:spacing w:line="240" w:lineRule="exact"/>
              <w:jc w:val="center"/>
              <w:rPr>
                <w:color w:val="000000"/>
                <w:sz w:val="21"/>
              </w:rPr>
            </w:pPr>
            <w:r>
              <w:rPr>
                <w:color w:val="000000"/>
                <w:sz w:val="21"/>
              </w:rPr>
              <w:t>0.152</w:t>
            </w:r>
          </w:p>
        </w:tc>
        <w:tc>
          <w:tcPr>
            <w:tcW w:w="412" w:type="pct"/>
            <w:vAlign w:val="center"/>
          </w:tcPr>
          <w:p w14:paraId="50E4CEE4">
            <w:pPr>
              <w:spacing w:line="240" w:lineRule="exact"/>
              <w:jc w:val="center"/>
              <w:rPr>
                <w:color w:val="000000"/>
                <w:sz w:val="21"/>
              </w:rPr>
            </w:pPr>
            <w:r>
              <w:rPr>
                <w:color w:val="000000"/>
                <w:sz w:val="21"/>
              </w:rPr>
              <w:t>0.268</w:t>
            </w:r>
          </w:p>
        </w:tc>
        <w:tc>
          <w:tcPr>
            <w:tcW w:w="469" w:type="pct"/>
            <w:vAlign w:val="center"/>
          </w:tcPr>
          <w:p w14:paraId="686A53B4">
            <w:pPr>
              <w:spacing w:line="240" w:lineRule="exact"/>
              <w:jc w:val="center"/>
              <w:rPr>
                <w:color w:val="000000"/>
                <w:sz w:val="21"/>
              </w:rPr>
            </w:pPr>
            <w:r>
              <w:rPr>
                <w:color w:val="000000"/>
                <w:sz w:val="21"/>
              </w:rPr>
              <w:t>0.008</w:t>
            </w:r>
          </w:p>
        </w:tc>
        <w:tc>
          <w:tcPr>
            <w:tcW w:w="469" w:type="pct"/>
            <w:vAlign w:val="center"/>
          </w:tcPr>
          <w:p w14:paraId="3FF9C65C">
            <w:pPr>
              <w:spacing w:line="240" w:lineRule="exact"/>
              <w:jc w:val="center"/>
              <w:rPr>
                <w:color w:val="000000"/>
                <w:sz w:val="21"/>
              </w:rPr>
            </w:pPr>
            <w:r>
              <w:rPr>
                <w:color w:val="000000"/>
                <w:sz w:val="21"/>
              </w:rPr>
              <w:t>/</w:t>
            </w:r>
          </w:p>
        </w:tc>
        <w:tc>
          <w:tcPr>
            <w:tcW w:w="469" w:type="pct"/>
            <w:vAlign w:val="center"/>
          </w:tcPr>
          <w:p w14:paraId="65106BB7">
            <w:pPr>
              <w:spacing w:line="240" w:lineRule="exact"/>
              <w:jc w:val="center"/>
              <w:rPr>
                <w:color w:val="000000"/>
                <w:sz w:val="21"/>
              </w:rPr>
            </w:pPr>
            <w:r>
              <w:rPr>
                <w:color w:val="000000"/>
                <w:sz w:val="21"/>
              </w:rPr>
              <w:t>/</w:t>
            </w:r>
          </w:p>
        </w:tc>
      </w:tr>
      <w:tr w14:paraId="6B82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7" w:type="pct"/>
            <w:vMerge w:val="restart"/>
            <w:vAlign w:val="center"/>
          </w:tcPr>
          <w:p w14:paraId="75129DFA">
            <w:pPr>
              <w:spacing w:line="240" w:lineRule="exact"/>
              <w:jc w:val="center"/>
              <w:rPr>
                <w:color w:val="000000"/>
                <w:sz w:val="21"/>
              </w:rPr>
            </w:pPr>
            <w:r>
              <w:rPr>
                <w:color w:val="000000"/>
                <w:sz w:val="21"/>
              </w:rPr>
              <w:t>HS2</w:t>
            </w:r>
          </w:p>
        </w:tc>
        <w:tc>
          <w:tcPr>
            <w:tcW w:w="481" w:type="pct"/>
            <w:vAlign w:val="center"/>
          </w:tcPr>
          <w:p w14:paraId="090CE255">
            <w:pPr>
              <w:spacing w:line="240" w:lineRule="exact"/>
              <w:jc w:val="center"/>
              <w:rPr>
                <w:color w:val="000000"/>
                <w:sz w:val="21"/>
              </w:rPr>
            </w:pPr>
            <w:r>
              <w:rPr>
                <w:color w:val="000000"/>
                <w:sz w:val="21"/>
              </w:rPr>
              <w:t>监测值</w:t>
            </w:r>
          </w:p>
        </w:tc>
        <w:tc>
          <w:tcPr>
            <w:tcW w:w="303" w:type="pct"/>
            <w:vAlign w:val="center"/>
          </w:tcPr>
          <w:p w14:paraId="72AF83DD">
            <w:pPr>
              <w:spacing w:line="240" w:lineRule="exact"/>
              <w:jc w:val="center"/>
              <w:rPr>
                <w:color w:val="000000"/>
                <w:sz w:val="21"/>
              </w:rPr>
            </w:pPr>
            <w:r>
              <w:rPr>
                <w:color w:val="000000"/>
                <w:sz w:val="21"/>
              </w:rPr>
              <w:t>7.06</w:t>
            </w:r>
          </w:p>
        </w:tc>
        <w:tc>
          <w:tcPr>
            <w:tcW w:w="429" w:type="pct"/>
            <w:vAlign w:val="center"/>
          </w:tcPr>
          <w:p w14:paraId="552C285D">
            <w:pPr>
              <w:spacing w:line="240" w:lineRule="exact"/>
              <w:jc w:val="center"/>
              <w:rPr>
                <w:color w:val="000000"/>
                <w:sz w:val="21"/>
              </w:rPr>
            </w:pPr>
            <w:r>
              <w:rPr>
                <w:color w:val="000000"/>
                <w:sz w:val="21"/>
              </w:rPr>
              <w:t>357</w:t>
            </w:r>
          </w:p>
        </w:tc>
        <w:tc>
          <w:tcPr>
            <w:tcW w:w="492" w:type="pct"/>
            <w:vAlign w:val="center"/>
          </w:tcPr>
          <w:p w14:paraId="23FB7C8B">
            <w:pPr>
              <w:spacing w:line="240" w:lineRule="exact"/>
              <w:jc w:val="center"/>
              <w:rPr>
                <w:color w:val="000000"/>
                <w:sz w:val="21"/>
              </w:rPr>
            </w:pPr>
            <w:r>
              <w:rPr>
                <w:color w:val="000000"/>
                <w:sz w:val="21"/>
              </w:rPr>
              <w:t>1.6</w:t>
            </w:r>
          </w:p>
        </w:tc>
        <w:tc>
          <w:tcPr>
            <w:tcW w:w="431" w:type="pct"/>
            <w:vAlign w:val="center"/>
          </w:tcPr>
          <w:p w14:paraId="3A5DDC0A">
            <w:pPr>
              <w:spacing w:line="240" w:lineRule="exact"/>
              <w:jc w:val="center"/>
              <w:rPr>
                <w:color w:val="000000"/>
                <w:sz w:val="21"/>
              </w:rPr>
            </w:pPr>
            <w:r>
              <w:rPr>
                <w:color w:val="000000"/>
                <w:sz w:val="21"/>
              </w:rPr>
              <w:t>1.29</w:t>
            </w:r>
          </w:p>
        </w:tc>
        <w:tc>
          <w:tcPr>
            <w:tcW w:w="370" w:type="pct"/>
            <w:vAlign w:val="center"/>
          </w:tcPr>
          <w:p w14:paraId="3F90F0C2">
            <w:pPr>
              <w:spacing w:line="240" w:lineRule="exact"/>
              <w:jc w:val="center"/>
              <w:rPr>
                <w:color w:val="000000"/>
                <w:sz w:val="21"/>
              </w:rPr>
            </w:pPr>
            <w:r>
              <w:rPr>
                <w:color w:val="000000"/>
                <w:sz w:val="21"/>
              </w:rPr>
              <w:t>0.101</w:t>
            </w:r>
          </w:p>
        </w:tc>
        <w:tc>
          <w:tcPr>
            <w:tcW w:w="413" w:type="pct"/>
            <w:vAlign w:val="center"/>
          </w:tcPr>
          <w:p w14:paraId="5DEE92D2">
            <w:pPr>
              <w:spacing w:line="240" w:lineRule="exact"/>
              <w:jc w:val="center"/>
              <w:rPr>
                <w:color w:val="000000"/>
                <w:sz w:val="21"/>
              </w:rPr>
            </w:pPr>
            <w:r>
              <w:rPr>
                <w:color w:val="000000"/>
                <w:sz w:val="21"/>
              </w:rPr>
              <w:t>35</w:t>
            </w:r>
          </w:p>
        </w:tc>
        <w:tc>
          <w:tcPr>
            <w:tcW w:w="412" w:type="pct"/>
            <w:vAlign w:val="center"/>
          </w:tcPr>
          <w:p w14:paraId="0D65567C">
            <w:pPr>
              <w:spacing w:line="240" w:lineRule="exact"/>
              <w:jc w:val="center"/>
              <w:rPr>
                <w:color w:val="000000"/>
                <w:sz w:val="21"/>
              </w:rPr>
            </w:pPr>
            <w:r>
              <w:rPr>
                <w:color w:val="000000"/>
                <w:sz w:val="21"/>
              </w:rPr>
              <w:t>70</w:t>
            </w:r>
          </w:p>
        </w:tc>
        <w:tc>
          <w:tcPr>
            <w:tcW w:w="469" w:type="pct"/>
            <w:vAlign w:val="center"/>
          </w:tcPr>
          <w:p w14:paraId="423935E2">
            <w:pPr>
              <w:spacing w:line="240" w:lineRule="exact"/>
              <w:jc w:val="center"/>
              <w:rPr>
                <w:color w:val="000000"/>
                <w:sz w:val="21"/>
              </w:rPr>
            </w:pPr>
            <w:r>
              <w:rPr>
                <w:color w:val="000000"/>
                <w:sz w:val="21"/>
              </w:rPr>
              <w:t>0.01</w:t>
            </w:r>
          </w:p>
        </w:tc>
        <w:tc>
          <w:tcPr>
            <w:tcW w:w="469" w:type="pct"/>
            <w:vAlign w:val="center"/>
          </w:tcPr>
          <w:p w14:paraId="541A382A">
            <w:pPr>
              <w:spacing w:line="240" w:lineRule="exact"/>
              <w:jc w:val="center"/>
              <w:rPr>
                <w:color w:val="000000"/>
                <w:sz w:val="21"/>
              </w:rPr>
            </w:pPr>
            <w:r>
              <w:rPr>
                <w:color w:val="000000"/>
                <w:sz w:val="21"/>
              </w:rPr>
              <w:t>0.0003L</w:t>
            </w:r>
          </w:p>
        </w:tc>
        <w:tc>
          <w:tcPr>
            <w:tcW w:w="469" w:type="pct"/>
            <w:vAlign w:val="center"/>
          </w:tcPr>
          <w:p w14:paraId="47FC227A">
            <w:pPr>
              <w:spacing w:line="240" w:lineRule="exact"/>
              <w:jc w:val="center"/>
              <w:rPr>
                <w:color w:val="000000"/>
                <w:sz w:val="21"/>
              </w:rPr>
            </w:pPr>
            <w:r>
              <w:rPr>
                <w:color w:val="000000"/>
                <w:sz w:val="21"/>
              </w:rPr>
              <w:t>5×10</w:t>
            </w:r>
            <w:r>
              <w:rPr>
                <w:color w:val="000000"/>
                <w:sz w:val="21"/>
                <w:vertAlign w:val="superscript"/>
              </w:rPr>
              <w:t>-3</w:t>
            </w:r>
            <w:r>
              <w:rPr>
                <w:color w:val="000000"/>
                <w:sz w:val="21"/>
              </w:rPr>
              <w:t>L</w:t>
            </w:r>
          </w:p>
        </w:tc>
      </w:tr>
      <w:tr w14:paraId="2474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7" w:type="pct"/>
            <w:vMerge w:val="continue"/>
            <w:vAlign w:val="center"/>
          </w:tcPr>
          <w:p w14:paraId="076075B2">
            <w:pPr>
              <w:spacing w:line="240" w:lineRule="exact"/>
              <w:jc w:val="center"/>
              <w:rPr>
                <w:color w:val="000000"/>
                <w:sz w:val="21"/>
              </w:rPr>
            </w:pPr>
          </w:p>
        </w:tc>
        <w:tc>
          <w:tcPr>
            <w:tcW w:w="481" w:type="pct"/>
            <w:vAlign w:val="center"/>
          </w:tcPr>
          <w:p w14:paraId="7D4B35A4">
            <w:pPr>
              <w:autoSpaceDE w:val="0"/>
              <w:autoSpaceDN w:val="0"/>
              <w:spacing w:line="240" w:lineRule="exact"/>
              <w:jc w:val="center"/>
              <w:rPr>
                <w:color w:val="000000"/>
                <w:w w:val="90"/>
                <w:sz w:val="21"/>
              </w:rPr>
            </w:pPr>
            <w:r>
              <w:rPr>
                <w:color w:val="000000"/>
                <w:w w:val="90"/>
                <w:sz w:val="21"/>
              </w:rPr>
              <w:t>超标率%</w:t>
            </w:r>
          </w:p>
        </w:tc>
        <w:tc>
          <w:tcPr>
            <w:tcW w:w="303" w:type="pct"/>
            <w:vAlign w:val="center"/>
          </w:tcPr>
          <w:p w14:paraId="0200C03C">
            <w:pPr>
              <w:spacing w:line="240" w:lineRule="exact"/>
              <w:jc w:val="center"/>
              <w:rPr>
                <w:color w:val="000000"/>
                <w:sz w:val="21"/>
              </w:rPr>
            </w:pPr>
            <w:r>
              <w:rPr>
                <w:color w:val="000000"/>
                <w:sz w:val="21"/>
              </w:rPr>
              <w:t>0</w:t>
            </w:r>
          </w:p>
        </w:tc>
        <w:tc>
          <w:tcPr>
            <w:tcW w:w="429" w:type="pct"/>
            <w:vAlign w:val="center"/>
          </w:tcPr>
          <w:p w14:paraId="4659B47B">
            <w:pPr>
              <w:spacing w:line="240" w:lineRule="exact"/>
              <w:jc w:val="center"/>
              <w:rPr>
                <w:color w:val="000000"/>
                <w:sz w:val="21"/>
              </w:rPr>
            </w:pPr>
            <w:r>
              <w:rPr>
                <w:color w:val="000000"/>
                <w:sz w:val="21"/>
              </w:rPr>
              <w:t>0</w:t>
            </w:r>
          </w:p>
        </w:tc>
        <w:tc>
          <w:tcPr>
            <w:tcW w:w="492" w:type="pct"/>
            <w:vAlign w:val="center"/>
          </w:tcPr>
          <w:p w14:paraId="54A43A35">
            <w:pPr>
              <w:spacing w:line="240" w:lineRule="exact"/>
              <w:jc w:val="center"/>
              <w:rPr>
                <w:color w:val="000000"/>
                <w:sz w:val="21"/>
              </w:rPr>
            </w:pPr>
            <w:r>
              <w:rPr>
                <w:color w:val="000000"/>
                <w:sz w:val="21"/>
              </w:rPr>
              <w:t>0</w:t>
            </w:r>
          </w:p>
        </w:tc>
        <w:tc>
          <w:tcPr>
            <w:tcW w:w="431" w:type="pct"/>
            <w:vAlign w:val="center"/>
          </w:tcPr>
          <w:p w14:paraId="277C10D7">
            <w:pPr>
              <w:spacing w:line="240" w:lineRule="exact"/>
              <w:jc w:val="center"/>
              <w:rPr>
                <w:color w:val="000000"/>
                <w:sz w:val="21"/>
              </w:rPr>
            </w:pPr>
            <w:r>
              <w:rPr>
                <w:color w:val="000000"/>
                <w:sz w:val="21"/>
              </w:rPr>
              <w:t>0</w:t>
            </w:r>
          </w:p>
        </w:tc>
        <w:tc>
          <w:tcPr>
            <w:tcW w:w="370" w:type="pct"/>
            <w:vAlign w:val="center"/>
          </w:tcPr>
          <w:p w14:paraId="7258F2DC">
            <w:pPr>
              <w:spacing w:line="240" w:lineRule="exact"/>
              <w:jc w:val="center"/>
              <w:rPr>
                <w:color w:val="000000"/>
                <w:sz w:val="21"/>
              </w:rPr>
            </w:pPr>
            <w:r>
              <w:rPr>
                <w:color w:val="000000"/>
                <w:sz w:val="21"/>
              </w:rPr>
              <w:t>0</w:t>
            </w:r>
          </w:p>
        </w:tc>
        <w:tc>
          <w:tcPr>
            <w:tcW w:w="413" w:type="pct"/>
            <w:vAlign w:val="center"/>
          </w:tcPr>
          <w:p w14:paraId="7489AF89">
            <w:pPr>
              <w:spacing w:line="240" w:lineRule="exact"/>
              <w:jc w:val="center"/>
              <w:rPr>
                <w:color w:val="000000"/>
                <w:sz w:val="21"/>
              </w:rPr>
            </w:pPr>
            <w:r>
              <w:rPr>
                <w:color w:val="000000"/>
                <w:sz w:val="21"/>
              </w:rPr>
              <w:t>0</w:t>
            </w:r>
          </w:p>
        </w:tc>
        <w:tc>
          <w:tcPr>
            <w:tcW w:w="412" w:type="pct"/>
            <w:vAlign w:val="center"/>
          </w:tcPr>
          <w:p w14:paraId="406257AB">
            <w:pPr>
              <w:spacing w:line="240" w:lineRule="exact"/>
              <w:jc w:val="center"/>
              <w:rPr>
                <w:color w:val="000000"/>
                <w:sz w:val="21"/>
              </w:rPr>
            </w:pPr>
            <w:r>
              <w:rPr>
                <w:color w:val="000000"/>
                <w:sz w:val="21"/>
              </w:rPr>
              <w:t>0</w:t>
            </w:r>
          </w:p>
        </w:tc>
        <w:tc>
          <w:tcPr>
            <w:tcW w:w="469" w:type="pct"/>
            <w:vAlign w:val="center"/>
          </w:tcPr>
          <w:p w14:paraId="60509FF7">
            <w:pPr>
              <w:spacing w:line="240" w:lineRule="exact"/>
              <w:jc w:val="center"/>
              <w:rPr>
                <w:color w:val="000000"/>
                <w:sz w:val="21"/>
              </w:rPr>
            </w:pPr>
            <w:r>
              <w:rPr>
                <w:color w:val="000000"/>
                <w:sz w:val="21"/>
              </w:rPr>
              <w:t>0</w:t>
            </w:r>
          </w:p>
        </w:tc>
        <w:tc>
          <w:tcPr>
            <w:tcW w:w="469" w:type="pct"/>
            <w:vAlign w:val="center"/>
          </w:tcPr>
          <w:p w14:paraId="49BF6E3B">
            <w:pPr>
              <w:spacing w:line="240" w:lineRule="exact"/>
              <w:jc w:val="center"/>
              <w:rPr>
                <w:color w:val="000000"/>
                <w:sz w:val="21"/>
              </w:rPr>
            </w:pPr>
            <w:r>
              <w:rPr>
                <w:color w:val="000000"/>
                <w:sz w:val="21"/>
              </w:rPr>
              <w:t>0</w:t>
            </w:r>
          </w:p>
        </w:tc>
        <w:tc>
          <w:tcPr>
            <w:tcW w:w="469" w:type="pct"/>
            <w:vAlign w:val="center"/>
          </w:tcPr>
          <w:p w14:paraId="6A50D64E">
            <w:pPr>
              <w:spacing w:line="240" w:lineRule="exact"/>
              <w:jc w:val="center"/>
              <w:rPr>
                <w:color w:val="000000"/>
                <w:sz w:val="21"/>
              </w:rPr>
            </w:pPr>
            <w:r>
              <w:rPr>
                <w:color w:val="000000"/>
                <w:sz w:val="21"/>
              </w:rPr>
              <w:t>0</w:t>
            </w:r>
          </w:p>
        </w:tc>
      </w:tr>
      <w:tr w14:paraId="0A36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7" w:type="pct"/>
            <w:vMerge w:val="continue"/>
            <w:vAlign w:val="center"/>
          </w:tcPr>
          <w:p w14:paraId="7616D87E">
            <w:pPr>
              <w:spacing w:line="240" w:lineRule="exact"/>
              <w:jc w:val="center"/>
              <w:rPr>
                <w:color w:val="000000"/>
                <w:sz w:val="21"/>
              </w:rPr>
            </w:pPr>
          </w:p>
        </w:tc>
        <w:tc>
          <w:tcPr>
            <w:tcW w:w="481" w:type="pct"/>
            <w:vAlign w:val="center"/>
          </w:tcPr>
          <w:p w14:paraId="732F755D">
            <w:pPr>
              <w:autoSpaceDE w:val="0"/>
              <w:autoSpaceDN w:val="0"/>
              <w:spacing w:line="240" w:lineRule="exact"/>
              <w:jc w:val="center"/>
              <w:rPr>
                <w:color w:val="000000"/>
                <w:w w:val="90"/>
                <w:sz w:val="21"/>
              </w:rPr>
            </w:pPr>
            <w:r>
              <w:rPr>
                <w:color w:val="000000"/>
                <w:w w:val="90"/>
                <w:sz w:val="21"/>
              </w:rPr>
              <w:t>Ii值</w:t>
            </w:r>
          </w:p>
        </w:tc>
        <w:tc>
          <w:tcPr>
            <w:tcW w:w="303" w:type="pct"/>
            <w:vAlign w:val="center"/>
          </w:tcPr>
          <w:p w14:paraId="1578C047">
            <w:pPr>
              <w:spacing w:line="240" w:lineRule="exact"/>
              <w:jc w:val="center"/>
              <w:rPr>
                <w:color w:val="000000"/>
                <w:sz w:val="21"/>
              </w:rPr>
            </w:pPr>
            <w:r>
              <w:rPr>
                <w:color w:val="000000"/>
                <w:sz w:val="21"/>
              </w:rPr>
              <w:t>0.04</w:t>
            </w:r>
          </w:p>
        </w:tc>
        <w:tc>
          <w:tcPr>
            <w:tcW w:w="429" w:type="pct"/>
            <w:vAlign w:val="center"/>
          </w:tcPr>
          <w:p w14:paraId="14A02976">
            <w:pPr>
              <w:spacing w:line="240" w:lineRule="exact"/>
              <w:jc w:val="center"/>
              <w:rPr>
                <w:color w:val="000000"/>
                <w:sz w:val="21"/>
              </w:rPr>
            </w:pPr>
            <w:r>
              <w:rPr>
                <w:color w:val="000000"/>
                <w:sz w:val="21"/>
              </w:rPr>
              <w:t>0.357</w:t>
            </w:r>
          </w:p>
        </w:tc>
        <w:tc>
          <w:tcPr>
            <w:tcW w:w="492" w:type="pct"/>
            <w:vAlign w:val="center"/>
          </w:tcPr>
          <w:p w14:paraId="6E9AFCC6">
            <w:pPr>
              <w:spacing w:line="240" w:lineRule="exact"/>
              <w:jc w:val="center"/>
              <w:rPr>
                <w:color w:val="000000"/>
                <w:sz w:val="21"/>
              </w:rPr>
            </w:pPr>
            <w:r>
              <w:rPr>
                <w:color w:val="000000"/>
                <w:sz w:val="21"/>
              </w:rPr>
              <w:t>0.53</w:t>
            </w:r>
          </w:p>
        </w:tc>
        <w:tc>
          <w:tcPr>
            <w:tcW w:w="431" w:type="pct"/>
            <w:vAlign w:val="center"/>
          </w:tcPr>
          <w:p w14:paraId="46A881C2">
            <w:pPr>
              <w:spacing w:line="240" w:lineRule="exact"/>
              <w:jc w:val="center"/>
              <w:rPr>
                <w:color w:val="000000"/>
                <w:sz w:val="21"/>
              </w:rPr>
            </w:pPr>
            <w:r>
              <w:rPr>
                <w:color w:val="000000"/>
                <w:sz w:val="21"/>
              </w:rPr>
              <w:t>0.0645</w:t>
            </w:r>
          </w:p>
        </w:tc>
        <w:tc>
          <w:tcPr>
            <w:tcW w:w="370" w:type="pct"/>
            <w:vAlign w:val="center"/>
          </w:tcPr>
          <w:p w14:paraId="7E15BA07">
            <w:pPr>
              <w:spacing w:line="240" w:lineRule="exact"/>
              <w:jc w:val="center"/>
              <w:rPr>
                <w:color w:val="000000"/>
                <w:sz w:val="21"/>
              </w:rPr>
            </w:pPr>
            <w:r>
              <w:rPr>
                <w:color w:val="000000"/>
                <w:sz w:val="21"/>
              </w:rPr>
              <w:t>0.202</w:t>
            </w:r>
          </w:p>
        </w:tc>
        <w:tc>
          <w:tcPr>
            <w:tcW w:w="413" w:type="pct"/>
            <w:vAlign w:val="center"/>
          </w:tcPr>
          <w:p w14:paraId="69EF9692">
            <w:pPr>
              <w:spacing w:line="240" w:lineRule="exact"/>
              <w:jc w:val="center"/>
              <w:rPr>
                <w:color w:val="000000"/>
                <w:sz w:val="21"/>
              </w:rPr>
            </w:pPr>
            <w:r>
              <w:rPr>
                <w:color w:val="000000"/>
                <w:sz w:val="21"/>
              </w:rPr>
              <w:t>0.14</w:t>
            </w:r>
          </w:p>
        </w:tc>
        <w:tc>
          <w:tcPr>
            <w:tcW w:w="412" w:type="pct"/>
            <w:vAlign w:val="center"/>
          </w:tcPr>
          <w:p w14:paraId="3E70553B">
            <w:pPr>
              <w:spacing w:line="240" w:lineRule="exact"/>
              <w:jc w:val="center"/>
              <w:rPr>
                <w:color w:val="000000"/>
                <w:sz w:val="21"/>
              </w:rPr>
            </w:pPr>
            <w:r>
              <w:rPr>
                <w:color w:val="000000"/>
                <w:sz w:val="21"/>
              </w:rPr>
              <w:t>0.28</w:t>
            </w:r>
          </w:p>
        </w:tc>
        <w:tc>
          <w:tcPr>
            <w:tcW w:w="469" w:type="pct"/>
            <w:vAlign w:val="center"/>
          </w:tcPr>
          <w:p w14:paraId="2AD3DC61">
            <w:pPr>
              <w:spacing w:line="240" w:lineRule="exact"/>
              <w:jc w:val="center"/>
              <w:rPr>
                <w:color w:val="000000"/>
                <w:sz w:val="21"/>
              </w:rPr>
            </w:pPr>
            <w:r>
              <w:rPr>
                <w:color w:val="000000"/>
                <w:sz w:val="21"/>
              </w:rPr>
              <w:t>0.01</w:t>
            </w:r>
          </w:p>
        </w:tc>
        <w:tc>
          <w:tcPr>
            <w:tcW w:w="469" w:type="pct"/>
            <w:vAlign w:val="center"/>
          </w:tcPr>
          <w:p w14:paraId="3C51D7FD">
            <w:pPr>
              <w:spacing w:line="240" w:lineRule="exact"/>
              <w:jc w:val="center"/>
              <w:rPr>
                <w:color w:val="000000"/>
                <w:sz w:val="21"/>
              </w:rPr>
            </w:pPr>
            <w:r>
              <w:rPr>
                <w:color w:val="000000"/>
                <w:sz w:val="21"/>
              </w:rPr>
              <w:t>/</w:t>
            </w:r>
          </w:p>
        </w:tc>
        <w:tc>
          <w:tcPr>
            <w:tcW w:w="469" w:type="pct"/>
            <w:vAlign w:val="center"/>
          </w:tcPr>
          <w:p w14:paraId="10FD7278">
            <w:pPr>
              <w:spacing w:line="240" w:lineRule="exact"/>
              <w:jc w:val="center"/>
              <w:rPr>
                <w:color w:val="000000"/>
                <w:sz w:val="21"/>
              </w:rPr>
            </w:pPr>
            <w:r>
              <w:rPr>
                <w:color w:val="000000"/>
                <w:sz w:val="21"/>
              </w:rPr>
              <w:t>/</w:t>
            </w:r>
          </w:p>
        </w:tc>
      </w:tr>
      <w:tr w14:paraId="2351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7" w:type="pct"/>
            <w:vMerge w:val="restart"/>
            <w:vAlign w:val="center"/>
          </w:tcPr>
          <w:p w14:paraId="13850E8F">
            <w:pPr>
              <w:spacing w:line="240" w:lineRule="exact"/>
              <w:jc w:val="center"/>
              <w:rPr>
                <w:color w:val="000000"/>
                <w:sz w:val="21"/>
              </w:rPr>
            </w:pPr>
            <w:r>
              <w:rPr>
                <w:color w:val="000000"/>
                <w:sz w:val="21"/>
              </w:rPr>
              <w:t>HS3</w:t>
            </w:r>
          </w:p>
        </w:tc>
        <w:tc>
          <w:tcPr>
            <w:tcW w:w="481" w:type="pct"/>
            <w:vAlign w:val="center"/>
          </w:tcPr>
          <w:p w14:paraId="76C087F8">
            <w:pPr>
              <w:spacing w:line="240" w:lineRule="exact"/>
              <w:jc w:val="center"/>
              <w:rPr>
                <w:color w:val="000000"/>
                <w:sz w:val="21"/>
              </w:rPr>
            </w:pPr>
            <w:r>
              <w:rPr>
                <w:color w:val="000000"/>
                <w:sz w:val="21"/>
              </w:rPr>
              <w:t>监测值</w:t>
            </w:r>
          </w:p>
        </w:tc>
        <w:tc>
          <w:tcPr>
            <w:tcW w:w="303" w:type="pct"/>
            <w:vAlign w:val="center"/>
          </w:tcPr>
          <w:p w14:paraId="12976230">
            <w:pPr>
              <w:spacing w:line="240" w:lineRule="exact"/>
              <w:jc w:val="center"/>
              <w:rPr>
                <w:color w:val="000000"/>
                <w:sz w:val="21"/>
              </w:rPr>
            </w:pPr>
            <w:r>
              <w:rPr>
                <w:color w:val="000000"/>
                <w:sz w:val="21"/>
              </w:rPr>
              <w:t>6.94</w:t>
            </w:r>
          </w:p>
        </w:tc>
        <w:tc>
          <w:tcPr>
            <w:tcW w:w="429" w:type="pct"/>
            <w:vAlign w:val="center"/>
          </w:tcPr>
          <w:p w14:paraId="56C52E8A">
            <w:pPr>
              <w:spacing w:line="240" w:lineRule="exact"/>
              <w:jc w:val="center"/>
              <w:rPr>
                <w:color w:val="000000"/>
                <w:sz w:val="21"/>
              </w:rPr>
            </w:pPr>
            <w:r>
              <w:rPr>
                <w:color w:val="000000"/>
                <w:sz w:val="21"/>
              </w:rPr>
              <w:t>334</w:t>
            </w:r>
          </w:p>
        </w:tc>
        <w:tc>
          <w:tcPr>
            <w:tcW w:w="492" w:type="pct"/>
            <w:vAlign w:val="center"/>
          </w:tcPr>
          <w:p w14:paraId="1811E0EB">
            <w:pPr>
              <w:spacing w:line="240" w:lineRule="exact"/>
              <w:jc w:val="center"/>
              <w:rPr>
                <w:color w:val="000000"/>
                <w:sz w:val="21"/>
              </w:rPr>
            </w:pPr>
            <w:r>
              <w:rPr>
                <w:color w:val="000000"/>
                <w:sz w:val="21"/>
              </w:rPr>
              <w:t>1.4</w:t>
            </w:r>
          </w:p>
        </w:tc>
        <w:tc>
          <w:tcPr>
            <w:tcW w:w="431" w:type="pct"/>
            <w:vAlign w:val="center"/>
          </w:tcPr>
          <w:p w14:paraId="7155D938">
            <w:pPr>
              <w:spacing w:line="240" w:lineRule="exact"/>
              <w:jc w:val="center"/>
              <w:rPr>
                <w:color w:val="000000"/>
                <w:sz w:val="21"/>
              </w:rPr>
            </w:pPr>
            <w:r>
              <w:rPr>
                <w:color w:val="000000"/>
                <w:sz w:val="21"/>
              </w:rPr>
              <w:t>1.04</w:t>
            </w:r>
          </w:p>
        </w:tc>
        <w:tc>
          <w:tcPr>
            <w:tcW w:w="370" w:type="pct"/>
            <w:vAlign w:val="center"/>
          </w:tcPr>
          <w:p w14:paraId="1182612F">
            <w:pPr>
              <w:spacing w:line="240" w:lineRule="exact"/>
              <w:jc w:val="center"/>
              <w:rPr>
                <w:color w:val="000000"/>
                <w:sz w:val="21"/>
              </w:rPr>
            </w:pPr>
            <w:r>
              <w:rPr>
                <w:color w:val="000000"/>
                <w:sz w:val="21"/>
              </w:rPr>
              <w:t>0.097</w:t>
            </w:r>
          </w:p>
        </w:tc>
        <w:tc>
          <w:tcPr>
            <w:tcW w:w="413" w:type="pct"/>
            <w:vAlign w:val="center"/>
          </w:tcPr>
          <w:p w14:paraId="11D73710">
            <w:pPr>
              <w:spacing w:line="240" w:lineRule="exact"/>
              <w:jc w:val="center"/>
              <w:rPr>
                <w:color w:val="000000"/>
                <w:sz w:val="21"/>
              </w:rPr>
            </w:pPr>
            <w:r>
              <w:rPr>
                <w:color w:val="000000"/>
                <w:sz w:val="21"/>
              </w:rPr>
              <w:t>30</w:t>
            </w:r>
          </w:p>
        </w:tc>
        <w:tc>
          <w:tcPr>
            <w:tcW w:w="412" w:type="pct"/>
            <w:vAlign w:val="center"/>
          </w:tcPr>
          <w:p w14:paraId="337F05EF">
            <w:pPr>
              <w:spacing w:line="240" w:lineRule="exact"/>
              <w:jc w:val="center"/>
              <w:rPr>
                <w:color w:val="000000"/>
                <w:sz w:val="21"/>
              </w:rPr>
            </w:pPr>
            <w:r>
              <w:rPr>
                <w:color w:val="000000"/>
                <w:sz w:val="21"/>
              </w:rPr>
              <w:t>64</w:t>
            </w:r>
          </w:p>
        </w:tc>
        <w:tc>
          <w:tcPr>
            <w:tcW w:w="469" w:type="pct"/>
            <w:vAlign w:val="center"/>
          </w:tcPr>
          <w:p w14:paraId="4CA602F5">
            <w:pPr>
              <w:spacing w:line="240" w:lineRule="exact"/>
              <w:jc w:val="center"/>
              <w:rPr>
                <w:color w:val="000000"/>
                <w:sz w:val="21"/>
              </w:rPr>
            </w:pPr>
            <w:r>
              <w:rPr>
                <w:color w:val="000000"/>
                <w:sz w:val="21"/>
              </w:rPr>
              <w:t>0.097</w:t>
            </w:r>
          </w:p>
        </w:tc>
        <w:tc>
          <w:tcPr>
            <w:tcW w:w="469" w:type="pct"/>
            <w:vAlign w:val="center"/>
          </w:tcPr>
          <w:p w14:paraId="2F465439">
            <w:pPr>
              <w:spacing w:line="240" w:lineRule="exact"/>
              <w:jc w:val="center"/>
              <w:rPr>
                <w:color w:val="000000"/>
                <w:sz w:val="21"/>
              </w:rPr>
            </w:pPr>
            <w:r>
              <w:rPr>
                <w:color w:val="000000"/>
                <w:sz w:val="21"/>
              </w:rPr>
              <w:t>0.0003L</w:t>
            </w:r>
          </w:p>
        </w:tc>
        <w:tc>
          <w:tcPr>
            <w:tcW w:w="469" w:type="pct"/>
            <w:vAlign w:val="center"/>
          </w:tcPr>
          <w:p w14:paraId="4EA60D6A">
            <w:pPr>
              <w:spacing w:line="240" w:lineRule="exact"/>
              <w:jc w:val="center"/>
              <w:rPr>
                <w:color w:val="000000"/>
                <w:sz w:val="21"/>
              </w:rPr>
            </w:pPr>
            <w:r>
              <w:rPr>
                <w:color w:val="000000"/>
                <w:sz w:val="21"/>
              </w:rPr>
              <w:t>5×10</w:t>
            </w:r>
            <w:r>
              <w:rPr>
                <w:color w:val="000000"/>
                <w:sz w:val="21"/>
                <w:vertAlign w:val="superscript"/>
              </w:rPr>
              <w:t>-3</w:t>
            </w:r>
            <w:r>
              <w:rPr>
                <w:color w:val="000000"/>
                <w:sz w:val="21"/>
              </w:rPr>
              <w:t>L</w:t>
            </w:r>
          </w:p>
        </w:tc>
      </w:tr>
      <w:tr w14:paraId="6CE1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7" w:type="pct"/>
            <w:vMerge w:val="continue"/>
            <w:vAlign w:val="center"/>
          </w:tcPr>
          <w:p w14:paraId="30E8868E">
            <w:pPr>
              <w:spacing w:line="240" w:lineRule="exact"/>
              <w:jc w:val="center"/>
              <w:rPr>
                <w:color w:val="000000"/>
                <w:sz w:val="21"/>
              </w:rPr>
            </w:pPr>
          </w:p>
        </w:tc>
        <w:tc>
          <w:tcPr>
            <w:tcW w:w="481" w:type="pct"/>
            <w:vAlign w:val="center"/>
          </w:tcPr>
          <w:p w14:paraId="17B79329">
            <w:pPr>
              <w:autoSpaceDE w:val="0"/>
              <w:autoSpaceDN w:val="0"/>
              <w:spacing w:line="240" w:lineRule="exact"/>
              <w:jc w:val="center"/>
              <w:rPr>
                <w:color w:val="000000"/>
                <w:w w:val="90"/>
                <w:sz w:val="21"/>
              </w:rPr>
            </w:pPr>
            <w:r>
              <w:rPr>
                <w:color w:val="000000"/>
                <w:w w:val="90"/>
                <w:sz w:val="21"/>
              </w:rPr>
              <w:t>超标率%</w:t>
            </w:r>
          </w:p>
        </w:tc>
        <w:tc>
          <w:tcPr>
            <w:tcW w:w="303" w:type="pct"/>
            <w:vAlign w:val="center"/>
          </w:tcPr>
          <w:p w14:paraId="58C75682">
            <w:pPr>
              <w:spacing w:line="240" w:lineRule="exact"/>
              <w:jc w:val="center"/>
              <w:rPr>
                <w:color w:val="000000"/>
                <w:sz w:val="21"/>
              </w:rPr>
            </w:pPr>
            <w:r>
              <w:rPr>
                <w:color w:val="000000"/>
                <w:sz w:val="21"/>
              </w:rPr>
              <w:t>0</w:t>
            </w:r>
          </w:p>
        </w:tc>
        <w:tc>
          <w:tcPr>
            <w:tcW w:w="429" w:type="pct"/>
            <w:vAlign w:val="center"/>
          </w:tcPr>
          <w:p w14:paraId="4B98C33B">
            <w:pPr>
              <w:spacing w:line="240" w:lineRule="exact"/>
              <w:jc w:val="center"/>
              <w:rPr>
                <w:color w:val="000000"/>
                <w:sz w:val="21"/>
              </w:rPr>
            </w:pPr>
            <w:r>
              <w:rPr>
                <w:color w:val="000000"/>
                <w:sz w:val="21"/>
              </w:rPr>
              <w:t>0</w:t>
            </w:r>
          </w:p>
        </w:tc>
        <w:tc>
          <w:tcPr>
            <w:tcW w:w="492" w:type="pct"/>
            <w:vAlign w:val="center"/>
          </w:tcPr>
          <w:p w14:paraId="1BC3E830">
            <w:pPr>
              <w:spacing w:line="240" w:lineRule="exact"/>
              <w:jc w:val="center"/>
              <w:rPr>
                <w:color w:val="000000"/>
                <w:sz w:val="21"/>
              </w:rPr>
            </w:pPr>
            <w:r>
              <w:rPr>
                <w:color w:val="000000"/>
                <w:sz w:val="21"/>
              </w:rPr>
              <w:t>0</w:t>
            </w:r>
          </w:p>
        </w:tc>
        <w:tc>
          <w:tcPr>
            <w:tcW w:w="431" w:type="pct"/>
            <w:vAlign w:val="center"/>
          </w:tcPr>
          <w:p w14:paraId="25495980">
            <w:pPr>
              <w:spacing w:line="240" w:lineRule="exact"/>
              <w:jc w:val="center"/>
              <w:rPr>
                <w:color w:val="000000"/>
                <w:sz w:val="21"/>
              </w:rPr>
            </w:pPr>
            <w:r>
              <w:rPr>
                <w:color w:val="000000"/>
                <w:sz w:val="21"/>
              </w:rPr>
              <w:t>0</w:t>
            </w:r>
          </w:p>
        </w:tc>
        <w:tc>
          <w:tcPr>
            <w:tcW w:w="370" w:type="pct"/>
            <w:vAlign w:val="center"/>
          </w:tcPr>
          <w:p w14:paraId="3F13643A">
            <w:pPr>
              <w:spacing w:line="240" w:lineRule="exact"/>
              <w:jc w:val="center"/>
              <w:rPr>
                <w:color w:val="000000"/>
                <w:sz w:val="21"/>
              </w:rPr>
            </w:pPr>
            <w:r>
              <w:rPr>
                <w:color w:val="000000"/>
                <w:sz w:val="21"/>
              </w:rPr>
              <w:t>0</w:t>
            </w:r>
          </w:p>
        </w:tc>
        <w:tc>
          <w:tcPr>
            <w:tcW w:w="413" w:type="pct"/>
            <w:vAlign w:val="center"/>
          </w:tcPr>
          <w:p w14:paraId="03745E84">
            <w:pPr>
              <w:spacing w:line="240" w:lineRule="exact"/>
              <w:jc w:val="center"/>
              <w:rPr>
                <w:color w:val="000000"/>
                <w:sz w:val="21"/>
              </w:rPr>
            </w:pPr>
            <w:r>
              <w:rPr>
                <w:color w:val="000000"/>
                <w:sz w:val="21"/>
              </w:rPr>
              <w:t>0</w:t>
            </w:r>
          </w:p>
        </w:tc>
        <w:tc>
          <w:tcPr>
            <w:tcW w:w="412" w:type="pct"/>
            <w:vAlign w:val="center"/>
          </w:tcPr>
          <w:p w14:paraId="6B078465">
            <w:pPr>
              <w:spacing w:line="240" w:lineRule="exact"/>
              <w:jc w:val="center"/>
              <w:rPr>
                <w:color w:val="000000"/>
                <w:sz w:val="21"/>
              </w:rPr>
            </w:pPr>
            <w:r>
              <w:rPr>
                <w:color w:val="000000"/>
                <w:sz w:val="21"/>
              </w:rPr>
              <w:t>0</w:t>
            </w:r>
          </w:p>
        </w:tc>
        <w:tc>
          <w:tcPr>
            <w:tcW w:w="469" w:type="pct"/>
            <w:vAlign w:val="center"/>
          </w:tcPr>
          <w:p w14:paraId="2CBC0598">
            <w:pPr>
              <w:spacing w:line="240" w:lineRule="exact"/>
              <w:jc w:val="center"/>
              <w:rPr>
                <w:color w:val="000000"/>
                <w:sz w:val="21"/>
              </w:rPr>
            </w:pPr>
            <w:r>
              <w:rPr>
                <w:color w:val="000000"/>
                <w:sz w:val="21"/>
              </w:rPr>
              <w:t>0</w:t>
            </w:r>
          </w:p>
        </w:tc>
        <w:tc>
          <w:tcPr>
            <w:tcW w:w="469" w:type="pct"/>
            <w:vAlign w:val="center"/>
          </w:tcPr>
          <w:p w14:paraId="659081B1">
            <w:pPr>
              <w:spacing w:line="240" w:lineRule="exact"/>
              <w:jc w:val="center"/>
              <w:rPr>
                <w:color w:val="000000"/>
                <w:sz w:val="21"/>
              </w:rPr>
            </w:pPr>
            <w:r>
              <w:rPr>
                <w:color w:val="000000"/>
                <w:sz w:val="21"/>
              </w:rPr>
              <w:t>0</w:t>
            </w:r>
          </w:p>
        </w:tc>
        <w:tc>
          <w:tcPr>
            <w:tcW w:w="469" w:type="pct"/>
            <w:vAlign w:val="center"/>
          </w:tcPr>
          <w:p w14:paraId="5178F0E6">
            <w:pPr>
              <w:spacing w:line="240" w:lineRule="exact"/>
              <w:jc w:val="center"/>
              <w:rPr>
                <w:color w:val="000000"/>
                <w:sz w:val="21"/>
              </w:rPr>
            </w:pPr>
            <w:r>
              <w:rPr>
                <w:color w:val="000000"/>
                <w:sz w:val="21"/>
              </w:rPr>
              <w:t>0</w:t>
            </w:r>
          </w:p>
        </w:tc>
      </w:tr>
      <w:tr w14:paraId="693C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7" w:type="pct"/>
            <w:vMerge w:val="continue"/>
            <w:vAlign w:val="center"/>
          </w:tcPr>
          <w:p w14:paraId="3192A82C">
            <w:pPr>
              <w:spacing w:line="240" w:lineRule="exact"/>
              <w:jc w:val="center"/>
              <w:rPr>
                <w:color w:val="000000"/>
                <w:sz w:val="21"/>
              </w:rPr>
            </w:pPr>
          </w:p>
        </w:tc>
        <w:tc>
          <w:tcPr>
            <w:tcW w:w="481" w:type="pct"/>
            <w:vAlign w:val="center"/>
          </w:tcPr>
          <w:p w14:paraId="6A77E4A8">
            <w:pPr>
              <w:autoSpaceDE w:val="0"/>
              <w:autoSpaceDN w:val="0"/>
              <w:spacing w:line="240" w:lineRule="exact"/>
              <w:jc w:val="center"/>
              <w:rPr>
                <w:color w:val="000000"/>
                <w:w w:val="90"/>
                <w:sz w:val="21"/>
              </w:rPr>
            </w:pPr>
            <w:r>
              <w:rPr>
                <w:color w:val="000000"/>
                <w:w w:val="90"/>
                <w:sz w:val="21"/>
              </w:rPr>
              <w:t>Ii值</w:t>
            </w:r>
          </w:p>
        </w:tc>
        <w:tc>
          <w:tcPr>
            <w:tcW w:w="303" w:type="pct"/>
            <w:vAlign w:val="center"/>
          </w:tcPr>
          <w:p w14:paraId="4BC484FA">
            <w:pPr>
              <w:spacing w:line="240" w:lineRule="exact"/>
              <w:jc w:val="center"/>
              <w:rPr>
                <w:color w:val="000000"/>
                <w:sz w:val="21"/>
              </w:rPr>
            </w:pPr>
            <w:r>
              <w:rPr>
                <w:color w:val="000000"/>
                <w:sz w:val="21"/>
              </w:rPr>
              <w:t>0.12</w:t>
            </w:r>
          </w:p>
        </w:tc>
        <w:tc>
          <w:tcPr>
            <w:tcW w:w="429" w:type="pct"/>
            <w:vAlign w:val="center"/>
          </w:tcPr>
          <w:p w14:paraId="79F14CC2">
            <w:pPr>
              <w:spacing w:line="240" w:lineRule="exact"/>
              <w:jc w:val="center"/>
              <w:rPr>
                <w:color w:val="000000"/>
                <w:sz w:val="21"/>
              </w:rPr>
            </w:pPr>
            <w:r>
              <w:rPr>
                <w:color w:val="000000"/>
                <w:sz w:val="21"/>
              </w:rPr>
              <w:t>0.334</w:t>
            </w:r>
          </w:p>
        </w:tc>
        <w:tc>
          <w:tcPr>
            <w:tcW w:w="492" w:type="pct"/>
            <w:vAlign w:val="center"/>
          </w:tcPr>
          <w:p w14:paraId="5A8B568E">
            <w:pPr>
              <w:spacing w:line="240" w:lineRule="exact"/>
              <w:jc w:val="center"/>
              <w:rPr>
                <w:color w:val="000000"/>
                <w:sz w:val="21"/>
              </w:rPr>
            </w:pPr>
            <w:r>
              <w:rPr>
                <w:color w:val="000000"/>
                <w:sz w:val="21"/>
              </w:rPr>
              <w:t>0.47</w:t>
            </w:r>
          </w:p>
        </w:tc>
        <w:tc>
          <w:tcPr>
            <w:tcW w:w="431" w:type="pct"/>
            <w:vAlign w:val="center"/>
          </w:tcPr>
          <w:p w14:paraId="7FB6ACAB">
            <w:pPr>
              <w:spacing w:line="240" w:lineRule="exact"/>
              <w:jc w:val="center"/>
              <w:rPr>
                <w:color w:val="000000"/>
                <w:sz w:val="21"/>
              </w:rPr>
            </w:pPr>
            <w:r>
              <w:rPr>
                <w:color w:val="000000"/>
                <w:sz w:val="21"/>
              </w:rPr>
              <w:t>0.052</w:t>
            </w:r>
          </w:p>
        </w:tc>
        <w:tc>
          <w:tcPr>
            <w:tcW w:w="370" w:type="pct"/>
            <w:vAlign w:val="center"/>
          </w:tcPr>
          <w:p w14:paraId="459BC2C6">
            <w:pPr>
              <w:spacing w:line="240" w:lineRule="exact"/>
              <w:jc w:val="center"/>
              <w:rPr>
                <w:color w:val="000000"/>
                <w:sz w:val="21"/>
              </w:rPr>
            </w:pPr>
            <w:r>
              <w:rPr>
                <w:color w:val="000000"/>
                <w:sz w:val="21"/>
              </w:rPr>
              <w:t>0.194</w:t>
            </w:r>
          </w:p>
        </w:tc>
        <w:tc>
          <w:tcPr>
            <w:tcW w:w="413" w:type="pct"/>
            <w:vAlign w:val="center"/>
          </w:tcPr>
          <w:p w14:paraId="0F6EE4A9">
            <w:pPr>
              <w:spacing w:line="240" w:lineRule="exact"/>
              <w:jc w:val="center"/>
              <w:rPr>
                <w:color w:val="000000"/>
                <w:sz w:val="21"/>
              </w:rPr>
            </w:pPr>
            <w:r>
              <w:rPr>
                <w:color w:val="000000"/>
                <w:sz w:val="21"/>
              </w:rPr>
              <w:t>0.12</w:t>
            </w:r>
          </w:p>
        </w:tc>
        <w:tc>
          <w:tcPr>
            <w:tcW w:w="412" w:type="pct"/>
            <w:vAlign w:val="center"/>
          </w:tcPr>
          <w:p w14:paraId="7D8DF3A5">
            <w:pPr>
              <w:spacing w:line="240" w:lineRule="exact"/>
              <w:jc w:val="center"/>
              <w:rPr>
                <w:color w:val="000000"/>
                <w:sz w:val="21"/>
              </w:rPr>
            </w:pPr>
            <w:r>
              <w:rPr>
                <w:color w:val="000000"/>
                <w:sz w:val="21"/>
              </w:rPr>
              <w:t>0.256</w:t>
            </w:r>
          </w:p>
        </w:tc>
        <w:tc>
          <w:tcPr>
            <w:tcW w:w="469" w:type="pct"/>
            <w:vAlign w:val="center"/>
          </w:tcPr>
          <w:p w14:paraId="148A35B9">
            <w:pPr>
              <w:spacing w:line="240" w:lineRule="exact"/>
              <w:jc w:val="center"/>
              <w:rPr>
                <w:color w:val="000000"/>
                <w:sz w:val="21"/>
              </w:rPr>
            </w:pPr>
            <w:r>
              <w:rPr>
                <w:color w:val="000000"/>
                <w:sz w:val="21"/>
              </w:rPr>
              <w:t>0.097</w:t>
            </w:r>
          </w:p>
        </w:tc>
        <w:tc>
          <w:tcPr>
            <w:tcW w:w="469" w:type="pct"/>
            <w:vAlign w:val="center"/>
          </w:tcPr>
          <w:p w14:paraId="7F1458A1">
            <w:pPr>
              <w:spacing w:line="240" w:lineRule="exact"/>
              <w:jc w:val="center"/>
              <w:rPr>
                <w:color w:val="000000"/>
                <w:sz w:val="21"/>
              </w:rPr>
            </w:pPr>
            <w:r>
              <w:rPr>
                <w:color w:val="000000"/>
                <w:sz w:val="21"/>
              </w:rPr>
              <w:t>/</w:t>
            </w:r>
          </w:p>
        </w:tc>
        <w:tc>
          <w:tcPr>
            <w:tcW w:w="469" w:type="pct"/>
            <w:vAlign w:val="center"/>
          </w:tcPr>
          <w:p w14:paraId="16EFEAF5">
            <w:pPr>
              <w:spacing w:line="240" w:lineRule="exact"/>
              <w:jc w:val="center"/>
              <w:rPr>
                <w:color w:val="000000"/>
                <w:sz w:val="21"/>
              </w:rPr>
            </w:pPr>
            <w:r>
              <w:rPr>
                <w:color w:val="000000"/>
                <w:sz w:val="21"/>
              </w:rPr>
              <w:t>/</w:t>
            </w:r>
          </w:p>
        </w:tc>
      </w:tr>
      <w:tr w14:paraId="528B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257" w:type="pct"/>
            <w:vMerge w:val="restart"/>
            <w:vAlign w:val="center"/>
          </w:tcPr>
          <w:p w14:paraId="23553FB6">
            <w:pPr>
              <w:spacing w:line="240" w:lineRule="exact"/>
              <w:jc w:val="center"/>
              <w:rPr>
                <w:color w:val="000000"/>
              </w:rPr>
            </w:pPr>
            <w:r>
              <w:rPr>
                <w:color w:val="000000"/>
                <w:sz w:val="21"/>
              </w:rPr>
              <w:t>FX1</w:t>
            </w:r>
          </w:p>
        </w:tc>
        <w:tc>
          <w:tcPr>
            <w:tcW w:w="481" w:type="pct"/>
            <w:vAlign w:val="center"/>
          </w:tcPr>
          <w:p w14:paraId="0B45B1FD">
            <w:pPr>
              <w:spacing w:line="240" w:lineRule="exact"/>
              <w:jc w:val="center"/>
              <w:rPr>
                <w:color w:val="000000"/>
                <w:sz w:val="21"/>
              </w:rPr>
            </w:pPr>
            <w:r>
              <w:rPr>
                <w:color w:val="000000"/>
                <w:sz w:val="21"/>
              </w:rPr>
              <w:t>监测值</w:t>
            </w:r>
          </w:p>
        </w:tc>
        <w:tc>
          <w:tcPr>
            <w:tcW w:w="303" w:type="pct"/>
            <w:vAlign w:val="center"/>
          </w:tcPr>
          <w:p w14:paraId="4CCFA886">
            <w:pPr>
              <w:spacing w:line="240" w:lineRule="exact"/>
              <w:jc w:val="center"/>
              <w:rPr>
                <w:color w:val="000000"/>
                <w:sz w:val="21"/>
              </w:rPr>
            </w:pPr>
            <w:r>
              <w:rPr>
                <w:color w:val="000000"/>
                <w:sz w:val="21"/>
              </w:rPr>
              <w:t>6.86</w:t>
            </w:r>
          </w:p>
        </w:tc>
        <w:tc>
          <w:tcPr>
            <w:tcW w:w="429" w:type="pct"/>
            <w:vAlign w:val="center"/>
          </w:tcPr>
          <w:p w14:paraId="053AA041">
            <w:pPr>
              <w:spacing w:line="240" w:lineRule="exact"/>
              <w:jc w:val="center"/>
              <w:rPr>
                <w:color w:val="000000"/>
                <w:sz w:val="21"/>
              </w:rPr>
            </w:pPr>
            <w:r>
              <w:rPr>
                <w:color w:val="000000"/>
                <w:sz w:val="21"/>
              </w:rPr>
              <w:t>310</w:t>
            </w:r>
          </w:p>
        </w:tc>
        <w:tc>
          <w:tcPr>
            <w:tcW w:w="492" w:type="pct"/>
            <w:vAlign w:val="center"/>
          </w:tcPr>
          <w:p w14:paraId="4D1348BC">
            <w:pPr>
              <w:spacing w:line="240" w:lineRule="exact"/>
              <w:jc w:val="center"/>
              <w:rPr>
                <w:color w:val="000000"/>
                <w:sz w:val="21"/>
              </w:rPr>
            </w:pPr>
            <w:r>
              <w:rPr>
                <w:color w:val="000000"/>
                <w:sz w:val="21"/>
              </w:rPr>
              <w:t>2.4</w:t>
            </w:r>
          </w:p>
        </w:tc>
        <w:tc>
          <w:tcPr>
            <w:tcW w:w="431" w:type="pct"/>
            <w:vAlign w:val="center"/>
          </w:tcPr>
          <w:p w14:paraId="229BA663">
            <w:pPr>
              <w:spacing w:line="240" w:lineRule="exact"/>
              <w:jc w:val="center"/>
              <w:rPr>
                <w:color w:val="000000"/>
                <w:sz w:val="21"/>
              </w:rPr>
            </w:pPr>
            <w:r>
              <w:rPr>
                <w:color w:val="000000"/>
                <w:sz w:val="21"/>
              </w:rPr>
              <w:t>5.75</w:t>
            </w:r>
          </w:p>
        </w:tc>
        <w:tc>
          <w:tcPr>
            <w:tcW w:w="370" w:type="pct"/>
            <w:vAlign w:val="center"/>
          </w:tcPr>
          <w:p w14:paraId="26E0EE7A">
            <w:pPr>
              <w:spacing w:line="240" w:lineRule="exact"/>
              <w:jc w:val="center"/>
              <w:rPr>
                <w:color w:val="000000"/>
                <w:sz w:val="21"/>
              </w:rPr>
            </w:pPr>
            <w:r>
              <w:rPr>
                <w:color w:val="000000"/>
                <w:sz w:val="21"/>
              </w:rPr>
              <w:t>0.483</w:t>
            </w:r>
          </w:p>
        </w:tc>
        <w:tc>
          <w:tcPr>
            <w:tcW w:w="413" w:type="pct"/>
            <w:vAlign w:val="center"/>
          </w:tcPr>
          <w:p w14:paraId="5526B1BA">
            <w:pPr>
              <w:spacing w:line="240" w:lineRule="exact"/>
              <w:jc w:val="center"/>
              <w:rPr>
                <w:color w:val="000000"/>
                <w:sz w:val="21"/>
              </w:rPr>
            </w:pPr>
            <w:r>
              <w:rPr>
                <w:color w:val="000000"/>
                <w:sz w:val="21"/>
              </w:rPr>
              <w:t>6</w:t>
            </w:r>
          </w:p>
        </w:tc>
        <w:tc>
          <w:tcPr>
            <w:tcW w:w="412" w:type="pct"/>
            <w:vAlign w:val="center"/>
          </w:tcPr>
          <w:p w14:paraId="0747CFA2">
            <w:pPr>
              <w:spacing w:line="240" w:lineRule="exact"/>
              <w:jc w:val="center"/>
              <w:rPr>
                <w:color w:val="000000"/>
                <w:sz w:val="21"/>
              </w:rPr>
            </w:pPr>
            <w:r>
              <w:rPr>
                <w:color w:val="000000"/>
                <w:sz w:val="21"/>
              </w:rPr>
              <w:t>240</w:t>
            </w:r>
          </w:p>
        </w:tc>
        <w:tc>
          <w:tcPr>
            <w:tcW w:w="469" w:type="pct"/>
            <w:vAlign w:val="center"/>
          </w:tcPr>
          <w:p w14:paraId="3821B671">
            <w:pPr>
              <w:spacing w:line="240" w:lineRule="exact"/>
              <w:jc w:val="center"/>
              <w:rPr>
                <w:color w:val="000000"/>
                <w:sz w:val="21"/>
              </w:rPr>
            </w:pPr>
            <w:r>
              <w:rPr>
                <w:color w:val="000000"/>
                <w:sz w:val="21"/>
              </w:rPr>
              <w:t>0.008</w:t>
            </w:r>
          </w:p>
        </w:tc>
        <w:tc>
          <w:tcPr>
            <w:tcW w:w="469" w:type="pct"/>
            <w:vAlign w:val="center"/>
          </w:tcPr>
          <w:p w14:paraId="34E4772D">
            <w:pPr>
              <w:spacing w:line="240" w:lineRule="exact"/>
              <w:jc w:val="center"/>
              <w:rPr>
                <w:color w:val="000000"/>
                <w:sz w:val="21"/>
              </w:rPr>
            </w:pPr>
            <w:r>
              <w:rPr>
                <w:color w:val="000000"/>
                <w:sz w:val="21"/>
              </w:rPr>
              <w:t>0.0003L</w:t>
            </w:r>
          </w:p>
        </w:tc>
        <w:tc>
          <w:tcPr>
            <w:tcW w:w="469" w:type="pct"/>
            <w:vAlign w:val="center"/>
          </w:tcPr>
          <w:p w14:paraId="723F6A69">
            <w:pPr>
              <w:spacing w:line="240" w:lineRule="exact"/>
              <w:jc w:val="center"/>
              <w:rPr>
                <w:color w:val="000000"/>
                <w:sz w:val="21"/>
              </w:rPr>
            </w:pPr>
            <w:r>
              <w:rPr>
                <w:color w:val="000000"/>
                <w:sz w:val="21"/>
              </w:rPr>
              <w:t>3.08×10-3</w:t>
            </w:r>
          </w:p>
        </w:tc>
      </w:tr>
      <w:tr w14:paraId="5FC4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7" w:type="pct"/>
            <w:vMerge w:val="continue"/>
            <w:vAlign w:val="center"/>
          </w:tcPr>
          <w:p w14:paraId="0593053E">
            <w:pPr>
              <w:spacing w:line="240" w:lineRule="exact"/>
              <w:jc w:val="center"/>
              <w:rPr>
                <w:color w:val="000000"/>
                <w:sz w:val="21"/>
              </w:rPr>
            </w:pPr>
          </w:p>
        </w:tc>
        <w:tc>
          <w:tcPr>
            <w:tcW w:w="481" w:type="pct"/>
            <w:vAlign w:val="center"/>
          </w:tcPr>
          <w:p w14:paraId="60DE962A">
            <w:pPr>
              <w:autoSpaceDE w:val="0"/>
              <w:autoSpaceDN w:val="0"/>
              <w:spacing w:line="240" w:lineRule="exact"/>
              <w:jc w:val="center"/>
              <w:rPr>
                <w:color w:val="000000"/>
                <w:w w:val="90"/>
                <w:sz w:val="21"/>
              </w:rPr>
            </w:pPr>
            <w:r>
              <w:rPr>
                <w:color w:val="000000"/>
                <w:w w:val="90"/>
                <w:sz w:val="21"/>
              </w:rPr>
              <w:t>超标率%</w:t>
            </w:r>
          </w:p>
        </w:tc>
        <w:tc>
          <w:tcPr>
            <w:tcW w:w="303" w:type="pct"/>
            <w:vAlign w:val="center"/>
          </w:tcPr>
          <w:p w14:paraId="5CD9564F">
            <w:pPr>
              <w:spacing w:line="240" w:lineRule="exact"/>
              <w:jc w:val="center"/>
              <w:rPr>
                <w:color w:val="000000"/>
                <w:sz w:val="21"/>
              </w:rPr>
            </w:pPr>
            <w:r>
              <w:rPr>
                <w:color w:val="000000"/>
                <w:sz w:val="21"/>
              </w:rPr>
              <w:t>0</w:t>
            </w:r>
          </w:p>
        </w:tc>
        <w:tc>
          <w:tcPr>
            <w:tcW w:w="429" w:type="pct"/>
            <w:vAlign w:val="center"/>
          </w:tcPr>
          <w:p w14:paraId="79F39C85">
            <w:pPr>
              <w:spacing w:line="240" w:lineRule="exact"/>
              <w:jc w:val="center"/>
              <w:rPr>
                <w:color w:val="000000"/>
                <w:sz w:val="21"/>
              </w:rPr>
            </w:pPr>
            <w:r>
              <w:rPr>
                <w:color w:val="000000"/>
                <w:sz w:val="21"/>
              </w:rPr>
              <w:t>0</w:t>
            </w:r>
          </w:p>
        </w:tc>
        <w:tc>
          <w:tcPr>
            <w:tcW w:w="492" w:type="pct"/>
            <w:vAlign w:val="center"/>
          </w:tcPr>
          <w:p w14:paraId="5CE320FA">
            <w:pPr>
              <w:spacing w:line="240" w:lineRule="exact"/>
              <w:jc w:val="center"/>
              <w:rPr>
                <w:color w:val="000000"/>
                <w:sz w:val="21"/>
              </w:rPr>
            </w:pPr>
            <w:r>
              <w:rPr>
                <w:color w:val="000000"/>
                <w:sz w:val="21"/>
              </w:rPr>
              <w:t>0</w:t>
            </w:r>
          </w:p>
        </w:tc>
        <w:tc>
          <w:tcPr>
            <w:tcW w:w="431" w:type="pct"/>
            <w:vAlign w:val="center"/>
          </w:tcPr>
          <w:p w14:paraId="6F855242">
            <w:pPr>
              <w:spacing w:line="240" w:lineRule="exact"/>
              <w:jc w:val="center"/>
              <w:rPr>
                <w:color w:val="000000"/>
                <w:sz w:val="21"/>
              </w:rPr>
            </w:pPr>
            <w:r>
              <w:rPr>
                <w:color w:val="000000"/>
                <w:sz w:val="21"/>
              </w:rPr>
              <w:t>0</w:t>
            </w:r>
          </w:p>
        </w:tc>
        <w:tc>
          <w:tcPr>
            <w:tcW w:w="370" w:type="pct"/>
            <w:vAlign w:val="center"/>
          </w:tcPr>
          <w:p w14:paraId="6565F4FB">
            <w:pPr>
              <w:spacing w:line="240" w:lineRule="exact"/>
              <w:jc w:val="center"/>
              <w:rPr>
                <w:color w:val="000000"/>
                <w:sz w:val="21"/>
              </w:rPr>
            </w:pPr>
            <w:r>
              <w:rPr>
                <w:color w:val="000000"/>
                <w:sz w:val="21"/>
              </w:rPr>
              <w:t>0</w:t>
            </w:r>
          </w:p>
        </w:tc>
        <w:tc>
          <w:tcPr>
            <w:tcW w:w="413" w:type="pct"/>
            <w:vAlign w:val="center"/>
          </w:tcPr>
          <w:p w14:paraId="2BFBD1B5">
            <w:pPr>
              <w:spacing w:line="240" w:lineRule="exact"/>
              <w:jc w:val="center"/>
              <w:rPr>
                <w:color w:val="000000"/>
                <w:sz w:val="21"/>
              </w:rPr>
            </w:pPr>
            <w:r>
              <w:rPr>
                <w:color w:val="000000"/>
                <w:sz w:val="21"/>
              </w:rPr>
              <w:t>0</w:t>
            </w:r>
          </w:p>
        </w:tc>
        <w:tc>
          <w:tcPr>
            <w:tcW w:w="412" w:type="pct"/>
            <w:vAlign w:val="center"/>
          </w:tcPr>
          <w:p w14:paraId="0612001D">
            <w:pPr>
              <w:spacing w:line="240" w:lineRule="exact"/>
              <w:jc w:val="center"/>
              <w:rPr>
                <w:color w:val="000000"/>
                <w:sz w:val="21"/>
              </w:rPr>
            </w:pPr>
            <w:r>
              <w:rPr>
                <w:color w:val="000000"/>
                <w:sz w:val="21"/>
              </w:rPr>
              <w:t>0</w:t>
            </w:r>
          </w:p>
        </w:tc>
        <w:tc>
          <w:tcPr>
            <w:tcW w:w="469" w:type="pct"/>
            <w:vAlign w:val="center"/>
          </w:tcPr>
          <w:p w14:paraId="1BDCCBA1">
            <w:pPr>
              <w:spacing w:line="240" w:lineRule="exact"/>
              <w:jc w:val="center"/>
              <w:rPr>
                <w:color w:val="000000"/>
                <w:sz w:val="21"/>
              </w:rPr>
            </w:pPr>
            <w:r>
              <w:rPr>
                <w:color w:val="000000"/>
                <w:sz w:val="21"/>
              </w:rPr>
              <w:t>0</w:t>
            </w:r>
          </w:p>
        </w:tc>
        <w:tc>
          <w:tcPr>
            <w:tcW w:w="469" w:type="pct"/>
            <w:vAlign w:val="center"/>
          </w:tcPr>
          <w:p w14:paraId="6B5FB433">
            <w:pPr>
              <w:spacing w:line="240" w:lineRule="exact"/>
              <w:jc w:val="center"/>
              <w:rPr>
                <w:color w:val="000000"/>
                <w:sz w:val="21"/>
              </w:rPr>
            </w:pPr>
            <w:r>
              <w:rPr>
                <w:color w:val="000000"/>
                <w:sz w:val="21"/>
              </w:rPr>
              <w:t>0</w:t>
            </w:r>
          </w:p>
        </w:tc>
        <w:tc>
          <w:tcPr>
            <w:tcW w:w="469" w:type="pct"/>
            <w:vAlign w:val="center"/>
          </w:tcPr>
          <w:p w14:paraId="3CF43693">
            <w:pPr>
              <w:spacing w:line="240" w:lineRule="exact"/>
              <w:jc w:val="center"/>
              <w:rPr>
                <w:color w:val="000000"/>
                <w:sz w:val="21"/>
              </w:rPr>
            </w:pPr>
            <w:r>
              <w:rPr>
                <w:color w:val="000000"/>
                <w:sz w:val="21"/>
              </w:rPr>
              <w:t>0</w:t>
            </w:r>
          </w:p>
        </w:tc>
      </w:tr>
      <w:tr w14:paraId="3732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7" w:type="pct"/>
            <w:vMerge w:val="continue"/>
            <w:vAlign w:val="center"/>
          </w:tcPr>
          <w:p w14:paraId="3A52B001">
            <w:pPr>
              <w:spacing w:line="240" w:lineRule="exact"/>
              <w:jc w:val="center"/>
              <w:rPr>
                <w:color w:val="000000"/>
                <w:sz w:val="21"/>
              </w:rPr>
            </w:pPr>
            <w:r>
              <w:rPr>
                <w:color w:val="000000"/>
                <w:sz w:val="21"/>
              </w:rPr>
              <w:t>0</w:t>
            </w:r>
          </w:p>
        </w:tc>
        <w:tc>
          <w:tcPr>
            <w:tcW w:w="481" w:type="pct"/>
            <w:vAlign w:val="center"/>
          </w:tcPr>
          <w:p w14:paraId="2D78576F">
            <w:pPr>
              <w:autoSpaceDE w:val="0"/>
              <w:autoSpaceDN w:val="0"/>
              <w:spacing w:line="240" w:lineRule="exact"/>
              <w:jc w:val="center"/>
              <w:rPr>
                <w:color w:val="000000"/>
                <w:w w:val="90"/>
                <w:sz w:val="21"/>
              </w:rPr>
            </w:pPr>
            <w:r>
              <w:rPr>
                <w:color w:val="000000"/>
                <w:w w:val="90"/>
                <w:sz w:val="21"/>
              </w:rPr>
              <w:t>Ii值</w:t>
            </w:r>
          </w:p>
        </w:tc>
        <w:tc>
          <w:tcPr>
            <w:tcW w:w="860" w:type="dxa"/>
            <w:vAlign w:val="center"/>
          </w:tcPr>
          <w:p w14:paraId="1D2E9A16">
            <w:pPr>
              <w:spacing w:line="240" w:lineRule="exact"/>
              <w:jc w:val="center"/>
              <w:rPr>
                <w:color w:val="000000"/>
                <w:sz w:val="21"/>
              </w:rPr>
            </w:pPr>
            <w:r>
              <w:rPr>
                <w:color w:val="000000"/>
                <w:sz w:val="21"/>
              </w:rPr>
              <w:t>0.43</w:t>
            </w:r>
          </w:p>
        </w:tc>
        <w:tc>
          <w:tcPr>
            <w:tcW w:w="1217" w:type="dxa"/>
            <w:vAlign w:val="center"/>
          </w:tcPr>
          <w:p w14:paraId="49099E07">
            <w:pPr>
              <w:spacing w:line="240" w:lineRule="exact"/>
              <w:jc w:val="center"/>
              <w:rPr>
                <w:color w:val="000000"/>
                <w:sz w:val="21"/>
              </w:rPr>
            </w:pPr>
            <w:r>
              <w:rPr>
                <w:color w:val="000000"/>
                <w:sz w:val="21"/>
              </w:rPr>
              <w:t>0.31</w:t>
            </w:r>
          </w:p>
        </w:tc>
        <w:tc>
          <w:tcPr>
            <w:tcW w:w="1396" w:type="dxa"/>
            <w:vAlign w:val="center"/>
          </w:tcPr>
          <w:p w14:paraId="56E98B33">
            <w:pPr>
              <w:spacing w:line="240" w:lineRule="exact"/>
              <w:jc w:val="center"/>
              <w:rPr>
                <w:color w:val="000000"/>
                <w:sz w:val="21"/>
              </w:rPr>
            </w:pPr>
            <w:r>
              <w:rPr>
                <w:color w:val="000000"/>
                <w:sz w:val="21"/>
              </w:rPr>
              <w:t>0.8</w:t>
            </w:r>
          </w:p>
        </w:tc>
        <w:tc>
          <w:tcPr>
            <w:tcW w:w="1223" w:type="dxa"/>
            <w:vAlign w:val="center"/>
          </w:tcPr>
          <w:p w14:paraId="3D5B9E0B">
            <w:pPr>
              <w:spacing w:line="240" w:lineRule="exact"/>
              <w:jc w:val="center"/>
              <w:rPr>
                <w:color w:val="000000"/>
                <w:sz w:val="21"/>
              </w:rPr>
            </w:pPr>
            <w:r>
              <w:rPr>
                <w:color w:val="000000"/>
                <w:sz w:val="21"/>
              </w:rPr>
              <w:t>0.2875</w:t>
            </w:r>
          </w:p>
        </w:tc>
        <w:tc>
          <w:tcPr>
            <w:tcW w:w="1050" w:type="dxa"/>
            <w:vAlign w:val="center"/>
          </w:tcPr>
          <w:p w14:paraId="198D5038">
            <w:pPr>
              <w:spacing w:line="240" w:lineRule="exact"/>
              <w:jc w:val="center"/>
              <w:rPr>
                <w:color w:val="000000"/>
                <w:sz w:val="21"/>
              </w:rPr>
            </w:pPr>
            <w:r>
              <w:rPr>
                <w:color w:val="000000"/>
                <w:sz w:val="21"/>
              </w:rPr>
              <w:t>0.966</w:t>
            </w:r>
          </w:p>
        </w:tc>
        <w:tc>
          <w:tcPr>
            <w:tcW w:w="1172" w:type="dxa"/>
            <w:vAlign w:val="center"/>
          </w:tcPr>
          <w:p w14:paraId="76927851">
            <w:pPr>
              <w:spacing w:line="240" w:lineRule="exact"/>
              <w:jc w:val="center"/>
              <w:rPr>
                <w:color w:val="000000"/>
                <w:sz w:val="21"/>
              </w:rPr>
            </w:pPr>
            <w:r>
              <w:rPr>
                <w:color w:val="000000"/>
                <w:sz w:val="21"/>
              </w:rPr>
              <w:t>0.024</w:t>
            </w:r>
          </w:p>
        </w:tc>
        <w:tc>
          <w:tcPr>
            <w:tcW w:w="1169" w:type="dxa"/>
            <w:vAlign w:val="center"/>
          </w:tcPr>
          <w:p w14:paraId="342AE3DC">
            <w:pPr>
              <w:spacing w:line="240" w:lineRule="exact"/>
              <w:jc w:val="center"/>
              <w:rPr>
                <w:color w:val="000000"/>
                <w:sz w:val="21"/>
              </w:rPr>
            </w:pPr>
            <w:r>
              <w:rPr>
                <w:color w:val="000000"/>
                <w:sz w:val="21"/>
              </w:rPr>
              <w:t>0.96</w:t>
            </w:r>
          </w:p>
        </w:tc>
        <w:tc>
          <w:tcPr>
            <w:tcW w:w="1331" w:type="dxa"/>
            <w:vAlign w:val="center"/>
          </w:tcPr>
          <w:p w14:paraId="3B478B2B">
            <w:pPr>
              <w:spacing w:line="240" w:lineRule="exact"/>
              <w:jc w:val="center"/>
              <w:rPr>
                <w:color w:val="000000"/>
                <w:sz w:val="21"/>
              </w:rPr>
            </w:pPr>
            <w:r>
              <w:rPr>
                <w:color w:val="000000"/>
                <w:sz w:val="21"/>
              </w:rPr>
              <w:t>0.008</w:t>
            </w:r>
          </w:p>
        </w:tc>
        <w:tc>
          <w:tcPr>
            <w:tcW w:w="1331" w:type="dxa"/>
            <w:vAlign w:val="center"/>
          </w:tcPr>
          <w:p w14:paraId="76DF171B">
            <w:pPr>
              <w:spacing w:line="240" w:lineRule="exact"/>
              <w:jc w:val="center"/>
              <w:rPr>
                <w:color w:val="000000"/>
                <w:sz w:val="21"/>
              </w:rPr>
            </w:pPr>
            <w:r>
              <w:rPr>
                <w:color w:val="000000"/>
                <w:sz w:val="21"/>
              </w:rPr>
              <w:t>/</w:t>
            </w:r>
          </w:p>
        </w:tc>
        <w:tc>
          <w:tcPr>
            <w:tcW w:w="1331" w:type="dxa"/>
            <w:vAlign w:val="center"/>
          </w:tcPr>
          <w:p w14:paraId="5389596E">
            <w:pPr>
              <w:spacing w:line="240" w:lineRule="exact"/>
              <w:jc w:val="center"/>
              <w:rPr>
                <w:color w:val="000000"/>
                <w:sz w:val="21"/>
              </w:rPr>
            </w:pPr>
            <w:r>
              <w:rPr>
                <w:color w:val="000000"/>
                <w:sz w:val="21"/>
              </w:rPr>
              <w:t>0.154</w:t>
            </w:r>
          </w:p>
        </w:tc>
      </w:tr>
      <w:tr w14:paraId="4B2B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7" w:type="pct"/>
            <w:vMerge w:val="restart"/>
            <w:vAlign w:val="center"/>
          </w:tcPr>
          <w:p w14:paraId="75EF18AC">
            <w:pPr>
              <w:spacing w:line="240" w:lineRule="exact"/>
              <w:jc w:val="center"/>
              <w:rPr>
                <w:color w:val="000000"/>
                <w:sz w:val="21"/>
              </w:rPr>
            </w:pPr>
            <w:r>
              <w:rPr>
                <w:color w:val="000000"/>
                <w:sz w:val="21"/>
              </w:rPr>
              <w:t>FX2</w:t>
            </w:r>
          </w:p>
        </w:tc>
        <w:tc>
          <w:tcPr>
            <w:tcW w:w="481" w:type="pct"/>
            <w:vAlign w:val="center"/>
          </w:tcPr>
          <w:p w14:paraId="5238808E">
            <w:pPr>
              <w:spacing w:line="240" w:lineRule="exact"/>
              <w:jc w:val="center"/>
              <w:rPr>
                <w:color w:val="000000"/>
                <w:w w:val="90"/>
                <w:sz w:val="21"/>
              </w:rPr>
            </w:pPr>
            <w:r>
              <w:rPr>
                <w:color w:val="000000"/>
                <w:sz w:val="21"/>
              </w:rPr>
              <w:t>监测值</w:t>
            </w:r>
          </w:p>
        </w:tc>
        <w:tc>
          <w:tcPr>
            <w:tcW w:w="303" w:type="pct"/>
            <w:vAlign w:val="center"/>
          </w:tcPr>
          <w:p w14:paraId="6E639DBC">
            <w:pPr>
              <w:spacing w:line="240" w:lineRule="exact"/>
              <w:jc w:val="center"/>
              <w:rPr>
                <w:color w:val="000000"/>
                <w:sz w:val="21"/>
              </w:rPr>
            </w:pPr>
            <w:r>
              <w:rPr>
                <w:color w:val="000000"/>
                <w:sz w:val="21"/>
              </w:rPr>
              <w:t>7.45</w:t>
            </w:r>
          </w:p>
        </w:tc>
        <w:tc>
          <w:tcPr>
            <w:tcW w:w="429" w:type="pct"/>
            <w:vAlign w:val="center"/>
          </w:tcPr>
          <w:p w14:paraId="6CEDB26B">
            <w:pPr>
              <w:spacing w:line="240" w:lineRule="exact"/>
              <w:jc w:val="center"/>
              <w:rPr>
                <w:color w:val="000000"/>
                <w:sz w:val="21"/>
              </w:rPr>
            </w:pPr>
            <w:r>
              <w:rPr>
                <w:color w:val="000000"/>
                <w:sz w:val="21"/>
              </w:rPr>
              <w:t>278</w:t>
            </w:r>
          </w:p>
        </w:tc>
        <w:tc>
          <w:tcPr>
            <w:tcW w:w="492" w:type="pct"/>
            <w:vAlign w:val="center"/>
          </w:tcPr>
          <w:p w14:paraId="40DD9014">
            <w:pPr>
              <w:spacing w:line="240" w:lineRule="exact"/>
              <w:jc w:val="center"/>
              <w:rPr>
                <w:color w:val="000000"/>
                <w:sz w:val="21"/>
              </w:rPr>
            </w:pPr>
            <w:r>
              <w:rPr>
                <w:color w:val="000000"/>
                <w:sz w:val="21"/>
              </w:rPr>
              <w:t>1.4</w:t>
            </w:r>
          </w:p>
        </w:tc>
        <w:tc>
          <w:tcPr>
            <w:tcW w:w="431" w:type="pct"/>
            <w:vAlign w:val="center"/>
          </w:tcPr>
          <w:p w14:paraId="478337CD">
            <w:pPr>
              <w:spacing w:line="240" w:lineRule="exact"/>
              <w:jc w:val="center"/>
              <w:rPr>
                <w:color w:val="000000"/>
                <w:sz w:val="21"/>
              </w:rPr>
            </w:pPr>
            <w:r>
              <w:rPr>
                <w:color w:val="000000"/>
                <w:sz w:val="21"/>
              </w:rPr>
              <w:t>6.2</w:t>
            </w:r>
          </w:p>
        </w:tc>
        <w:tc>
          <w:tcPr>
            <w:tcW w:w="370" w:type="pct"/>
            <w:vAlign w:val="center"/>
          </w:tcPr>
          <w:p w14:paraId="4F023D7A">
            <w:pPr>
              <w:spacing w:line="240" w:lineRule="exact"/>
              <w:jc w:val="center"/>
              <w:rPr>
                <w:color w:val="000000"/>
                <w:sz w:val="21"/>
              </w:rPr>
            </w:pPr>
            <w:r>
              <w:rPr>
                <w:color w:val="000000"/>
                <w:sz w:val="21"/>
              </w:rPr>
              <w:t>0.447</w:t>
            </w:r>
          </w:p>
        </w:tc>
        <w:tc>
          <w:tcPr>
            <w:tcW w:w="413" w:type="pct"/>
            <w:vAlign w:val="center"/>
          </w:tcPr>
          <w:p w14:paraId="680D15F3">
            <w:pPr>
              <w:spacing w:line="240" w:lineRule="exact"/>
              <w:jc w:val="center"/>
              <w:rPr>
                <w:color w:val="000000"/>
                <w:sz w:val="21"/>
              </w:rPr>
            </w:pPr>
            <w:r>
              <w:rPr>
                <w:color w:val="000000"/>
                <w:sz w:val="21"/>
              </w:rPr>
              <w:t>8</w:t>
            </w:r>
          </w:p>
        </w:tc>
        <w:tc>
          <w:tcPr>
            <w:tcW w:w="412" w:type="pct"/>
            <w:vAlign w:val="center"/>
          </w:tcPr>
          <w:p w14:paraId="75B843C8">
            <w:pPr>
              <w:spacing w:line="240" w:lineRule="exact"/>
              <w:jc w:val="center"/>
              <w:rPr>
                <w:color w:val="000000"/>
                <w:sz w:val="21"/>
              </w:rPr>
            </w:pPr>
            <w:r>
              <w:rPr>
                <w:color w:val="000000"/>
                <w:sz w:val="21"/>
              </w:rPr>
              <w:t>160</w:t>
            </w:r>
          </w:p>
        </w:tc>
        <w:tc>
          <w:tcPr>
            <w:tcW w:w="469" w:type="pct"/>
            <w:vAlign w:val="center"/>
          </w:tcPr>
          <w:p w14:paraId="6E52A478">
            <w:pPr>
              <w:spacing w:line="240" w:lineRule="exact"/>
              <w:jc w:val="center"/>
              <w:rPr>
                <w:color w:val="000000"/>
                <w:sz w:val="21"/>
              </w:rPr>
            </w:pPr>
            <w:r>
              <w:rPr>
                <w:color w:val="000000"/>
                <w:sz w:val="21"/>
              </w:rPr>
              <w:t>0.011</w:t>
            </w:r>
          </w:p>
        </w:tc>
        <w:tc>
          <w:tcPr>
            <w:tcW w:w="469" w:type="pct"/>
            <w:vAlign w:val="center"/>
          </w:tcPr>
          <w:p w14:paraId="39619433">
            <w:pPr>
              <w:spacing w:line="240" w:lineRule="exact"/>
              <w:jc w:val="center"/>
              <w:rPr>
                <w:color w:val="000000"/>
                <w:sz w:val="21"/>
              </w:rPr>
            </w:pPr>
            <w:r>
              <w:rPr>
                <w:color w:val="000000"/>
                <w:sz w:val="21"/>
              </w:rPr>
              <w:t>0.0003L</w:t>
            </w:r>
          </w:p>
        </w:tc>
        <w:tc>
          <w:tcPr>
            <w:tcW w:w="469" w:type="pct"/>
            <w:vAlign w:val="center"/>
          </w:tcPr>
          <w:p w14:paraId="3DD16B54">
            <w:pPr>
              <w:spacing w:line="240" w:lineRule="exact"/>
              <w:jc w:val="center"/>
              <w:rPr>
                <w:color w:val="000000"/>
                <w:sz w:val="21"/>
              </w:rPr>
            </w:pPr>
            <w:r>
              <w:rPr>
                <w:color w:val="000000"/>
                <w:sz w:val="21"/>
              </w:rPr>
              <w:t>9.6×10</w:t>
            </w:r>
            <w:r>
              <w:rPr>
                <w:color w:val="000000"/>
                <w:sz w:val="21"/>
                <w:vertAlign w:val="superscript"/>
              </w:rPr>
              <w:t>-3</w:t>
            </w:r>
          </w:p>
        </w:tc>
      </w:tr>
      <w:tr w14:paraId="47BC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7" w:type="pct"/>
            <w:vMerge w:val="continue"/>
            <w:vAlign w:val="center"/>
          </w:tcPr>
          <w:p w14:paraId="7804E2D7">
            <w:pPr>
              <w:spacing w:line="240" w:lineRule="exact"/>
              <w:jc w:val="center"/>
              <w:rPr>
                <w:color w:val="000000"/>
                <w:sz w:val="21"/>
              </w:rPr>
            </w:pPr>
          </w:p>
        </w:tc>
        <w:tc>
          <w:tcPr>
            <w:tcW w:w="481" w:type="pct"/>
            <w:vAlign w:val="center"/>
          </w:tcPr>
          <w:p w14:paraId="48C6C52F">
            <w:pPr>
              <w:autoSpaceDE w:val="0"/>
              <w:autoSpaceDN w:val="0"/>
              <w:spacing w:line="240" w:lineRule="exact"/>
              <w:jc w:val="center"/>
              <w:rPr>
                <w:color w:val="000000"/>
                <w:w w:val="90"/>
                <w:sz w:val="21"/>
              </w:rPr>
            </w:pPr>
            <w:r>
              <w:rPr>
                <w:color w:val="000000"/>
                <w:w w:val="90"/>
                <w:sz w:val="21"/>
              </w:rPr>
              <w:t>超标率%</w:t>
            </w:r>
          </w:p>
        </w:tc>
        <w:tc>
          <w:tcPr>
            <w:tcW w:w="303" w:type="pct"/>
            <w:vAlign w:val="center"/>
          </w:tcPr>
          <w:p w14:paraId="38B3D917">
            <w:pPr>
              <w:spacing w:line="240" w:lineRule="exact"/>
              <w:jc w:val="center"/>
              <w:rPr>
                <w:color w:val="000000"/>
                <w:sz w:val="21"/>
              </w:rPr>
            </w:pPr>
            <w:r>
              <w:rPr>
                <w:color w:val="000000"/>
                <w:sz w:val="21"/>
              </w:rPr>
              <w:t>0</w:t>
            </w:r>
          </w:p>
        </w:tc>
        <w:tc>
          <w:tcPr>
            <w:tcW w:w="429" w:type="pct"/>
            <w:vAlign w:val="center"/>
          </w:tcPr>
          <w:p w14:paraId="1113594E">
            <w:pPr>
              <w:spacing w:line="240" w:lineRule="exact"/>
              <w:jc w:val="center"/>
              <w:rPr>
                <w:color w:val="000000"/>
                <w:sz w:val="21"/>
              </w:rPr>
            </w:pPr>
            <w:r>
              <w:rPr>
                <w:color w:val="000000"/>
                <w:sz w:val="21"/>
              </w:rPr>
              <w:t>0</w:t>
            </w:r>
          </w:p>
        </w:tc>
        <w:tc>
          <w:tcPr>
            <w:tcW w:w="492" w:type="pct"/>
            <w:vAlign w:val="center"/>
          </w:tcPr>
          <w:p w14:paraId="1B34562F">
            <w:pPr>
              <w:spacing w:line="240" w:lineRule="exact"/>
              <w:jc w:val="center"/>
              <w:rPr>
                <w:color w:val="000000"/>
                <w:sz w:val="21"/>
              </w:rPr>
            </w:pPr>
            <w:r>
              <w:rPr>
                <w:color w:val="000000"/>
                <w:sz w:val="21"/>
              </w:rPr>
              <w:t>0</w:t>
            </w:r>
          </w:p>
        </w:tc>
        <w:tc>
          <w:tcPr>
            <w:tcW w:w="431" w:type="pct"/>
            <w:vAlign w:val="center"/>
          </w:tcPr>
          <w:p w14:paraId="23F46F1D">
            <w:pPr>
              <w:spacing w:line="240" w:lineRule="exact"/>
              <w:jc w:val="center"/>
              <w:rPr>
                <w:color w:val="000000"/>
                <w:sz w:val="21"/>
              </w:rPr>
            </w:pPr>
            <w:r>
              <w:rPr>
                <w:color w:val="000000"/>
                <w:sz w:val="21"/>
              </w:rPr>
              <w:t>0</w:t>
            </w:r>
          </w:p>
        </w:tc>
        <w:tc>
          <w:tcPr>
            <w:tcW w:w="370" w:type="pct"/>
            <w:vAlign w:val="center"/>
          </w:tcPr>
          <w:p w14:paraId="29C5497F">
            <w:pPr>
              <w:spacing w:line="240" w:lineRule="exact"/>
              <w:jc w:val="center"/>
              <w:rPr>
                <w:color w:val="000000"/>
                <w:sz w:val="21"/>
              </w:rPr>
            </w:pPr>
            <w:r>
              <w:rPr>
                <w:color w:val="000000"/>
                <w:sz w:val="21"/>
              </w:rPr>
              <w:t>0</w:t>
            </w:r>
          </w:p>
        </w:tc>
        <w:tc>
          <w:tcPr>
            <w:tcW w:w="413" w:type="pct"/>
            <w:vAlign w:val="center"/>
          </w:tcPr>
          <w:p w14:paraId="516B4FF9">
            <w:pPr>
              <w:spacing w:line="240" w:lineRule="exact"/>
              <w:jc w:val="center"/>
              <w:rPr>
                <w:color w:val="000000"/>
                <w:sz w:val="21"/>
              </w:rPr>
            </w:pPr>
            <w:r>
              <w:rPr>
                <w:color w:val="000000"/>
                <w:sz w:val="21"/>
              </w:rPr>
              <w:t>0</w:t>
            </w:r>
          </w:p>
        </w:tc>
        <w:tc>
          <w:tcPr>
            <w:tcW w:w="412" w:type="pct"/>
            <w:vAlign w:val="center"/>
          </w:tcPr>
          <w:p w14:paraId="1918EC20">
            <w:pPr>
              <w:spacing w:line="240" w:lineRule="exact"/>
              <w:jc w:val="center"/>
              <w:rPr>
                <w:color w:val="000000"/>
                <w:sz w:val="21"/>
              </w:rPr>
            </w:pPr>
            <w:r>
              <w:rPr>
                <w:color w:val="000000"/>
                <w:sz w:val="21"/>
              </w:rPr>
              <w:t>0</w:t>
            </w:r>
          </w:p>
        </w:tc>
        <w:tc>
          <w:tcPr>
            <w:tcW w:w="469" w:type="pct"/>
            <w:vAlign w:val="center"/>
          </w:tcPr>
          <w:p w14:paraId="6B25436A">
            <w:pPr>
              <w:spacing w:line="240" w:lineRule="exact"/>
              <w:jc w:val="center"/>
              <w:rPr>
                <w:color w:val="000000"/>
                <w:sz w:val="21"/>
              </w:rPr>
            </w:pPr>
            <w:r>
              <w:rPr>
                <w:color w:val="000000"/>
                <w:sz w:val="21"/>
              </w:rPr>
              <w:t>0</w:t>
            </w:r>
          </w:p>
        </w:tc>
        <w:tc>
          <w:tcPr>
            <w:tcW w:w="469" w:type="pct"/>
            <w:vAlign w:val="center"/>
          </w:tcPr>
          <w:p w14:paraId="50388CC5">
            <w:pPr>
              <w:spacing w:line="240" w:lineRule="exact"/>
              <w:jc w:val="center"/>
              <w:rPr>
                <w:color w:val="000000"/>
                <w:sz w:val="21"/>
              </w:rPr>
            </w:pPr>
            <w:r>
              <w:rPr>
                <w:color w:val="000000"/>
                <w:sz w:val="21"/>
              </w:rPr>
              <w:t>0</w:t>
            </w:r>
          </w:p>
        </w:tc>
        <w:tc>
          <w:tcPr>
            <w:tcW w:w="469" w:type="pct"/>
            <w:vAlign w:val="center"/>
          </w:tcPr>
          <w:p w14:paraId="6FAD687E">
            <w:pPr>
              <w:spacing w:line="240" w:lineRule="exact"/>
              <w:jc w:val="center"/>
              <w:rPr>
                <w:color w:val="000000"/>
                <w:sz w:val="21"/>
              </w:rPr>
            </w:pPr>
            <w:r>
              <w:rPr>
                <w:color w:val="000000"/>
                <w:sz w:val="21"/>
              </w:rPr>
              <w:t>0</w:t>
            </w:r>
          </w:p>
        </w:tc>
      </w:tr>
      <w:tr w14:paraId="40C8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7" w:type="pct"/>
            <w:vMerge w:val="continue"/>
            <w:vAlign w:val="center"/>
          </w:tcPr>
          <w:p w14:paraId="18C5CAB6">
            <w:pPr>
              <w:spacing w:line="240" w:lineRule="exact"/>
              <w:jc w:val="center"/>
              <w:rPr>
                <w:color w:val="000000"/>
                <w:sz w:val="21"/>
              </w:rPr>
            </w:pPr>
            <w:r>
              <w:rPr>
                <w:color w:val="000000"/>
                <w:sz w:val="21"/>
              </w:rPr>
              <w:t>0</w:t>
            </w:r>
          </w:p>
        </w:tc>
        <w:tc>
          <w:tcPr>
            <w:tcW w:w="481" w:type="pct"/>
            <w:vAlign w:val="center"/>
          </w:tcPr>
          <w:p w14:paraId="58FB3E2D">
            <w:pPr>
              <w:autoSpaceDE w:val="0"/>
              <w:autoSpaceDN w:val="0"/>
              <w:spacing w:line="240" w:lineRule="exact"/>
              <w:jc w:val="center"/>
              <w:rPr>
                <w:color w:val="000000"/>
                <w:w w:val="90"/>
                <w:sz w:val="21"/>
              </w:rPr>
            </w:pPr>
            <w:r>
              <w:rPr>
                <w:color w:val="000000"/>
                <w:w w:val="90"/>
                <w:sz w:val="21"/>
              </w:rPr>
              <w:t>Ii值</w:t>
            </w:r>
          </w:p>
        </w:tc>
        <w:tc>
          <w:tcPr>
            <w:tcW w:w="303" w:type="pct"/>
            <w:vAlign w:val="center"/>
          </w:tcPr>
          <w:p w14:paraId="7AD194CD">
            <w:pPr>
              <w:spacing w:line="240" w:lineRule="exact"/>
              <w:jc w:val="center"/>
              <w:rPr>
                <w:color w:val="000000"/>
                <w:sz w:val="21"/>
              </w:rPr>
            </w:pPr>
            <w:r>
              <w:rPr>
                <w:color w:val="000000"/>
                <w:sz w:val="21"/>
              </w:rPr>
              <w:t>0.22</w:t>
            </w:r>
          </w:p>
        </w:tc>
        <w:tc>
          <w:tcPr>
            <w:tcW w:w="429" w:type="pct"/>
            <w:vAlign w:val="center"/>
          </w:tcPr>
          <w:p w14:paraId="3AC3BF54">
            <w:pPr>
              <w:spacing w:line="240" w:lineRule="exact"/>
              <w:jc w:val="center"/>
              <w:rPr>
                <w:color w:val="000000"/>
                <w:sz w:val="21"/>
              </w:rPr>
            </w:pPr>
            <w:r>
              <w:rPr>
                <w:color w:val="000000"/>
                <w:sz w:val="21"/>
              </w:rPr>
              <w:t>0.278</w:t>
            </w:r>
          </w:p>
        </w:tc>
        <w:tc>
          <w:tcPr>
            <w:tcW w:w="492" w:type="pct"/>
            <w:vAlign w:val="center"/>
          </w:tcPr>
          <w:p w14:paraId="35E2DB46">
            <w:pPr>
              <w:spacing w:line="240" w:lineRule="exact"/>
              <w:jc w:val="center"/>
              <w:rPr>
                <w:color w:val="000000"/>
                <w:sz w:val="21"/>
              </w:rPr>
            </w:pPr>
            <w:r>
              <w:rPr>
                <w:color w:val="000000"/>
                <w:sz w:val="21"/>
              </w:rPr>
              <w:t>0.47</w:t>
            </w:r>
          </w:p>
        </w:tc>
        <w:tc>
          <w:tcPr>
            <w:tcW w:w="431" w:type="pct"/>
            <w:vAlign w:val="center"/>
          </w:tcPr>
          <w:p w14:paraId="21286983">
            <w:pPr>
              <w:spacing w:line="240" w:lineRule="exact"/>
              <w:jc w:val="center"/>
              <w:rPr>
                <w:color w:val="000000"/>
                <w:sz w:val="21"/>
              </w:rPr>
            </w:pPr>
            <w:r>
              <w:rPr>
                <w:color w:val="000000"/>
                <w:sz w:val="21"/>
              </w:rPr>
              <w:t>0.31</w:t>
            </w:r>
          </w:p>
        </w:tc>
        <w:tc>
          <w:tcPr>
            <w:tcW w:w="370" w:type="pct"/>
            <w:vAlign w:val="center"/>
          </w:tcPr>
          <w:p w14:paraId="51B15A24">
            <w:pPr>
              <w:spacing w:line="240" w:lineRule="exact"/>
              <w:jc w:val="center"/>
              <w:rPr>
                <w:color w:val="000000"/>
                <w:sz w:val="21"/>
              </w:rPr>
            </w:pPr>
            <w:r>
              <w:rPr>
                <w:color w:val="000000"/>
                <w:sz w:val="21"/>
              </w:rPr>
              <w:t>0.89</w:t>
            </w:r>
          </w:p>
        </w:tc>
        <w:tc>
          <w:tcPr>
            <w:tcW w:w="413" w:type="pct"/>
            <w:vAlign w:val="center"/>
          </w:tcPr>
          <w:p w14:paraId="438BA2E5">
            <w:pPr>
              <w:spacing w:line="240" w:lineRule="exact"/>
              <w:jc w:val="center"/>
              <w:rPr>
                <w:color w:val="000000"/>
                <w:sz w:val="21"/>
              </w:rPr>
            </w:pPr>
            <w:r>
              <w:rPr>
                <w:color w:val="000000"/>
                <w:sz w:val="21"/>
              </w:rPr>
              <w:t>0.03</w:t>
            </w:r>
          </w:p>
        </w:tc>
        <w:tc>
          <w:tcPr>
            <w:tcW w:w="412" w:type="pct"/>
            <w:vAlign w:val="center"/>
          </w:tcPr>
          <w:p w14:paraId="27A6C2E3">
            <w:pPr>
              <w:spacing w:line="240" w:lineRule="exact"/>
              <w:jc w:val="center"/>
              <w:rPr>
                <w:color w:val="000000"/>
                <w:sz w:val="21"/>
              </w:rPr>
            </w:pPr>
            <w:r>
              <w:rPr>
                <w:color w:val="000000"/>
                <w:sz w:val="21"/>
              </w:rPr>
              <w:t>0.64</w:t>
            </w:r>
          </w:p>
        </w:tc>
        <w:tc>
          <w:tcPr>
            <w:tcW w:w="469" w:type="pct"/>
            <w:vAlign w:val="center"/>
          </w:tcPr>
          <w:p w14:paraId="76723864">
            <w:pPr>
              <w:spacing w:line="240" w:lineRule="exact"/>
              <w:jc w:val="center"/>
              <w:rPr>
                <w:color w:val="000000"/>
                <w:sz w:val="21"/>
              </w:rPr>
            </w:pPr>
            <w:r>
              <w:rPr>
                <w:color w:val="000000"/>
                <w:sz w:val="21"/>
              </w:rPr>
              <w:t>0.011</w:t>
            </w:r>
          </w:p>
        </w:tc>
        <w:tc>
          <w:tcPr>
            <w:tcW w:w="469" w:type="pct"/>
            <w:vAlign w:val="center"/>
          </w:tcPr>
          <w:p w14:paraId="3662E215">
            <w:pPr>
              <w:spacing w:line="240" w:lineRule="exact"/>
              <w:jc w:val="center"/>
              <w:rPr>
                <w:color w:val="000000"/>
                <w:sz w:val="21"/>
              </w:rPr>
            </w:pPr>
            <w:r>
              <w:rPr>
                <w:color w:val="000000"/>
                <w:sz w:val="21"/>
              </w:rPr>
              <w:t>/</w:t>
            </w:r>
          </w:p>
        </w:tc>
        <w:tc>
          <w:tcPr>
            <w:tcW w:w="469" w:type="pct"/>
            <w:vAlign w:val="center"/>
          </w:tcPr>
          <w:p w14:paraId="4688E9B5">
            <w:pPr>
              <w:spacing w:line="240" w:lineRule="exact"/>
              <w:jc w:val="center"/>
              <w:rPr>
                <w:color w:val="000000"/>
                <w:sz w:val="21"/>
              </w:rPr>
            </w:pPr>
            <w:r>
              <w:rPr>
                <w:color w:val="000000"/>
                <w:sz w:val="21"/>
              </w:rPr>
              <w:t>0.48</w:t>
            </w:r>
          </w:p>
        </w:tc>
      </w:tr>
      <w:tr w14:paraId="4B1D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9" w:type="pct"/>
            <w:gridSpan w:val="2"/>
            <w:vAlign w:val="center"/>
          </w:tcPr>
          <w:p w14:paraId="41E6FE10">
            <w:pPr>
              <w:autoSpaceDE w:val="0"/>
              <w:autoSpaceDN w:val="0"/>
              <w:spacing w:line="240" w:lineRule="exact"/>
              <w:jc w:val="center"/>
              <w:rPr>
                <w:color w:val="000000"/>
                <w:w w:val="90"/>
                <w:sz w:val="21"/>
              </w:rPr>
            </w:pPr>
            <w:r>
              <w:rPr>
                <w:color w:val="000000"/>
                <w:w w:val="90"/>
                <w:sz w:val="21"/>
              </w:rPr>
              <w:t>评价标准值Ⅲ类</w:t>
            </w:r>
          </w:p>
        </w:tc>
        <w:tc>
          <w:tcPr>
            <w:tcW w:w="303" w:type="pct"/>
            <w:vAlign w:val="center"/>
          </w:tcPr>
          <w:p w14:paraId="3A48CD21">
            <w:pPr>
              <w:spacing w:line="240" w:lineRule="exact"/>
              <w:jc w:val="center"/>
              <w:rPr>
                <w:color w:val="000000"/>
                <w:sz w:val="21"/>
              </w:rPr>
            </w:pPr>
            <w:r>
              <w:rPr>
                <w:color w:val="000000"/>
                <w:sz w:val="21"/>
              </w:rPr>
              <w:t>6.5-8.5</w:t>
            </w:r>
          </w:p>
        </w:tc>
        <w:tc>
          <w:tcPr>
            <w:tcW w:w="429" w:type="pct"/>
            <w:vAlign w:val="center"/>
          </w:tcPr>
          <w:p w14:paraId="488B281D">
            <w:pPr>
              <w:spacing w:line="240" w:lineRule="exact"/>
              <w:jc w:val="center"/>
              <w:rPr>
                <w:color w:val="000000"/>
                <w:sz w:val="21"/>
              </w:rPr>
            </w:pPr>
            <w:r>
              <w:rPr>
                <w:color w:val="000000"/>
                <w:sz w:val="21"/>
              </w:rPr>
              <w:t>1000</w:t>
            </w:r>
          </w:p>
        </w:tc>
        <w:tc>
          <w:tcPr>
            <w:tcW w:w="492" w:type="pct"/>
            <w:vAlign w:val="center"/>
          </w:tcPr>
          <w:p w14:paraId="709F338F">
            <w:pPr>
              <w:spacing w:line="240" w:lineRule="exact"/>
              <w:jc w:val="center"/>
              <w:rPr>
                <w:color w:val="000000"/>
                <w:sz w:val="21"/>
              </w:rPr>
            </w:pPr>
            <w:r>
              <w:rPr>
                <w:color w:val="000000"/>
                <w:sz w:val="21"/>
              </w:rPr>
              <w:t>3</w:t>
            </w:r>
          </w:p>
        </w:tc>
        <w:tc>
          <w:tcPr>
            <w:tcW w:w="431" w:type="pct"/>
            <w:vAlign w:val="center"/>
          </w:tcPr>
          <w:p w14:paraId="18D96757">
            <w:pPr>
              <w:spacing w:line="240" w:lineRule="exact"/>
              <w:jc w:val="center"/>
              <w:rPr>
                <w:color w:val="000000"/>
                <w:sz w:val="21"/>
              </w:rPr>
            </w:pPr>
            <w:r>
              <w:rPr>
                <w:color w:val="000000"/>
                <w:sz w:val="21"/>
              </w:rPr>
              <w:t>20</w:t>
            </w:r>
          </w:p>
        </w:tc>
        <w:tc>
          <w:tcPr>
            <w:tcW w:w="370" w:type="pct"/>
            <w:vAlign w:val="center"/>
          </w:tcPr>
          <w:p w14:paraId="4A31A838">
            <w:pPr>
              <w:spacing w:line="240" w:lineRule="exact"/>
              <w:jc w:val="center"/>
              <w:rPr>
                <w:color w:val="000000"/>
                <w:sz w:val="21"/>
              </w:rPr>
            </w:pPr>
            <w:r>
              <w:rPr>
                <w:color w:val="000000"/>
                <w:sz w:val="21"/>
              </w:rPr>
              <w:t>0.5</w:t>
            </w:r>
          </w:p>
        </w:tc>
        <w:tc>
          <w:tcPr>
            <w:tcW w:w="413" w:type="pct"/>
            <w:vAlign w:val="center"/>
          </w:tcPr>
          <w:p w14:paraId="708FA812">
            <w:pPr>
              <w:spacing w:line="240" w:lineRule="exact"/>
              <w:jc w:val="center"/>
              <w:rPr>
                <w:color w:val="000000"/>
                <w:sz w:val="21"/>
              </w:rPr>
            </w:pPr>
            <w:r>
              <w:rPr>
                <w:color w:val="000000"/>
                <w:sz w:val="21"/>
              </w:rPr>
              <w:t>250</w:t>
            </w:r>
          </w:p>
        </w:tc>
        <w:tc>
          <w:tcPr>
            <w:tcW w:w="412" w:type="pct"/>
            <w:vAlign w:val="center"/>
          </w:tcPr>
          <w:p w14:paraId="6F45F3CB">
            <w:pPr>
              <w:spacing w:line="240" w:lineRule="exact"/>
              <w:jc w:val="center"/>
              <w:rPr>
                <w:color w:val="000000"/>
                <w:sz w:val="21"/>
              </w:rPr>
            </w:pPr>
            <w:r>
              <w:rPr>
                <w:color w:val="000000"/>
                <w:sz w:val="21"/>
              </w:rPr>
              <w:t>250</w:t>
            </w:r>
          </w:p>
        </w:tc>
        <w:tc>
          <w:tcPr>
            <w:tcW w:w="469" w:type="pct"/>
            <w:vAlign w:val="center"/>
          </w:tcPr>
          <w:p w14:paraId="3448592B">
            <w:pPr>
              <w:spacing w:line="240" w:lineRule="exact"/>
              <w:jc w:val="center"/>
              <w:rPr>
                <w:color w:val="000000"/>
                <w:sz w:val="21"/>
              </w:rPr>
            </w:pPr>
            <w:r>
              <w:rPr>
                <w:color w:val="000000"/>
                <w:sz w:val="21"/>
              </w:rPr>
              <w:t>1.0</w:t>
            </w:r>
          </w:p>
        </w:tc>
        <w:tc>
          <w:tcPr>
            <w:tcW w:w="469" w:type="pct"/>
            <w:vAlign w:val="center"/>
          </w:tcPr>
          <w:p w14:paraId="1BBD0DD1">
            <w:pPr>
              <w:spacing w:line="240" w:lineRule="exact"/>
              <w:jc w:val="center"/>
              <w:rPr>
                <w:color w:val="000000"/>
                <w:sz w:val="21"/>
              </w:rPr>
            </w:pPr>
            <w:r>
              <w:rPr>
                <w:color w:val="000000"/>
                <w:sz w:val="21"/>
              </w:rPr>
              <w:t>0.002</w:t>
            </w:r>
          </w:p>
        </w:tc>
        <w:tc>
          <w:tcPr>
            <w:tcW w:w="469" w:type="pct"/>
            <w:vAlign w:val="center"/>
          </w:tcPr>
          <w:p w14:paraId="003D1D87">
            <w:pPr>
              <w:spacing w:line="240" w:lineRule="exact"/>
              <w:jc w:val="center"/>
              <w:rPr>
                <w:color w:val="000000"/>
                <w:sz w:val="21"/>
              </w:rPr>
            </w:pPr>
            <w:r>
              <w:rPr>
                <w:color w:val="000000"/>
                <w:sz w:val="21"/>
              </w:rPr>
              <w:t>0.02</w:t>
            </w:r>
          </w:p>
        </w:tc>
      </w:tr>
    </w:tbl>
    <w:p w14:paraId="68DD1406">
      <w:pPr>
        <w:tabs>
          <w:tab w:val="left" w:pos="993"/>
        </w:tabs>
        <w:rPr>
          <w:snapToGrid w:val="0"/>
          <w:color w:val="000000"/>
          <w:sz w:val="20"/>
          <w:szCs w:val="20"/>
        </w:rPr>
      </w:pPr>
      <w:r>
        <w:rPr>
          <w:color w:val="000000"/>
          <w:sz w:val="20"/>
          <w:szCs w:val="20"/>
          <w:lang w:val="da-DK"/>
        </w:rPr>
        <w:t>备注：</w:t>
      </w:r>
      <w:r>
        <w:rPr>
          <w:color w:val="000000"/>
          <w:sz w:val="20"/>
          <w:szCs w:val="20"/>
        </w:rPr>
        <w:t>ND</w:t>
      </w:r>
      <w:r>
        <w:rPr>
          <w:color w:val="000000"/>
          <w:sz w:val="20"/>
          <w:szCs w:val="20"/>
          <w:lang w:val="da-DK"/>
        </w:rPr>
        <w:t>表示结果未检出。</w:t>
      </w:r>
    </w:p>
    <w:p w14:paraId="351C2B63">
      <w:pPr>
        <w:tabs>
          <w:tab w:val="left" w:pos="993"/>
        </w:tabs>
        <w:ind w:firstLine="480"/>
        <w:rPr>
          <w:color w:val="000000"/>
          <w:sz w:val="21"/>
          <w:szCs w:val="20"/>
        </w:rPr>
      </w:pPr>
    </w:p>
    <w:p w14:paraId="6C475B29">
      <w:pPr>
        <w:rPr>
          <w:color w:val="000000"/>
        </w:rPr>
      </w:pPr>
      <w:r>
        <w:rPr>
          <w:color w:val="000000"/>
        </w:rPr>
        <w:br w:type="page"/>
      </w:r>
    </w:p>
    <w:p w14:paraId="3905A8F9">
      <w:pPr>
        <w:pStyle w:val="31"/>
        <w:jc w:val="center"/>
        <w:rPr>
          <w:bCs/>
          <w:color w:val="000000"/>
        </w:rPr>
      </w:pPr>
      <w:r>
        <w:rPr>
          <w:bCs/>
          <w:color w:val="000000"/>
          <w:sz w:val="21"/>
          <w:szCs w:val="21"/>
        </w:rPr>
        <w:t>表</w:t>
      </w:r>
      <w:r>
        <w:rPr>
          <w:bCs/>
          <w:color w:val="000000"/>
        </w:rPr>
        <w:t>4.3.3-2-3</w:t>
      </w:r>
      <w:r>
        <w:rPr>
          <w:bCs/>
          <w:color w:val="000000"/>
          <w:sz w:val="21"/>
          <w:szCs w:val="21"/>
        </w:rPr>
        <w:t xml:space="preserve"> 地下水现状监测结果统计及评价结果表      单位：mg/L</w:t>
      </w:r>
    </w:p>
    <w:tbl>
      <w:tblPr>
        <w:tblStyle w:val="73"/>
        <w:tblW w:w="50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1021"/>
        <w:gridCol w:w="922"/>
        <w:gridCol w:w="988"/>
        <w:gridCol w:w="891"/>
        <w:gridCol w:w="817"/>
        <w:gridCol w:w="1317"/>
        <w:gridCol w:w="1049"/>
        <w:gridCol w:w="671"/>
        <w:gridCol w:w="1049"/>
        <w:gridCol w:w="1317"/>
        <w:gridCol w:w="818"/>
        <w:gridCol w:w="818"/>
        <w:gridCol w:w="714"/>
        <w:gridCol w:w="688"/>
        <w:gridCol w:w="702"/>
      </w:tblGrid>
      <w:tr w14:paraId="4DBB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60" w:type="pct"/>
            <w:gridSpan w:val="2"/>
            <w:vMerge w:val="restart"/>
            <w:tcBorders>
              <w:tl2br w:val="single" w:color="auto" w:sz="4" w:space="0"/>
            </w:tcBorders>
            <w:vAlign w:val="center"/>
          </w:tcPr>
          <w:p w14:paraId="2AF42DD0">
            <w:pPr>
              <w:rPr>
                <w:color w:val="000000"/>
                <w:kern w:val="0"/>
                <w:sz w:val="21"/>
              </w:rPr>
            </w:pPr>
            <w:r>
              <w:rPr>
                <w:color w:val="000000"/>
              </w:rPr>
              <w:br w:type="page"/>
            </w:r>
            <w:r>
              <w:rPr>
                <w:color w:val="000000"/>
                <w:kern w:val="0"/>
                <w:sz w:val="21"/>
              </w:rPr>
              <w:t>指标</w:t>
            </w:r>
          </w:p>
          <w:p w14:paraId="4CCF3B76">
            <w:pPr>
              <w:spacing w:line="240" w:lineRule="atLeast"/>
              <w:rPr>
                <w:color w:val="000000"/>
                <w:kern w:val="0"/>
                <w:sz w:val="21"/>
              </w:rPr>
            </w:pPr>
            <w:r>
              <w:rPr>
                <w:color w:val="000000"/>
                <w:kern w:val="0"/>
                <w:sz w:val="21"/>
              </w:rPr>
              <w:t>监测点位</w:t>
            </w:r>
          </w:p>
        </w:tc>
        <w:tc>
          <w:tcPr>
            <w:tcW w:w="320" w:type="pct"/>
            <w:vAlign w:val="center"/>
          </w:tcPr>
          <w:p w14:paraId="75F8737F">
            <w:pPr>
              <w:spacing w:line="240" w:lineRule="atLeast"/>
              <w:jc w:val="center"/>
              <w:rPr>
                <w:color w:val="000000"/>
                <w:kern w:val="0"/>
                <w:sz w:val="21"/>
              </w:rPr>
            </w:pPr>
            <w:r>
              <w:rPr>
                <w:color w:val="000000"/>
                <w:kern w:val="0"/>
                <w:sz w:val="21"/>
              </w:rPr>
              <w:t>氰化物</w:t>
            </w:r>
          </w:p>
        </w:tc>
        <w:tc>
          <w:tcPr>
            <w:tcW w:w="343" w:type="pct"/>
            <w:vAlign w:val="center"/>
          </w:tcPr>
          <w:p w14:paraId="64DA7B59">
            <w:pPr>
              <w:spacing w:line="240" w:lineRule="atLeast"/>
              <w:jc w:val="center"/>
              <w:rPr>
                <w:color w:val="000000"/>
                <w:kern w:val="0"/>
                <w:sz w:val="21"/>
              </w:rPr>
            </w:pPr>
            <w:r>
              <w:rPr>
                <w:color w:val="000000"/>
                <w:kern w:val="0"/>
                <w:sz w:val="21"/>
              </w:rPr>
              <w:t>砷</w:t>
            </w:r>
          </w:p>
        </w:tc>
        <w:tc>
          <w:tcPr>
            <w:tcW w:w="309" w:type="pct"/>
            <w:vAlign w:val="center"/>
          </w:tcPr>
          <w:p w14:paraId="56757FDF">
            <w:pPr>
              <w:spacing w:line="240" w:lineRule="atLeast"/>
              <w:jc w:val="center"/>
              <w:rPr>
                <w:color w:val="000000"/>
                <w:kern w:val="0"/>
                <w:sz w:val="21"/>
              </w:rPr>
            </w:pPr>
            <w:r>
              <w:rPr>
                <w:color w:val="000000"/>
                <w:kern w:val="0"/>
                <w:sz w:val="21"/>
              </w:rPr>
              <w:t>汞</w:t>
            </w:r>
          </w:p>
        </w:tc>
        <w:tc>
          <w:tcPr>
            <w:tcW w:w="284" w:type="pct"/>
            <w:vAlign w:val="center"/>
          </w:tcPr>
          <w:p w14:paraId="7BA7ED87">
            <w:pPr>
              <w:spacing w:line="240" w:lineRule="atLeast"/>
              <w:jc w:val="center"/>
              <w:rPr>
                <w:color w:val="000000"/>
                <w:kern w:val="0"/>
                <w:sz w:val="21"/>
              </w:rPr>
            </w:pPr>
            <w:r>
              <w:rPr>
                <w:color w:val="000000"/>
                <w:kern w:val="0"/>
                <w:sz w:val="21"/>
              </w:rPr>
              <w:t>六价铬</w:t>
            </w:r>
          </w:p>
        </w:tc>
        <w:tc>
          <w:tcPr>
            <w:tcW w:w="458" w:type="pct"/>
            <w:vAlign w:val="center"/>
          </w:tcPr>
          <w:p w14:paraId="1C655B55">
            <w:pPr>
              <w:spacing w:line="240" w:lineRule="atLeast"/>
              <w:jc w:val="center"/>
              <w:rPr>
                <w:color w:val="000000"/>
                <w:kern w:val="0"/>
                <w:sz w:val="21"/>
              </w:rPr>
            </w:pPr>
            <w:r>
              <w:rPr>
                <w:color w:val="000000"/>
                <w:kern w:val="0"/>
                <w:sz w:val="21"/>
              </w:rPr>
              <w:t>总硬度</w:t>
            </w:r>
          </w:p>
        </w:tc>
        <w:tc>
          <w:tcPr>
            <w:tcW w:w="365" w:type="pct"/>
            <w:vAlign w:val="center"/>
          </w:tcPr>
          <w:p w14:paraId="7FBF32E7">
            <w:pPr>
              <w:spacing w:line="240" w:lineRule="atLeast"/>
              <w:jc w:val="center"/>
              <w:rPr>
                <w:color w:val="000000"/>
                <w:kern w:val="0"/>
                <w:sz w:val="21"/>
              </w:rPr>
            </w:pPr>
            <w:r>
              <w:rPr>
                <w:color w:val="000000"/>
                <w:kern w:val="0"/>
                <w:sz w:val="21"/>
              </w:rPr>
              <w:t>铅</w:t>
            </w:r>
          </w:p>
        </w:tc>
        <w:tc>
          <w:tcPr>
            <w:tcW w:w="233" w:type="pct"/>
            <w:vAlign w:val="center"/>
          </w:tcPr>
          <w:p w14:paraId="210D0205">
            <w:pPr>
              <w:spacing w:line="240" w:lineRule="atLeast"/>
              <w:jc w:val="center"/>
              <w:rPr>
                <w:color w:val="000000"/>
                <w:kern w:val="0"/>
                <w:sz w:val="21"/>
              </w:rPr>
            </w:pPr>
            <w:r>
              <w:rPr>
                <w:color w:val="000000"/>
                <w:kern w:val="0"/>
                <w:sz w:val="21"/>
              </w:rPr>
              <w:t>氟化物</w:t>
            </w:r>
          </w:p>
        </w:tc>
        <w:tc>
          <w:tcPr>
            <w:tcW w:w="365" w:type="pct"/>
            <w:vAlign w:val="center"/>
          </w:tcPr>
          <w:p w14:paraId="4CAAA033">
            <w:pPr>
              <w:spacing w:line="240" w:lineRule="atLeast"/>
              <w:jc w:val="center"/>
              <w:rPr>
                <w:color w:val="000000"/>
                <w:kern w:val="0"/>
                <w:sz w:val="21"/>
              </w:rPr>
            </w:pPr>
            <w:r>
              <w:rPr>
                <w:color w:val="000000"/>
                <w:kern w:val="0"/>
                <w:sz w:val="21"/>
              </w:rPr>
              <w:t>镉</w:t>
            </w:r>
          </w:p>
        </w:tc>
        <w:tc>
          <w:tcPr>
            <w:tcW w:w="458" w:type="pct"/>
            <w:vAlign w:val="center"/>
          </w:tcPr>
          <w:p w14:paraId="16A671C4">
            <w:pPr>
              <w:spacing w:line="240" w:lineRule="atLeast"/>
              <w:jc w:val="center"/>
              <w:rPr>
                <w:color w:val="000000"/>
                <w:kern w:val="0"/>
                <w:sz w:val="21"/>
              </w:rPr>
            </w:pPr>
            <w:r>
              <w:rPr>
                <w:color w:val="000000"/>
                <w:kern w:val="0"/>
                <w:sz w:val="21"/>
              </w:rPr>
              <w:t>铁</w:t>
            </w:r>
          </w:p>
        </w:tc>
        <w:tc>
          <w:tcPr>
            <w:tcW w:w="284" w:type="pct"/>
            <w:vAlign w:val="center"/>
          </w:tcPr>
          <w:p w14:paraId="062E39A2">
            <w:pPr>
              <w:spacing w:line="240" w:lineRule="atLeast"/>
              <w:jc w:val="center"/>
              <w:rPr>
                <w:color w:val="000000"/>
                <w:kern w:val="0"/>
                <w:sz w:val="21"/>
              </w:rPr>
            </w:pPr>
            <w:r>
              <w:rPr>
                <w:color w:val="000000"/>
                <w:kern w:val="0"/>
                <w:sz w:val="21"/>
              </w:rPr>
              <w:t>锰</w:t>
            </w:r>
          </w:p>
        </w:tc>
        <w:tc>
          <w:tcPr>
            <w:tcW w:w="284" w:type="pct"/>
            <w:vAlign w:val="center"/>
          </w:tcPr>
          <w:p w14:paraId="5BD804B5">
            <w:pPr>
              <w:spacing w:line="240" w:lineRule="atLeast"/>
              <w:jc w:val="center"/>
              <w:rPr>
                <w:color w:val="000000"/>
                <w:sz w:val="21"/>
              </w:rPr>
            </w:pPr>
            <w:r>
              <w:rPr>
                <w:color w:val="000000"/>
                <w:sz w:val="21"/>
              </w:rPr>
              <w:t>铜</w:t>
            </w:r>
          </w:p>
        </w:tc>
        <w:tc>
          <w:tcPr>
            <w:tcW w:w="248" w:type="pct"/>
            <w:vAlign w:val="center"/>
          </w:tcPr>
          <w:p w14:paraId="7B6AFD4E">
            <w:pPr>
              <w:spacing w:line="240" w:lineRule="atLeast"/>
              <w:jc w:val="center"/>
              <w:rPr>
                <w:color w:val="000000"/>
                <w:sz w:val="21"/>
              </w:rPr>
            </w:pPr>
            <w:r>
              <w:rPr>
                <w:color w:val="000000"/>
                <w:sz w:val="21"/>
              </w:rPr>
              <w:t>锌</w:t>
            </w:r>
          </w:p>
        </w:tc>
        <w:tc>
          <w:tcPr>
            <w:tcW w:w="239" w:type="pct"/>
            <w:vAlign w:val="center"/>
          </w:tcPr>
          <w:p w14:paraId="4CCD59BA">
            <w:pPr>
              <w:spacing w:line="240" w:lineRule="atLeast"/>
              <w:jc w:val="center"/>
              <w:rPr>
                <w:color w:val="000000"/>
                <w:sz w:val="21"/>
              </w:rPr>
            </w:pPr>
            <w:r>
              <w:rPr>
                <w:color w:val="000000"/>
                <w:sz w:val="21"/>
              </w:rPr>
              <w:t>菌落总数</w:t>
            </w:r>
          </w:p>
        </w:tc>
        <w:tc>
          <w:tcPr>
            <w:tcW w:w="244" w:type="pct"/>
            <w:vAlign w:val="center"/>
          </w:tcPr>
          <w:p w14:paraId="05B58B68">
            <w:pPr>
              <w:spacing w:line="240" w:lineRule="atLeast"/>
              <w:jc w:val="center"/>
              <w:rPr>
                <w:color w:val="000000"/>
                <w:sz w:val="21"/>
              </w:rPr>
            </w:pPr>
            <w:r>
              <w:rPr>
                <w:color w:val="000000"/>
                <w:sz w:val="21"/>
              </w:rPr>
              <w:t>总大肠菌群</w:t>
            </w:r>
          </w:p>
        </w:tc>
      </w:tr>
      <w:tr w14:paraId="37F1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60" w:type="pct"/>
            <w:gridSpan w:val="2"/>
            <w:vMerge w:val="continue"/>
            <w:vAlign w:val="center"/>
          </w:tcPr>
          <w:p w14:paraId="5D333801">
            <w:pPr>
              <w:spacing w:line="240" w:lineRule="atLeast"/>
              <w:jc w:val="center"/>
              <w:rPr>
                <w:color w:val="000000"/>
                <w:sz w:val="21"/>
              </w:rPr>
            </w:pPr>
          </w:p>
        </w:tc>
        <w:tc>
          <w:tcPr>
            <w:tcW w:w="320" w:type="pct"/>
            <w:vAlign w:val="center"/>
          </w:tcPr>
          <w:p w14:paraId="28C2A0F8">
            <w:pPr>
              <w:spacing w:line="240" w:lineRule="atLeast"/>
              <w:jc w:val="center"/>
              <w:rPr>
                <w:color w:val="000000"/>
                <w:sz w:val="21"/>
              </w:rPr>
            </w:pPr>
            <w:r>
              <w:rPr>
                <w:color w:val="000000"/>
                <w:kern w:val="0"/>
                <w:sz w:val="21"/>
              </w:rPr>
              <w:t>mg/L</w:t>
            </w:r>
          </w:p>
        </w:tc>
        <w:tc>
          <w:tcPr>
            <w:tcW w:w="343" w:type="pct"/>
            <w:vAlign w:val="center"/>
          </w:tcPr>
          <w:p w14:paraId="78760BA1">
            <w:pPr>
              <w:spacing w:line="240" w:lineRule="atLeast"/>
              <w:jc w:val="center"/>
              <w:rPr>
                <w:color w:val="000000"/>
                <w:sz w:val="21"/>
              </w:rPr>
            </w:pPr>
            <w:r>
              <w:rPr>
                <w:color w:val="000000"/>
                <w:kern w:val="0"/>
                <w:sz w:val="21"/>
              </w:rPr>
              <w:t>μg/L</w:t>
            </w:r>
          </w:p>
        </w:tc>
        <w:tc>
          <w:tcPr>
            <w:tcW w:w="309" w:type="pct"/>
            <w:vAlign w:val="center"/>
          </w:tcPr>
          <w:p w14:paraId="350BE9A2">
            <w:pPr>
              <w:spacing w:line="240" w:lineRule="atLeast"/>
              <w:jc w:val="center"/>
              <w:rPr>
                <w:color w:val="000000"/>
                <w:sz w:val="21"/>
              </w:rPr>
            </w:pPr>
            <w:r>
              <w:rPr>
                <w:color w:val="000000"/>
                <w:kern w:val="0"/>
                <w:sz w:val="21"/>
              </w:rPr>
              <w:t>μg/L</w:t>
            </w:r>
          </w:p>
        </w:tc>
        <w:tc>
          <w:tcPr>
            <w:tcW w:w="284" w:type="pct"/>
            <w:vAlign w:val="center"/>
          </w:tcPr>
          <w:p w14:paraId="62CC048C">
            <w:pPr>
              <w:spacing w:line="240" w:lineRule="atLeast"/>
              <w:jc w:val="center"/>
              <w:rPr>
                <w:color w:val="000000"/>
                <w:sz w:val="21"/>
              </w:rPr>
            </w:pPr>
            <w:r>
              <w:rPr>
                <w:color w:val="000000"/>
                <w:kern w:val="0"/>
                <w:sz w:val="21"/>
              </w:rPr>
              <w:t>mg/L</w:t>
            </w:r>
          </w:p>
        </w:tc>
        <w:tc>
          <w:tcPr>
            <w:tcW w:w="458" w:type="pct"/>
            <w:vAlign w:val="center"/>
          </w:tcPr>
          <w:p w14:paraId="33721F71">
            <w:pPr>
              <w:spacing w:line="240" w:lineRule="atLeast"/>
              <w:jc w:val="center"/>
              <w:rPr>
                <w:color w:val="000000"/>
                <w:kern w:val="0"/>
                <w:sz w:val="21"/>
              </w:rPr>
            </w:pPr>
            <w:r>
              <w:rPr>
                <w:color w:val="000000"/>
                <w:kern w:val="0"/>
                <w:sz w:val="21"/>
              </w:rPr>
              <w:t>mg/L</w:t>
            </w:r>
          </w:p>
        </w:tc>
        <w:tc>
          <w:tcPr>
            <w:tcW w:w="365" w:type="pct"/>
            <w:vAlign w:val="center"/>
          </w:tcPr>
          <w:p w14:paraId="59C629D2">
            <w:pPr>
              <w:spacing w:line="240" w:lineRule="atLeast"/>
              <w:jc w:val="center"/>
              <w:rPr>
                <w:color w:val="000000"/>
                <w:kern w:val="0"/>
                <w:sz w:val="21"/>
              </w:rPr>
            </w:pPr>
            <w:r>
              <w:rPr>
                <w:color w:val="000000"/>
                <w:kern w:val="0"/>
                <w:sz w:val="21"/>
              </w:rPr>
              <w:t>mg/L</w:t>
            </w:r>
          </w:p>
        </w:tc>
        <w:tc>
          <w:tcPr>
            <w:tcW w:w="233" w:type="pct"/>
            <w:vAlign w:val="center"/>
          </w:tcPr>
          <w:p w14:paraId="63DD898A">
            <w:pPr>
              <w:spacing w:line="240" w:lineRule="atLeast"/>
              <w:jc w:val="center"/>
              <w:rPr>
                <w:color w:val="000000"/>
                <w:kern w:val="0"/>
                <w:sz w:val="21"/>
              </w:rPr>
            </w:pPr>
            <w:r>
              <w:rPr>
                <w:color w:val="000000"/>
                <w:kern w:val="0"/>
                <w:sz w:val="21"/>
              </w:rPr>
              <w:t>mg/L</w:t>
            </w:r>
          </w:p>
        </w:tc>
        <w:tc>
          <w:tcPr>
            <w:tcW w:w="365" w:type="pct"/>
            <w:vAlign w:val="center"/>
          </w:tcPr>
          <w:p w14:paraId="51878B4F">
            <w:pPr>
              <w:spacing w:line="240" w:lineRule="atLeast"/>
              <w:jc w:val="center"/>
              <w:rPr>
                <w:color w:val="000000"/>
                <w:kern w:val="0"/>
                <w:sz w:val="21"/>
              </w:rPr>
            </w:pPr>
            <w:r>
              <w:rPr>
                <w:color w:val="000000"/>
                <w:kern w:val="0"/>
                <w:sz w:val="21"/>
              </w:rPr>
              <w:t>mg/L</w:t>
            </w:r>
          </w:p>
        </w:tc>
        <w:tc>
          <w:tcPr>
            <w:tcW w:w="458" w:type="pct"/>
            <w:vAlign w:val="center"/>
          </w:tcPr>
          <w:p w14:paraId="336CB9BB">
            <w:pPr>
              <w:spacing w:line="240" w:lineRule="atLeast"/>
              <w:jc w:val="center"/>
              <w:rPr>
                <w:color w:val="000000"/>
                <w:kern w:val="0"/>
                <w:sz w:val="21"/>
              </w:rPr>
            </w:pPr>
            <w:r>
              <w:rPr>
                <w:color w:val="000000"/>
                <w:kern w:val="0"/>
                <w:sz w:val="21"/>
              </w:rPr>
              <w:t>mg/L</w:t>
            </w:r>
          </w:p>
        </w:tc>
        <w:tc>
          <w:tcPr>
            <w:tcW w:w="284" w:type="pct"/>
            <w:vAlign w:val="center"/>
          </w:tcPr>
          <w:p w14:paraId="7BF45B28">
            <w:pPr>
              <w:spacing w:line="240" w:lineRule="atLeast"/>
              <w:jc w:val="center"/>
              <w:rPr>
                <w:color w:val="000000"/>
                <w:kern w:val="0"/>
                <w:sz w:val="21"/>
              </w:rPr>
            </w:pPr>
            <w:r>
              <w:rPr>
                <w:color w:val="000000"/>
                <w:kern w:val="0"/>
                <w:sz w:val="21"/>
              </w:rPr>
              <w:t>mg/L</w:t>
            </w:r>
          </w:p>
        </w:tc>
        <w:tc>
          <w:tcPr>
            <w:tcW w:w="284" w:type="pct"/>
            <w:vAlign w:val="center"/>
          </w:tcPr>
          <w:p w14:paraId="05F2D9B3">
            <w:pPr>
              <w:spacing w:line="240" w:lineRule="atLeast"/>
              <w:jc w:val="center"/>
              <w:rPr>
                <w:color w:val="000000"/>
                <w:sz w:val="21"/>
              </w:rPr>
            </w:pPr>
            <w:r>
              <w:rPr>
                <w:color w:val="000000"/>
                <w:sz w:val="21"/>
              </w:rPr>
              <w:t>mg/L</w:t>
            </w:r>
          </w:p>
        </w:tc>
        <w:tc>
          <w:tcPr>
            <w:tcW w:w="248" w:type="pct"/>
            <w:vAlign w:val="center"/>
          </w:tcPr>
          <w:p w14:paraId="501994FA">
            <w:pPr>
              <w:spacing w:line="240" w:lineRule="atLeast"/>
              <w:jc w:val="center"/>
              <w:rPr>
                <w:color w:val="000000"/>
                <w:sz w:val="21"/>
              </w:rPr>
            </w:pPr>
            <w:r>
              <w:rPr>
                <w:color w:val="000000"/>
                <w:sz w:val="21"/>
              </w:rPr>
              <w:t>mg/L</w:t>
            </w:r>
          </w:p>
        </w:tc>
        <w:tc>
          <w:tcPr>
            <w:tcW w:w="239" w:type="pct"/>
            <w:vAlign w:val="center"/>
          </w:tcPr>
          <w:p w14:paraId="1B3990A3">
            <w:pPr>
              <w:spacing w:line="240" w:lineRule="atLeast"/>
              <w:jc w:val="center"/>
              <w:rPr>
                <w:color w:val="000000"/>
                <w:sz w:val="21"/>
              </w:rPr>
            </w:pPr>
            <w:r>
              <w:rPr>
                <w:color w:val="000000"/>
                <w:sz w:val="21"/>
              </w:rPr>
              <w:t>个/mL</w:t>
            </w:r>
          </w:p>
        </w:tc>
        <w:tc>
          <w:tcPr>
            <w:tcW w:w="244" w:type="pct"/>
            <w:vAlign w:val="center"/>
          </w:tcPr>
          <w:p w14:paraId="0948B76B">
            <w:pPr>
              <w:spacing w:line="240" w:lineRule="atLeast"/>
              <w:jc w:val="center"/>
              <w:rPr>
                <w:color w:val="000000"/>
                <w:sz w:val="21"/>
              </w:rPr>
            </w:pPr>
            <w:r>
              <w:rPr>
                <w:color w:val="000000"/>
                <w:sz w:val="21"/>
              </w:rPr>
              <w:t>3个/L</w:t>
            </w:r>
          </w:p>
        </w:tc>
      </w:tr>
      <w:tr w14:paraId="2211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05" w:type="pct"/>
            <w:vMerge w:val="restart"/>
            <w:vAlign w:val="center"/>
          </w:tcPr>
          <w:p w14:paraId="503913B3">
            <w:pPr>
              <w:spacing w:line="240" w:lineRule="exact"/>
              <w:jc w:val="center"/>
              <w:rPr>
                <w:color w:val="000000"/>
                <w:sz w:val="21"/>
              </w:rPr>
            </w:pPr>
            <w:r>
              <w:rPr>
                <w:color w:val="000000"/>
                <w:sz w:val="21"/>
              </w:rPr>
              <w:t>HS1</w:t>
            </w:r>
          </w:p>
        </w:tc>
        <w:tc>
          <w:tcPr>
            <w:tcW w:w="355" w:type="pct"/>
            <w:vAlign w:val="center"/>
          </w:tcPr>
          <w:p w14:paraId="530427DC">
            <w:pPr>
              <w:spacing w:line="240" w:lineRule="atLeast"/>
              <w:jc w:val="center"/>
              <w:rPr>
                <w:color w:val="000000"/>
                <w:sz w:val="21"/>
              </w:rPr>
            </w:pPr>
            <w:r>
              <w:rPr>
                <w:color w:val="000000"/>
                <w:sz w:val="21"/>
              </w:rPr>
              <w:t>监测值</w:t>
            </w:r>
          </w:p>
        </w:tc>
        <w:tc>
          <w:tcPr>
            <w:tcW w:w="320" w:type="pct"/>
            <w:vAlign w:val="center"/>
          </w:tcPr>
          <w:p w14:paraId="1C3EB5D0">
            <w:pPr>
              <w:spacing w:line="240" w:lineRule="atLeast"/>
              <w:jc w:val="center"/>
              <w:rPr>
                <w:color w:val="000000"/>
                <w:sz w:val="21"/>
              </w:rPr>
            </w:pPr>
            <w:r>
              <w:rPr>
                <w:color w:val="000000"/>
                <w:sz w:val="21"/>
              </w:rPr>
              <w:t>0.002L</w:t>
            </w:r>
          </w:p>
        </w:tc>
        <w:tc>
          <w:tcPr>
            <w:tcW w:w="343" w:type="pct"/>
            <w:vAlign w:val="bottom"/>
          </w:tcPr>
          <w:p w14:paraId="7D5C2718">
            <w:pPr>
              <w:spacing w:line="240" w:lineRule="atLeast"/>
              <w:rPr>
                <w:color w:val="000000"/>
              </w:rPr>
            </w:pPr>
            <w:r>
              <w:rPr>
                <w:color w:val="000000"/>
              </w:rPr>
              <w:t>3×10</w:t>
            </w:r>
            <w:r>
              <w:rPr>
                <w:color w:val="000000"/>
                <w:vertAlign w:val="superscript"/>
              </w:rPr>
              <w:t>-4</w:t>
            </w:r>
            <w:r>
              <w:rPr>
                <w:color w:val="000000"/>
              </w:rPr>
              <w:t>L</w:t>
            </w:r>
          </w:p>
        </w:tc>
        <w:tc>
          <w:tcPr>
            <w:tcW w:w="309" w:type="pct"/>
            <w:vAlign w:val="center"/>
          </w:tcPr>
          <w:p w14:paraId="6273E470">
            <w:pPr>
              <w:spacing w:line="240" w:lineRule="atLeast"/>
              <w:jc w:val="center"/>
              <w:rPr>
                <w:color w:val="000000"/>
                <w:sz w:val="21"/>
              </w:rPr>
            </w:pPr>
            <w:r>
              <w:rPr>
                <w:color w:val="000000"/>
                <w:sz w:val="21"/>
              </w:rPr>
              <w:t>4×10</w:t>
            </w:r>
            <w:r>
              <w:rPr>
                <w:color w:val="000000"/>
                <w:sz w:val="21"/>
                <w:vertAlign w:val="superscript"/>
              </w:rPr>
              <w:t>-5</w:t>
            </w:r>
            <w:r>
              <w:rPr>
                <w:color w:val="000000"/>
                <w:sz w:val="21"/>
              </w:rPr>
              <w:t>L</w:t>
            </w:r>
          </w:p>
        </w:tc>
        <w:tc>
          <w:tcPr>
            <w:tcW w:w="284" w:type="pct"/>
            <w:vAlign w:val="center"/>
          </w:tcPr>
          <w:p w14:paraId="68D7F523">
            <w:pPr>
              <w:spacing w:line="240" w:lineRule="atLeast"/>
              <w:jc w:val="center"/>
              <w:rPr>
                <w:color w:val="000000"/>
                <w:sz w:val="21"/>
              </w:rPr>
            </w:pPr>
            <w:r>
              <w:rPr>
                <w:color w:val="000000"/>
                <w:sz w:val="21"/>
              </w:rPr>
              <w:t>0.004L</w:t>
            </w:r>
          </w:p>
        </w:tc>
        <w:tc>
          <w:tcPr>
            <w:tcW w:w="458" w:type="pct"/>
            <w:vAlign w:val="center"/>
          </w:tcPr>
          <w:p w14:paraId="71CA4A2B">
            <w:pPr>
              <w:spacing w:line="240" w:lineRule="atLeast"/>
              <w:jc w:val="center"/>
              <w:rPr>
                <w:color w:val="000000"/>
                <w:sz w:val="21"/>
              </w:rPr>
            </w:pPr>
            <w:r>
              <w:rPr>
                <w:color w:val="000000"/>
                <w:sz w:val="21"/>
              </w:rPr>
              <w:t>360</w:t>
            </w:r>
          </w:p>
        </w:tc>
        <w:tc>
          <w:tcPr>
            <w:tcW w:w="365" w:type="pct"/>
            <w:vAlign w:val="center"/>
          </w:tcPr>
          <w:p w14:paraId="28C82C9C">
            <w:pPr>
              <w:spacing w:line="240" w:lineRule="atLeast"/>
              <w:jc w:val="center"/>
              <w:rPr>
                <w:color w:val="000000"/>
                <w:sz w:val="21"/>
              </w:rPr>
            </w:pPr>
            <w:r>
              <w:rPr>
                <w:color w:val="000000"/>
                <w:sz w:val="21"/>
              </w:rPr>
              <w:t>1.2×10</w:t>
            </w:r>
            <w:r>
              <w:rPr>
                <w:color w:val="000000"/>
                <w:sz w:val="21"/>
                <w:vertAlign w:val="superscript"/>
              </w:rPr>
              <w:t>-3</w:t>
            </w:r>
            <w:r>
              <w:rPr>
                <w:color w:val="000000"/>
                <w:sz w:val="21"/>
              </w:rPr>
              <w:t>L</w:t>
            </w:r>
          </w:p>
        </w:tc>
        <w:tc>
          <w:tcPr>
            <w:tcW w:w="233" w:type="pct"/>
            <w:vAlign w:val="center"/>
          </w:tcPr>
          <w:p w14:paraId="04E19D23">
            <w:pPr>
              <w:spacing w:line="240" w:lineRule="atLeast"/>
              <w:jc w:val="center"/>
              <w:rPr>
                <w:color w:val="000000"/>
                <w:sz w:val="21"/>
              </w:rPr>
            </w:pPr>
            <w:r>
              <w:rPr>
                <w:color w:val="000000"/>
                <w:sz w:val="21"/>
              </w:rPr>
              <w:t>0.54</w:t>
            </w:r>
          </w:p>
        </w:tc>
        <w:tc>
          <w:tcPr>
            <w:tcW w:w="365" w:type="pct"/>
            <w:vAlign w:val="center"/>
          </w:tcPr>
          <w:p w14:paraId="5FF1E8C3">
            <w:pPr>
              <w:spacing w:line="240" w:lineRule="atLeast"/>
              <w:jc w:val="center"/>
              <w:rPr>
                <w:color w:val="000000"/>
                <w:sz w:val="21"/>
              </w:rPr>
            </w:pPr>
            <w:r>
              <w:rPr>
                <w:color w:val="000000"/>
                <w:sz w:val="21"/>
              </w:rPr>
              <w:t>1.0×10</w:t>
            </w:r>
            <w:r>
              <w:rPr>
                <w:color w:val="000000"/>
                <w:sz w:val="21"/>
                <w:vertAlign w:val="superscript"/>
              </w:rPr>
              <w:t>-4</w:t>
            </w:r>
            <w:r>
              <w:rPr>
                <w:color w:val="000000"/>
                <w:sz w:val="21"/>
              </w:rPr>
              <w:t>L</w:t>
            </w:r>
          </w:p>
        </w:tc>
        <w:tc>
          <w:tcPr>
            <w:tcW w:w="458" w:type="pct"/>
            <w:vAlign w:val="center"/>
          </w:tcPr>
          <w:p w14:paraId="08662199">
            <w:pPr>
              <w:spacing w:line="240" w:lineRule="atLeast"/>
              <w:jc w:val="center"/>
              <w:rPr>
                <w:color w:val="000000"/>
                <w:sz w:val="21"/>
              </w:rPr>
            </w:pPr>
            <w:r>
              <w:rPr>
                <w:color w:val="000000"/>
                <w:sz w:val="21"/>
              </w:rPr>
              <w:t>0.03L</w:t>
            </w:r>
          </w:p>
        </w:tc>
        <w:tc>
          <w:tcPr>
            <w:tcW w:w="284" w:type="pct"/>
            <w:vAlign w:val="center"/>
          </w:tcPr>
          <w:p w14:paraId="7E1340B5">
            <w:pPr>
              <w:spacing w:line="240" w:lineRule="atLeast"/>
              <w:jc w:val="center"/>
              <w:rPr>
                <w:color w:val="000000"/>
                <w:sz w:val="21"/>
              </w:rPr>
            </w:pPr>
            <w:r>
              <w:rPr>
                <w:color w:val="000000"/>
                <w:sz w:val="21"/>
              </w:rPr>
              <w:t>0.01L</w:t>
            </w:r>
          </w:p>
        </w:tc>
        <w:tc>
          <w:tcPr>
            <w:tcW w:w="284" w:type="pct"/>
            <w:vAlign w:val="center"/>
          </w:tcPr>
          <w:p w14:paraId="1CBAF96F">
            <w:pPr>
              <w:spacing w:line="240" w:lineRule="atLeast"/>
              <w:jc w:val="center"/>
              <w:rPr>
                <w:color w:val="000000"/>
                <w:sz w:val="21"/>
              </w:rPr>
            </w:pPr>
            <w:r>
              <w:rPr>
                <w:color w:val="000000"/>
                <w:sz w:val="21"/>
              </w:rPr>
              <w:t>0.05L</w:t>
            </w:r>
          </w:p>
        </w:tc>
        <w:tc>
          <w:tcPr>
            <w:tcW w:w="248" w:type="pct"/>
            <w:vAlign w:val="center"/>
          </w:tcPr>
          <w:p w14:paraId="25AAECEF">
            <w:pPr>
              <w:spacing w:line="240" w:lineRule="atLeast"/>
              <w:jc w:val="center"/>
              <w:rPr>
                <w:color w:val="000000"/>
                <w:sz w:val="21"/>
              </w:rPr>
            </w:pPr>
            <w:r>
              <w:rPr>
                <w:color w:val="000000"/>
                <w:sz w:val="21"/>
              </w:rPr>
              <w:t>0.02L</w:t>
            </w:r>
          </w:p>
        </w:tc>
        <w:tc>
          <w:tcPr>
            <w:tcW w:w="239" w:type="pct"/>
            <w:vAlign w:val="center"/>
          </w:tcPr>
          <w:p w14:paraId="5024FC9D">
            <w:pPr>
              <w:spacing w:line="240" w:lineRule="atLeast"/>
              <w:jc w:val="center"/>
              <w:rPr>
                <w:color w:val="000000"/>
                <w:sz w:val="21"/>
              </w:rPr>
            </w:pPr>
            <w:r>
              <w:rPr>
                <w:color w:val="000000"/>
                <w:sz w:val="21"/>
              </w:rPr>
              <w:t>40</w:t>
            </w:r>
          </w:p>
        </w:tc>
        <w:tc>
          <w:tcPr>
            <w:tcW w:w="244" w:type="pct"/>
            <w:vAlign w:val="center"/>
          </w:tcPr>
          <w:p w14:paraId="4625A8C2">
            <w:pPr>
              <w:spacing w:line="240" w:lineRule="atLeast"/>
              <w:jc w:val="center"/>
              <w:rPr>
                <w:color w:val="000000"/>
                <w:sz w:val="21"/>
              </w:rPr>
            </w:pPr>
            <w:r>
              <w:rPr>
                <w:color w:val="000000"/>
                <w:sz w:val="21"/>
              </w:rPr>
              <w:t>2</w:t>
            </w:r>
          </w:p>
        </w:tc>
      </w:tr>
      <w:tr w14:paraId="119D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05" w:type="pct"/>
            <w:vMerge w:val="continue"/>
            <w:vAlign w:val="center"/>
          </w:tcPr>
          <w:p w14:paraId="208BAAC2">
            <w:pPr>
              <w:spacing w:line="240" w:lineRule="atLeast"/>
              <w:jc w:val="center"/>
              <w:rPr>
                <w:color w:val="000000"/>
                <w:sz w:val="21"/>
              </w:rPr>
            </w:pPr>
          </w:p>
        </w:tc>
        <w:tc>
          <w:tcPr>
            <w:tcW w:w="355" w:type="pct"/>
            <w:vAlign w:val="center"/>
          </w:tcPr>
          <w:p w14:paraId="05F25FE4">
            <w:pPr>
              <w:autoSpaceDE w:val="0"/>
              <w:autoSpaceDN w:val="0"/>
              <w:spacing w:line="240" w:lineRule="atLeast"/>
              <w:jc w:val="center"/>
              <w:rPr>
                <w:color w:val="000000"/>
                <w:w w:val="90"/>
                <w:sz w:val="21"/>
              </w:rPr>
            </w:pPr>
            <w:r>
              <w:rPr>
                <w:color w:val="000000"/>
                <w:w w:val="90"/>
                <w:sz w:val="21"/>
              </w:rPr>
              <w:t>超标率%</w:t>
            </w:r>
          </w:p>
        </w:tc>
        <w:tc>
          <w:tcPr>
            <w:tcW w:w="320" w:type="pct"/>
            <w:vAlign w:val="center"/>
          </w:tcPr>
          <w:p w14:paraId="03CAC791">
            <w:pPr>
              <w:spacing w:line="240" w:lineRule="atLeast"/>
              <w:jc w:val="center"/>
              <w:rPr>
                <w:color w:val="000000"/>
                <w:sz w:val="21"/>
              </w:rPr>
            </w:pPr>
            <w:r>
              <w:rPr>
                <w:color w:val="000000"/>
                <w:sz w:val="21"/>
              </w:rPr>
              <w:t>0</w:t>
            </w:r>
          </w:p>
        </w:tc>
        <w:tc>
          <w:tcPr>
            <w:tcW w:w="343" w:type="pct"/>
            <w:vAlign w:val="center"/>
          </w:tcPr>
          <w:p w14:paraId="769B036F">
            <w:pPr>
              <w:spacing w:line="240" w:lineRule="atLeast"/>
              <w:jc w:val="center"/>
              <w:rPr>
                <w:color w:val="000000"/>
                <w:sz w:val="21"/>
              </w:rPr>
            </w:pPr>
            <w:r>
              <w:rPr>
                <w:color w:val="000000"/>
                <w:sz w:val="21"/>
              </w:rPr>
              <w:t>0</w:t>
            </w:r>
          </w:p>
        </w:tc>
        <w:tc>
          <w:tcPr>
            <w:tcW w:w="309" w:type="pct"/>
            <w:vAlign w:val="center"/>
          </w:tcPr>
          <w:p w14:paraId="6A8560C4">
            <w:pPr>
              <w:spacing w:line="240" w:lineRule="atLeast"/>
              <w:jc w:val="center"/>
              <w:rPr>
                <w:color w:val="000000"/>
                <w:sz w:val="21"/>
              </w:rPr>
            </w:pPr>
            <w:r>
              <w:rPr>
                <w:color w:val="000000"/>
                <w:sz w:val="21"/>
              </w:rPr>
              <w:t>0</w:t>
            </w:r>
          </w:p>
        </w:tc>
        <w:tc>
          <w:tcPr>
            <w:tcW w:w="284" w:type="pct"/>
            <w:vAlign w:val="center"/>
          </w:tcPr>
          <w:p w14:paraId="5C9CD715">
            <w:pPr>
              <w:spacing w:line="240" w:lineRule="atLeast"/>
              <w:jc w:val="center"/>
              <w:rPr>
                <w:color w:val="000000"/>
                <w:sz w:val="21"/>
              </w:rPr>
            </w:pPr>
            <w:r>
              <w:rPr>
                <w:color w:val="000000"/>
                <w:sz w:val="21"/>
              </w:rPr>
              <w:t>0</w:t>
            </w:r>
          </w:p>
        </w:tc>
        <w:tc>
          <w:tcPr>
            <w:tcW w:w="458" w:type="pct"/>
            <w:vAlign w:val="center"/>
          </w:tcPr>
          <w:p w14:paraId="23AA818B">
            <w:pPr>
              <w:spacing w:line="240" w:lineRule="atLeast"/>
              <w:jc w:val="center"/>
              <w:rPr>
                <w:color w:val="000000"/>
                <w:sz w:val="21"/>
              </w:rPr>
            </w:pPr>
            <w:r>
              <w:rPr>
                <w:color w:val="000000"/>
                <w:sz w:val="21"/>
              </w:rPr>
              <w:t>0</w:t>
            </w:r>
          </w:p>
        </w:tc>
        <w:tc>
          <w:tcPr>
            <w:tcW w:w="365" w:type="pct"/>
            <w:vAlign w:val="center"/>
          </w:tcPr>
          <w:p w14:paraId="146B1895">
            <w:pPr>
              <w:spacing w:line="240" w:lineRule="atLeast"/>
              <w:jc w:val="center"/>
              <w:rPr>
                <w:color w:val="000000"/>
                <w:sz w:val="21"/>
              </w:rPr>
            </w:pPr>
            <w:r>
              <w:rPr>
                <w:color w:val="000000"/>
                <w:sz w:val="21"/>
              </w:rPr>
              <w:t>0</w:t>
            </w:r>
          </w:p>
        </w:tc>
        <w:tc>
          <w:tcPr>
            <w:tcW w:w="233" w:type="pct"/>
            <w:vAlign w:val="center"/>
          </w:tcPr>
          <w:p w14:paraId="53BAB909">
            <w:pPr>
              <w:spacing w:line="240" w:lineRule="atLeast"/>
              <w:jc w:val="center"/>
              <w:rPr>
                <w:color w:val="000000"/>
                <w:sz w:val="21"/>
              </w:rPr>
            </w:pPr>
            <w:r>
              <w:rPr>
                <w:color w:val="000000"/>
                <w:sz w:val="21"/>
              </w:rPr>
              <w:t>0</w:t>
            </w:r>
          </w:p>
        </w:tc>
        <w:tc>
          <w:tcPr>
            <w:tcW w:w="365" w:type="pct"/>
            <w:vAlign w:val="center"/>
          </w:tcPr>
          <w:p w14:paraId="25442744">
            <w:pPr>
              <w:spacing w:line="240" w:lineRule="atLeast"/>
              <w:jc w:val="center"/>
              <w:rPr>
                <w:color w:val="000000"/>
                <w:sz w:val="21"/>
              </w:rPr>
            </w:pPr>
            <w:r>
              <w:rPr>
                <w:color w:val="000000"/>
                <w:sz w:val="21"/>
              </w:rPr>
              <w:t>0</w:t>
            </w:r>
          </w:p>
        </w:tc>
        <w:tc>
          <w:tcPr>
            <w:tcW w:w="458" w:type="pct"/>
            <w:vAlign w:val="center"/>
          </w:tcPr>
          <w:p w14:paraId="275A7647">
            <w:pPr>
              <w:spacing w:line="240" w:lineRule="atLeast"/>
              <w:jc w:val="center"/>
              <w:rPr>
                <w:color w:val="000000"/>
                <w:sz w:val="21"/>
              </w:rPr>
            </w:pPr>
            <w:r>
              <w:rPr>
                <w:color w:val="000000"/>
                <w:sz w:val="21"/>
              </w:rPr>
              <w:t>0</w:t>
            </w:r>
          </w:p>
        </w:tc>
        <w:tc>
          <w:tcPr>
            <w:tcW w:w="284" w:type="pct"/>
            <w:vAlign w:val="center"/>
          </w:tcPr>
          <w:p w14:paraId="50E476C1">
            <w:pPr>
              <w:spacing w:line="240" w:lineRule="atLeast"/>
              <w:jc w:val="center"/>
              <w:rPr>
                <w:color w:val="000000"/>
                <w:sz w:val="21"/>
              </w:rPr>
            </w:pPr>
            <w:r>
              <w:rPr>
                <w:color w:val="000000"/>
                <w:sz w:val="21"/>
              </w:rPr>
              <w:t>0</w:t>
            </w:r>
          </w:p>
        </w:tc>
        <w:tc>
          <w:tcPr>
            <w:tcW w:w="284" w:type="pct"/>
            <w:vAlign w:val="center"/>
          </w:tcPr>
          <w:p w14:paraId="532C655C">
            <w:pPr>
              <w:spacing w:line="240" w:lineRule="atLeast"/>
              <w:jc w:val="center"/>
              <w:rPr>
                <w:color w:val="000000"/>
                <w:sz w:val="21"/>
              </w:rPr>
            </w:pPr>
            <w:r>
              <w:rPr>
                <w:color w:val="000000"/>
                <w:sz w:val="21"/>
              </w:rPr>
              <w:t>0</w:t>
            </w:r>
          </w:p>
        </w:tc>
        <w:tc>
          <w:tcPr>
            <w:tcW w:w="248" w:type="pct"/>
            <w:vAlign w:val="center"/>
          </w:tcPr>
          <w:p w14:paraId="40D7A7BB">
            <w:pPr>
              <w:spacing w:line="240" w:lineRule="atLeast"/>
              <w:jc w:val="center"/>
              <w:rPr>
                <w:color w:val="000000"/>
                <w:sz w:val="21"/>
              </w:rPr>
            </w:pPr>
            <w:r>
              <w:rPr>
                <w:color w:val="000000"/>
                <w:sz w:val="21"/>
              </w:rPr>
              <w:t>0</w:t>
            </w:r>
          </w:p>
        </w:tc>
        <w:tc>
          <w:tcPr>
            <w:tcW w:w="239" w:type="pct"/>
            <w:vAlign w:val="center"/>
          </w:tcPr>
          <w:p w14:paraId="32A784CD">
            <w:pPr>
              <w:spacing w:line="240" w:lineRule="atLeast"/>
              <w:jc w:val="center"/>
              <w:rPr>
                <w:color w:val="000000"/>
                <w:sz w:val="21"/>
              </w:rPr>
            </w:pPr>
            <w:r>
              <w:rPr>
                <w:color w:val="000000"/>
                <w:sz w:val="21"/>
              </w:rPr>
              <w:t>0</w:t>
            </w:r>
          </w:p>
        </w:tc>
        <w:tc>
          <w:tcPr>
            <w:tcW w:w="244" w:type="pct"/>
            <w:vAlign w:val="center"/>
          </w:tcPr>
          <w:p w14:paraId="5E688EC9">
            <w:pPr>
              <w:spacing w:line="240" w:lineRule="atLeast"/>
              <w:jc w:val="center"/>
              <w:rPr>
                <w:color w:val="000000"/>
                <w:sz w:val="21"/>
              </w:rPr>
            </w:pPr>
            <w:r>
              <w:rPr>
                <w:color w:val="000000"/>
                <w:sz w:val="21"/>
              </w:rPr>
              <w:t>0</w:t>
            </w:r>
          </w:p>
        </w:tc>
      </w:tr>
      <w:tr w14:paraId="2406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05" w:type="pct"/>
            <w:vMerge w:val="continue"/>
            <w:vAlign w:val="center"/>
          </w:tcPr>
          <w:p w14:paraId="48CC8424">
            <w:pPr>
              <w:spacing w:line="240" w:lineRule="atLeast"/>
              <w:jc w:val="center"/>
              <w:rPr>
                <w:color w:val="000000"/>
                <w:sz w:val="21"/>
              </w:rPr>
            </w:pPr>
          </w:p>
        </w:tc>
        <w:tc>
          <w:tcPr>
            <w:tcW w:w="355" w:type="pct"/>
            <w:vAlign w:val="center"/>
          </w:tcPr>
          <w:p w14:paraId="60C33BF6">
            <w:pPr>
              <w:autoSpaceDE w:val="0"/>
              <w:autoSpaceDN w:val="0"/>
              <w:spacing w:line="240" w:lineRule="atLeast"/>
              <w:jc w:val="center"/>
              <w:rPr>
                <w:color w:val="000000"/>
                <w:w w:val="90"/>
                <w:sz w:val="21"/>
              </w:rPr>
            </w:pPr>
            <w:r>
              <w:rPr>
                <w:color w:val="000000"/>
                <w:w w:val="90"/>
                <w:sz w:val="21"/>
              </w:rPr>
              <w:t>Ii值</w:t>
            </w:r>
          </w:p>
        </w:tc>
        <w:tc>
          <w:tcPr>
            <w:tcW w:w="320" w:type="pct"/>
            <w:vAlign w:val="center"/>
          </w:tcPr>
          <w:p w14:paraId="340834E8">
            <w:pPr>
              <w:spacing w:line="240" w:lineRule="atLeast"/>
              <w:jc w:val="center"/>
              <w:rPr>
                <w:color w:val="000000"/>
                <w:sz w:val="21"/>
              </w:rPr>
            </w:pPr>
            <w:r>
              <w:rPr>
                <w:color w:val="000000"/>
                <w:sz w:val="21"/>
              </w:rPr>
              <w:t>/</w:t>
            </w:r>
          </w:p>
        </w:tc>
        <w:tc>
          <w:tcPr>
            <w:tcW w:w="343" w:type="pct"/>
            <w:vAlign w:val="center"/>
          </w:tcPr>
          <w:p w14:paraId="49FA28B3">
            <w:pPr>
              <w:spacing w:line="240" w:lineRule="atLeast"/>
              <w:jc w:val="center"/>
              <w:rPr>
                <w:color w:val="000000"/>
                <w:sz w:val="21"/>
              </w:rPr>
            </w:pPr>
            <w:r>
              <w:rPr>
                <w:color w:val="000000"/>
                <w:sz w:val="21"/>
              </w:rPr>
              <w:t>0.204</w:t>
            </w:r>
          </w:p>
        </w:tc>
        <w:tc>
          <w:tcPr>
            <w:tcW w:w="309" w:type="pct"/>
            <w:vAlign w:val="center"/>
          </w:tcPr>
          <w:p w14:paraId="6679D0A6">
            <w:pPr>
              <w:spacing w:line="240" w:lineRule="atLeast"/>
              <w:jc w:val="center"/>
              <w:rPr>
                <w:color w:val="000000"/>
                <w:sz w:val="21"/>
              </w:rPr>
            </w:pPr>
            <w:r>
              <w:rPr>
                <w:color w:val="000000"/>
                <w:sz w:val="21"/>
              </w:rPr>
              <w:t>/</w:t>
            </w:r>
          </w:p>
        </w:tc>
        <w:tc>
          <w:tcPr>
            <w:tcW w:w="284" w:type="pct"/>
            <w:vAlign w:val="center"/>
          </w:tcPr>
          <w:p w14:paraId="1A75B90A">
            <w:pPr>
              <w:spacing w:line="240" w:lineRule="atLeast"/>
              <w:jc w:val="center"/>
              <w:rPr>
                <w:color w:val="000000"/>
                <w:sz w:val="21"/>
              </w:rPr>
            </w:pPr>
            <w:r>
              <w:rPr>
                <w:color w:val="000000"/>
                <w:sz w:val="21"/>
              </w:rPr>
              <w:t>/</w:t>
            </w:r>
          </w:p>
        </w:tc>
        <w:tc>
          <w:tcPr>
            <w:tcW w:w="458" w:type="pct"/>
            <w:vAlign w:val="center"/>
          </w:tcPr>
          <w:p w14:paraId="2563BE4A">
            <w:pPr>
              <w:spacing w:line="240" w:lineRule="atLeast"/>
              <w:jc w:val="center"/>
              <w:rPr>
                <w:color w:val="000000"/>
                <w:sz w:val="21"/>
              </w:rPr>
            </w:pPr>
            <w:r>
              <w:rPr>
                <w:color w:val="000000"/>
                <w:sz w:val="21"/>
              </w:rPr>
              <w:t>0.8</w:t>
            </w:r>
          </w:p>
        </w:tc>
        <w:tc>
          <w:tcPr>
            <w:tcW w:w="365" w:type="pct"/>
            <w:vAlign w:val="center"/>
          </w:tcPr>
          <w:p w14:paraId="35969203">
            <w:pPr>
              <w:spacing w:line="240" w:lineRule="atLeast"/>
              <w:jc w:val="center"/>
              <w:rPr>
                <w:color w:val="000000"/>
                <w:sz w:val="21"/>
              </w:rPr>
            </w:pPr>
            <w:r>
              <w:rPr>
                <w:color w:val="000000"/>
                <w:sz w:val="21"/>
              </w:rPr>
              <w:t>/</w:t>
            </w:r>
          </w:p>
        </w:tc>
        <w:tc>
          <w:tcPr>
            <w:tcW w:w="233" w:type="pct"/>
            <w:vAlign w:val="center"/>
          </w:tcPr>
          <w:p w14:paraId="55DA5BCA">
            <w:pPr>
              <w:spacing w:line="240" w:lineRule="atLeast"/>
              <w:jc w:val="center"/>
              <w:rPr>
                <w:color w:val="000000"/>
                <w:sz w:val="21"/>
              </w:rPr>
            </w:pPr>
            <w:r>
              <w:rPr>
                <w:color w:val="000000"/>
                <w:sz w:val="21"/>
              </w:rPr>
              <w:t>0.54</w:t>
            </w:r>
          </w:p>
        </w:tc>
        <w:tc>
          <w:tcPr>
            <w:tcW w:w="365" w:type="pct"/>
            <w:vAlign w:val="center"/>
          </w:tcPr>
          <w:p w14:paraId="74D3E33F">
            <w:pPr>
              <w:spacing w:line="240" w:lineRule="atLeast"/>
              <w:jc w:val="center"/>
              <w:rPr>
                <w:color w:val="000000"/>
                <w:sz w:val="21"/>
              </w:rPr>
            </w:pPr>
            <w:r>
              <w:rPr>
                <w:color w:val="000000"/>
                <w:sz w:val="21"/>
              </w:rPr>
              <w:t>/</w:t>
            </w:r>
          </w:p>
        </w:tc>
        <w:tc>
          <w:tcPr>
            <w:tcW w:w="458" w:type="pct"/>
            <w:vAlign w:val="center"/>
          </w:tcPr>
          <w:p w14:paraId="0936A044">
            <w:pPr>
              <w:spacing w:line="240" w:lineRule="atLeast"/>
              <w:jc w:val="center"/>
              <w:rPr>
                <w:color w:val="000000"/>
                <w:sz w:val="21"/>
              </w:rPr>
            </w:pPr>
            <w:r>
              <w:rPr>
                <w:color w:val="000000"/>
                <w:sz w:val="21"/>
              </w:rPr>
              <w:t>/</w:t>
            </w:r>
          </w:p>
        </w:tc>
        <w:tc>
          <w:tcPr>
            <w:tcW w:w="284" w:type="pct"/>
            <w:vAlign w:val="center"/>
          </w:tcPr>
          <w:p w14:paraId="15EC3866">
            <w:pPr>
              <w:spacing w:line="240" w:lineRule="atLeast"/>
              <w:jc w:val="center"/>
              <w:rPr>
                <w:color w:val="000000"/>
                <w:sz w:val="21"/>
              </w:rPr>
            </w:pPr>
            <w:r>
              <w:rPr>
                <w:color w:val="000000"/>
                <w:sz w:val="21"/>
              </w:rPr>
              <w:t>/</w:t>
            </w:r>
          </w:p>
        </w:tc>
        <w:tc>
          <w:tcPr>
            <w:tcW w:w="284" w:type="pct"/>
            <w:vAlign w:val="center"/>
          </w:tcPr>
          <w:p w14:paraId="75FB6F7D">
            <w:pPr>
              <w:spacing w:line="240" w:lineRule="atLeast"/>
              <w:jc w:val="center"/>
              <w:rPr>
                <w:color w:val="000000"/>
                <w:sz w:val="21"/>
              </w:rPr>
            </w:pPr>
            <w:r>
              <w:rPr>
                <w:color w:val="000000"/>
                <w:sz w:val="21"/>
              </w:rPr>
              <w:t>/</w:t>
            </w:r>
          </w:p>
        </w:tc>
        <w:tc>
          <w:tcPr>
            <w:tcW w:w="248" w:type="pct"/>
            <w:vAlign w:val="center"/>
          </w:tcPr>
          <w:p w14:paraId="6907FD23">
            <w:pPr>
              <w:spacing w:line="240" w:lineRule="atLeast"/>
              <w:jc w:val="center"/>
              <w:rPr>
                <w:color w:val="000000"/>
                <w:sz w:val="21"/>
              </w:rPr>
            </w:pPr>
            <w:r>
              <w:rPr>
                <w:color w:val="000000"/>
                <w:sz w:val="21"/>
              </w:rPr>
              <w:t>/</w:t>
            </w:r>
          </w:p>
        </w:tc>
        <w:tc>
          <w:tcPr>
            <w:tcW w:w="239" w:type="pct"/>
            <w:vAlign w:val="center"/>
          </w:tcPr>
          <w:p w14:paraId="3609BEA1">
            <w:pPr>
              <w:spacing w:line="240" w:lineRule="atLeast"/>
              <w:jc w:val="center"/>
              <w:rPr>
                <w:color w:val="000000"/>
                <w:sz w:val="21"/>
              </w:rPr>
            </w:pPr>
            <w:r>
              <w:rPr>
                <w:color w:val="000000"/>
                <w:sz w:val="21"/>
              </w:rPr>
              <w:t>0.4</w:t>
            </w:r>
          </w:p>
        </w:tc>
        <w:tc>
          <w:tcPr>
            <w:tcW w:w="244" w:type="pct"/>
            <w:vAlign w:val="center"/>
          </w:tcPr>
          <w:p w14:paraId="5FB844F1">
            <w:pPr>
              <w:spacing w:line="240" w:lineRule="atLeast"/>
              <w:jc w:val="center"/>
              <w:rPr>
                <w:color w:val="000000"/>
                <w:sz w:val="21"/>
              </w:rPr>
            </w:pPr>
            <w:r>
              <w:rPr>
                <w:color w:val="000000"/>
                <w:sz w:val="21"/>
              </w:rPr>
              <w:t>0.67</w:t>
            </w:r>
          </w:p>
        </w:tc>
      </w:tr>
      <w:tr w14:paraId="2ED8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05" w:type="pct"/>
            <w:vMerge w:val="restart"/>
            <w:vAlign w:val="center"/>
          </w:tcPr>
          <w:p w14:paraId="0123DFD3">
            <w:pPr>
              <w:spacing w:line="240" w:lineRule="exact"/>
              <w:jc w:val="center"/>
              <w:rPr>
                <w:color w:val="000000"/>
                <w:sz w:val="21"/>
              </w:rPr>
            </w:pPr>
            <w:r>
              <w:rPr>
                <w:color w:val="000000"/>
                <w:sz w:val="21"/>
              </w:rPr>
              <w:t>HS2</w:t>
            </w:r>
          </w:p>
        </w:tc>
        <w:tc>
          <w:tcPr>
            <w:tcW w:w="355" w:type="pct"/>
            <w:vAlign w:val="center"/>
          </w:tcPr>
          <w:p w14:paraId="176D6EAB">
            <w:pPr>
              <w:spacing w:line="240" w:lineRule="atLeast"/>
              <w:jc w:val="center"/>
              <w:rPr>
                <w:color w:val="000000"/>
                <w:sz w:val="21"/>
              </w:rPr>
            </w:pPr>
            <w:r>
              <w:rPr>
                <w:color w:val="000000"/>
                <w:sz w:val="21"/>
              </w:rPr>
              <w:t>监测值</w:t>
            </w:r>
          </w:p>
        </w:tc>
        <w:tc>
          <w:tcPr>
            <w:tcW w:w="320" w:type="pct"/>
            <w:vAlign w:val="center"/>
          </w:tcPr>
          <w:p w14:paraId="770A1E8C">
            <w:pPr>
              <w:spacing w:line="240" w:lineRule="atLeast"/>
              <w:jc w:val="center"/>
              <w:rPr>
                <w:color w:val="000000"/>
                <w:sz w:val="21"/>
              </w:rPr>
            </w:pPr>
            <w:r>
              <w:rPr>
                <w:color w:val="000000"/>
                <w:sz w:val="21"/>
              </w:rPr>
              <w:t>0.002L</w:t>
            </w:r>
          </w:p>
        </w:tc>
        <w:tc>
          <w:tcPr>
            <w:tcW w:w="343" w:type="pct"/>
            <w:vAlign w:val="bottom"/>
          </w:tcPr>
          <w:p w14:paraId="1BE9EAA9">
            <w:pPr>
              <w:spacing w:line="240" w:lineRule="atLeast"/>
              <w:rPr>
                <w:color w:val="000000"/>
              </w:rPr>
            </w:pPr>
            <w:r>
              <w:rPr>
                <w:color w:val="000000"/>
              </w:rPr>
              <w:t>3×10</w:t>
            </w:r>
            <w:r>
              <w:rPr>
                <w:color w:val="000000"/>
                <w:vertAlign w:val="superscript"/>
              </w:rPr>
              <w:t>-4</w:t>
            </w:r>
            <w:r>
              <w:rPr>
                <w:color w:val="000000"/>
              </w:rPr>
              <w:t>L</w:t>
            </w:r>
          </w:p>
        </w:tc>
        <w:tc>
          <w:tcPr>
            <w:tcW w:w="309" w:type="pct"/>
            <w:vAlign w:val="center"/>
          </w:tcPr>
          <w:p w14:paraId="581CB296">
            <w:pPr>
              <w:spacing w:line="240" w:lineRule="atLeast"/>
              <w:jc w:val="center"/>
              <w:rPr>
                <w:color w:val="000000"/>
                <w:sz w:val="21"/>
              </w:rPr>
            </w:pPr>
            <w:r>
              <w:rPr>
                <w:color w:val="000000"/>
                <w:sz w:val="21"/>
              </w:rPr>
              <w:t>4×10</w:t>
            </w:r>
            <w:r>
              <w:rPr>
                <w:color w:val="000000"/>
                <w:sz w:val="21"/>
                <w:vertAlign w:val="superscript"/>
              </w:rPr>
              <w:t>-5</w:t>
            </w:r>
            <w:r>
              <w:rPr>
                <w:color w:val="000000"/>
                <w:sz w:val="21"/>
              </w:rPr>
              <w:t>L</w:t>
            </w:r>
          </w:p>
        </w:tc>
        <w:tc>
          <w:tcPr>
            <w:tcW w:w="284" w:type="pct"/>
            <w:vAlign w:val="center"/>
          </w:tcPr>
          <w:p w14:paraId="4ABC664B">
            <w:pPr>
              <w:spacing w:line="240" w:lineRule="atLeast"/>
              <w:jc w:val="center"/>
              <w:rPr>
                <w:color w:val="000000"/>
                <w:sz w:val="21"/>
              </w:rPr>
            </w:pPr>
            <w:r>
              <w:rPr>
                <w:color w:val="000000"/>
                <w:sz w:val="21"/>
              </w:rPr>
              <w:t>0.004L</w:t>
            </w:r>
          </w:p>
        </w:tc>
        <w:tc>
          <w:tcPr>
            <w:tcW w:w="458" w:type="pct"/>
            <w:vAlign w:val="center"/>
          </w:tcPr>
          <w:p w14:paraId="32F048D7">
            <w:pPr>
              <w:spacing w:line="240" w:lineRule="atLeast"/>
              <w:jc w:val="center"/>
              <w:rPr>
                <w:color w:val="000000"/>
                <w:sz w:val="21"/>
              </w:rPr>
            </w:pPr>
            <w:r>
              <w:rPr>
                <w:color w:val="000000"/>
                <w:sz w:val="21"/>
              </w:rPr>
              <w:t>341</w:t>
            </w:r>
          </w:p>
        </w:tc>
        <w:tc>
          <w:tcPr>
            <w:tcW w:w="365" w:type="pct"/>
            <w:vAlign w:val="center"/>
          </w:tcPr>
          <w:p w14:paraId="516C5ADE">
            <w:pPr>
              <w:spacing w:line="240" w:lineRule="atLeast"/>
              <w:jc w:val="center"/>
              <w:rPr>
                <w:color w:val="000000"/>
                <w:sz w:val="21"/>
              </w:rPr>
            </w:pPr>
            <w:r>
              <w:rPr>
                <w:color w:val="000000"/>
                <w:sz w:val="21"/>
              </w:rPr>
              <w:t>1.2×10</w:t>
            </w:r>
            <w:r>
              <w:rPr>
                <w:color w:val="000000"/>
                <w:sz w:val="21"/>
                <w:vertAlign w:val="superscript"/>
              </w:rPr>
              <w:t>-3</w:t>
            </w:r>
            <w:r>
              <w:rPr>
                <w:color w:val="000000"/>
                <w:sz w:val="21"/>
              </w:rPr>
              <w:t>L</w:t>
            </w:r>
          </w:p>
        </w:tc>
        <w:tc>
          <w:tcPr>
            <w:tcW w:w="233" w:type="pct"/>
            <w:vAlign w:val="center"/>
          </w:tcPr>
          <w:p w14:paraId="190BFE8C">
            <w:pPr>
              <w:spacing w:line="240" w:lineRule="atLeast"/>
              <w:jc w:val="center"/>
              <w:rPr>
                <w:color w:val="000000"/>
                <w:sz w:val="21"/>
              </w:rPr>
            </w:pPr>
            <w:r>
              <w:rPr>
                <w:color w:val="000000"/>
                <w:sz w:val="21"/>
              </w:rPr>
              <w:t>0.26</w:t>
            </w:r>
          </w:p>
        </w:tc>
        <w:tc>
          <w:tcPr>
            <w:tcW w:w="365" w:type="pct"/>
            <w:vAlign w:val="center"/>
          </w:tcPr>
          <w:p w14:paraId="6C7CA53E">
            <w:pPr>
              <w:spacing w:line="240" w:lineRule="atLeast"/>
              <w:jc w:val="center"/>
              <w:rPr>
                <w:color w:val="000000"/>
                <w:sz w:val="21"/>
              </w:rPr>
            </w:pPr>
            <w:r>
              <w:rPr>
                <w:color w:val="000000"/>
                <w:sz w:val="21"/>
              </w:rPr>
              <w:t>1.0×10</w:t>
            </w:r>
            <w:r>
              <w:rPr>
                <w:color w:val="000000"/>
                <w:sz w:val="21"/>
                <w:vertAlign w:val="superscript"/>
              </w:rPr>
              <w:t>-4</w:t>
            </w:r>
            <w:r>
              <w:rPr>
                <w:color w:val="000000"/>
                <w:sz w:val="21"/>
              </w:rPr>
              <w:t>L</w:t>
            </w:r>
          </w:p>
        </w:tc>
        <w:tc>
          <w:tcPr>
            <w:tcW w:w="458" w:type="pct"/>
            <w:vAlign w:val="center"/>
          </w:tcPr>
          <w:p w14:paraId="0F525953">
            <w:pPr>
              <w:spacing w:line="240" w:lineRule="atLeast"/>
              <w:jc w:val="center"/>
              <w:rPr>
                <w:color w:val="000000"/>
                <w:sz w:val="21"/>
              </w:rPr>
            </w:pPr>
            <w:r>
              <w:rPr>
                <w:color w:val="000000"/>
                <w:sz w:val="21"/>
              </w:rPr>
              <w:t>0.03L</w:t>
            </w:r>
          </w:p>
        </w:tc>
        <w:tc>
          <w:tcPr>
            <w:tcW w:w="284" w:type="pct"/>
            <w:vAlign w:val="center"/>
          </w:tcPr>
          <w:p w14:paraId="263F0FC2">
            <w:pPr>
              <w:spacing w:line="240" w:lineRule="atLeast"/>
              <w:jc w:val="center"/>
              <w:rPr>
                <w:color w:val="000000"/>
                <w:sz w:val="21"/>
              </w:rPr>
            </w:pPr>
            <w:r>
              <w:rPr>
                <w:color w:val="000000"/>
                <w:sz w:val="21"/>
              </w:rPr>
              <w:t>0.01L</w:t>
            </w:r>
          </w:p>
        </w:tc>
        <w:tc>
          <w:tcPr>
            <w:tcW w:w="284" w:type="pct"/>
            <w:vAlign w:val="center"/>
          </w:tcPr>
          <w:p w14:paraId="504B1D09">
            <w:pPr>
              <w:spacing w:line="240" w:lineRule="atLeast"/>
              <w:jc w:val="center"/>
              <w:rPr>
                <w:color w:val="000000"/>
                <w:sz w:val="21"/>
              </w:rPr>
            </w:pPr>
            <w:r>
              <w:rPr>
                <w:color w:val="000000"/>
                <w:sz w:val="21"/>
              </w:rPr>
              <w:t>0.05L</w:t>
            </w:r>
          </w:p>
        </w:tc>
        <w:tc>
          <w:tcPr>
            <w:tcW w:w="248" w:type="pct"/>
            <w:vAlign w:val="center"/>
          </w:tcPr>
          <w:p w14:paraId="189C30CA">
            <w:pPr>
              <w:spacing w:line="240" w:lineRule="atLeast"/>
              <w:jc w:val="center"/>
              <w:rPr>
                <w:color w:val="000000"/>
                <w:sz w:val="21"/>
              </w:rPr>
            </w:pPr>
            <w:r>
              <w:rPr>
                <w:color w:val="000000"/>
                <w:sz w:val="21"/>
              </w:rPr>
              <w:t>0.02L</w:t>
            </w:r>
          </w:p>
        </w:tc>
        <w:tc>
          <w:tcPr>
            <w:tcW w:w="239" w:type="pct"/>
            <w:vAlign w:val="center"/>
          </w:tcPr>
          <w:p w14:paraId="342EA60C">
            <w:pPr>
              <w:spacing w:line="240" w:lineRule="atLeast"/>
              <w:jc w:val="center"/>
              <w:rPr>
                <w:color w:val="000000"/>
                <w:sz w:val="21"/>
              </w:rPr>
            </w:pPr>
            <w:r>
              <w:rPr>
                <w:color w:val="000000"/>
                <w:sz w:val="21"/>
              </w:rPr>
              <w:t>10</w:t>
            </w:r>
          </w:p>
        </w:tc>
        <w:tc>
          <w:tcPr>
            <w:tcW w:w="244" w:type="pct"/>
            <w:vAlign w:val="center"/>
          </w:tcPr>
          <w:p w14:paraId="1DF3D4DA">
            <w:pPr>
              <w:spacing w:line="240" w:lineRule="atLeast"/>
              <w:jc w:val="center"/>
              <w:rPr>
                <w:color w:val="000000"/>
                <w:sz w:val="21"/>
              </w:rPr>
            </w:pPr>
            <w:r>
              <w:rPr>
                <w:color w:val="000000"/>
                <w:sz w:val="21"/>
              </w:rPr>
              <w:t>未检出</w:t>
            </w:r>
          </w:p>
        </w:tc>
      </w:tr>
      <w:tr w14:paraId="383E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05" w:type="pct"/>
            <w:vMerge w:val="continue"/>
            <w:vAlign w:val="center"/>
          </w:tcPr>
          <w:p w14:paraId="7D511E97">
            <w:pPr>
              <w:spacing w:line="240" w:lineRule="atLeast"/>
              <w:jc w:val="center"/>
              <w:rPr>
                <w:color w:val="000000"/>
                <w:sz w:val="21"/>
              </w:rPr>
            </w:pPr>
          </w:p>
        </w:tc>
        <w:tc>
          <w:tcPr>
            <w:tcW w:w="355" w:type="pct"/>
            <w:vAlign w:val="center"/>
          </w:tcPr>
          <w:p w14:paraId="7869F270">
            <w:pPr>
              <w:autoSpaceDE w:val="0"/>
              <w:autoSpaceDN w:val="0"/>
              <w:spacing w:line="240" w:lineRule="atLeast"/>
              <w:jc w:val="center"/>
              <w:rPr>
                <w:color w:val="000000"/>
                <w:w w:val="90"/>
                <w:sz w:val="21"/>
              </w:rPr>
            </w:pPr>
            <w:r>
              <w:rPr>
                <w:color w:val="000000"/>
                <w:w w:val="90"/>
                <w:sz w:val="21"/>
              </w:rPr>
              <w:t>超标率%</w:t>
            </w:r>
          </w:p>
        </w:tc>
        <w:tc>
          <w:tcPr>
            <w:tcW w:w="320" w:type="pct"/>
            <w:vAlign w:val="center"/>
          </w:tcPr>
          <w:p w14:paraId="392D9C08">
            <w:pPr>
              <w:spacing w:line="240" w:lineRule="atLeast"/>
              <w:jc w:val="center"/>
              <w:rPr>
                <w:color w:val="000000"/>
                <w:sz w:val="21"/>
              </w:rPr>
            </w:pPr>
            <w:r>
              <w:rPr>
                <w:color w:val="000000"/>
                <w:sz w:val="21"/>
              </w:rPr>
              <w:t>0</w:t>
            </w:r>
          </w:p>
        </w:tc>
        <w:tc>
          <w:tcPr>
            <w:tcW w:w="343" w:type="pct"/>
            <w:vAlign w:val="center"/>
          </w:tcPr>
          <w:p w14:paraId="2D6CA2F8">
            <w:pPr>
              <w:spacing w:line="240" w:lineRule="atLeast"/>
              <w:jc w:val="center"/>
              <w:rPr>
                <w:color w:val="000000"/>
                <w:sz w:val="21"/>
              </w:rPr>
            </w:pPr>
            <w:r>
              <w:rPr>
                <w:color w:val="000000"/>
                <w:sz w:val="21"/>
              </w:rPr>
              <w:t>0</w:t>
            </w:r>
          </w:p>
        </w:tc>
        <w:tc>
          <w:tcPr>
            <w:tcW w:w="309" w:type="pct"/>
            <w:vAlign w:val="center"/>
          </w:tcPr>
          <w:p w14:paraId="1CF5ACC6">
            <w:pPr>
              <w:spacing w:line="240" w:lineRule="atLeast"/>
              <w:jc w:val="center"/>
              <w:rPr>
                <w:color w:val="000000"/>
                <w:sz w:val="21"/>
              </w:rPr>
            </w:pPr>
            <w:r>
              <w:rPr>
                <w:color w:val="000000"/>
                <w:sz w:val="21"/>
              </w:rPr>
              <w:t>0</w:t>
            </w:r>
          </w:p>
        </w:tc>
        <w:tc>
          <w:tcPr>
            <w:tcW w:w="284" w:type="pct"/>
            <w:vAlign w:val="center"/>
          </w:tcPr>
          <w:p w14:paraId="0DCD9246">
            <w:pPr>
              <w:spacing w:line="240" w:lineRule="atLeast"/>
              <w:jc w:val="center"/>
              <w:rPr>
                <w:color w:val="000000"/>
                <w:sz w:val="21"/>
              </w:rPr>
            </w:pPr>
            <w:r>
              <w:rPr>
                <w:color w:val="000000"/>
                <w:sz w:val="21"/>
              </w:rPr>
              <w:t>0</w:t>
            </w:r>
          </w:p>
        </w:tc>
        <w:tc>
          <w:tcPr>
            <w:tcW w:w="458" w:type="pct"/>
            <w:vAlign w:val="center"/>
          </w:tcPr>
          <w:p w14:paraId="7B69D854">
            <w:pPr>
              <w:spacing w:line="240" w:lineRule="atLeast"/>
              <w:jc w:val="center"/>
              <w:rPr>
                <w:color w:val="000000"/>
                <w:sz w:val="21"/>
              </w:rPr>
            </w:pPr>
            <w:r>
              <w:rPr>
                <w:color w:val="000000"/>
                <w:sz w:val="21"/>
              </w:rPr>
              <w:t>0</w:t>
            </w:r>
          </w:p>
        </w:tc>
        <w:tc>
          <w:tcPr>
            <w:tcW w:w="365" w:type="pct"/>
            <w:vAlign w:val="center"/>
          </w:tcPr>
          <w:p w14:paraId="50DC7BE0">
            <w:pPr>
              <w:spacing w:line="240" w:lineRule="atLeast"/>
              <w:jc w:val="center"/>
              <w:rPr>
                <w:color w:val="000000"/>
                <w:sz w:val="21"/>
              </w:rPr>
            </w:pPr>
            <w:r>
              <w:rPr>
                <w:color w:val="000000"/>
                <w:sz w:val="21"/>
              </w:rPr>
              <w:t>0</w:t>
            </w:r>
          </w:p>
        </w:tc>
        <w:tc>
          <w:tcPr>
            <w:tcW w:w="233" w:type="pct"/>
            <w:vAlign w:val="center"/>
          </w:tcPr>
          <w:p w14:paraId="5E4D0A3D">
            <w:pPr>
              <w:spacing w:line="240" w:lineRule="atLeast"/>
              <w:jc w:val="center"/>
              <w:rPr>
                <w:color w:val="000000"/>
                <w:sz w:val="21"/>
              </w:rPr>
            </w:pPr>
            <w:r>
              <w:rPr>
                <w:color w:val="000000"/>
                <w:sz w:val="21"/>
              </w:rPr>
              <w:t>0</w:t>
            </w:r>
          </w:p>
        </w:tc>
        <w:tc>
          <w:tcPr>
            <w:tcW w:w="365" w:type="pct"/>
            <w:vAlign w:val="center"/>
          </w:tcPr>
          <w:p w14:paraId="68EC2CCF">
            <w:pPr>
              <w:spacing w:line="240" w:lineRule="atLeast"/>
              <w:jc w:val="center"/>
              <w:rPr>
                <w:color w:val="000000"/>
                <w:sz w:val="21"/>
              </w:rPr>
            </w:pPr>
            <w:r>
              <w:rPr>
                <w:color w:val="000000"/>
                <w:sz w:val="21"/>
              </w:rPr>
              <w:t>0</w:t>
            </w:r>
          </w:p>
        </w:tc>
        <w:tc>
          <w:tcPr>
            <w:tcW w:w="458" w:type="pct"/>
            <w:vAlign w:val="center"/>
          </w:tcPr>
          <w:p w14:paraId="47A0371B">
            <w:pPr>
              <w:spacing w:line="240" w:lineRule="atLeast"/>
              <w:jc w:val="center"/>
              <w:rPr>
                <w:color w:val="000000"/>
                <w:sz w:val="21"/>
              </w:rPr>
            </w:pPr>
            <w:r>
              <w:rPr>
                <w:color w:val="000000"/>
                <w:sz w:val="21"/>
              </w:rPr>
              <w:t>0</w:t>
            </w:r>
          </w:p>
        </w:tc>
        <w:tc>
          <w:tcPr>
            <w:tcW w:w="284" w:type="pct"/>
            <w:vAlign w:val="center"/>
          </w:tcPr>
          <w:p w14:paraId="4F566585">
            <w:pPr>
              <w:spacing w:line="240" w:lineRule="atLeast"/>
              <w:jc w:val="center"/>
              <w:rPr>
                <w:color w:val="000000"/>
                <w:sz w:val="21"/>
              </w:rPr>
            </w:pPr>
            <w:r>
              <w:rPr>
                <w:color w:val="000000"/>
                <w:sz w:val="21"/>
              </w:rPr>
              <w:t>0</w:t>
            </w:r>
          </w:p>
        </w:tc>
        <w:tc>
          <w:tcPr>
            <w:tcW w:w="284" w:type="pct"/>
            <w:vAlign w:val="center"/>
          </w:tcPr>
          <w:p w14:paraId="19067BCD">
            <w:pPr>
              <w:spacing w:line="240" w:lineRule="atLeast"/>
              <w:jc w:val="center"/>
              <w:rPr>
                <w:color w:val="000000"/>
                <w:sz w:val="21"/>
              </w:rPr>
            </w:pPr>
            <w:r>
              <w:rPr>
                <w:color w:val="000000"/>
                <w:sz w:val="21"/>
              </w:rPr>
              <w:t>0</w:t>
            </w:r>
          </w:p>
        </w:tc>
        <w:tc>
          <w:tcPr>
            <w:tcW w:w="248" w:type="pct"/>
            <w:vAlign w:val="center"/>
          </w:tcPr>
          <w:p w14:paraId="2D26166C">
            <w:pPr>
              <w:spacing w:line="240" w:lineRule="atLeast"/>
              <w:jc w:val="center"/>
              <w:rPr>
                <w:color w:val="000000"/>
                <w:sz w:val="21"/>
              </w:rPr>
            </w:pPr>
            <w:r>
              <w:rPr>
                <w:color w:val="000000"/>
                <w:sz w:val="21"/>
              </w:rPr>
              <w:t>0</w:t>
            </w:r>
          </w:p>
        </w:tc>
        <w:tc>
          <w:tcPr>
            <w:tcW w:w="239" w:type="pct"/>
            <w:vAlign w:val="center"/>
          </w:tcPr>
          <w:p w14:paraId="48FD7A39">
            <w:pPr>
              <w:spacing w:line="240" w:lineRule="atLeast"/>
              <w:jc w:val="center"/>
              <w:rPr>
                <w:color w:val="000000"/>
                <w:sz w:val="21"/>
              </w:rPr>
            </w:pPr>
            <w:r>
              <w:rPr>
                <w:color w:val="000000"/>
                <w:sz w:val="21"/>
              </w:rPr>
              <w:t>0</w:t>
            </w:r>
          </w:p>
        </w:tc>
        <w:tc>
          <w:tcPr>
            <w:tcW w:w="244" w:type="pct"/>
            <w:vAlign w:val="center"/>
          </w:tcPr>
          <w:p w14:paraId="78BC4A94">
            <w:pPr>
              <w:spacing w:line="240" w:lineRule="atLeast"/>
              <w:jc w:val="center"/>
              <w:rPr>
                <w:color w:val="000000"/>
                <w:sz w:val="21"/>
              </w:rPr>
            </w:pPr>
            <w:r>
              <w:rPr>
                <w:color w:val="000000"/>
                <w:sz w:val="21"/>
              </w:rPr>
              <w:t>0</w:t>
            </w:r>
          </w:p>
        </w:tc>
      </w:tr>
      <w:tr w14:paraId="324A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05" w:type="pct"/>
            <w:vMerge w:val="continue"/>
            <w:vAlign w:val="center"/>
          </w:tcPr>
          <w:p w14:paraId="249746D8">
            <w:pPr>
              <w:spacing w:line="240" w:lineRule="atLeast"/>
              <w:jc w:val="center"/>
              <w:rPr>
                <w:color w:val="000000"/>
                <w:sz w:val="21"/>
              </w:rPr>
            </w:pPr>
          </w:p>
        </w:tc>
        <w:tc>
          <w:tcPr>
            <w:tcW w:w="355" w:type="pct"/>
            <w:vAlign w:val="center"/>
          </w:tcPr>
          <w:p w14:paraId="677684C2">
            <w:pPr>
              <w:autoSpaceDE w:val="0"/>
              <w:autoSpaceDN w:val="0"/>
              <w:spacing w:line="240" w:lineRule="atLeast"/>
              <w:jc w:val="center"/>
              <w:rPr>
                <w:color w:val="000000"/>
                <w:w w:val="90"/>
                <w:sz w:val="21"/>
              </w:rPr>
            </w:pPr>
            <w:r>
              <w:rPr>
                <w:color w:val="000000"/>
                <w:w w:val="90"/>
                <w:sz w:val="21"/>
              </w:rPr>
              <w:t>Ii值</w:t>
            </w:r>
          </w:p>
        </w:tc>
        <w:tc>
          <w:tcPr>
            <w:tcW w:w="320" w:type="pct"/>
            <w:vAlign w:val="center"/>
          </w:tcPr>
          <w:p w14:paraId="0EB1896D">
            <w:pPr>
              <w:spacing w:line="240" w:lineRule="atLeast"/>
              <w:jc w:val="center"/>
              <w:rPr>
                <w:color w:val="000000"/>
                <w:sz w:val="21"/>
              </w:rPr>
            </w:pPr>
            <w:r>
              <w:rPr>
                <w:color w:val="000000"/>
                <w:sz w:val="21"/>
              </w:rPr>
              <w:t>/</w:t>
            </w:r>
          </w:p>
        </w:tc>
        <w:tc>
          <w:tcPr>
            <w:tcW w:w="343" w:type="pct"/>
            <w:vAlign w:val="center"/>
          </w:tcPr>
          <w:p w14:paraId="1A9DBC2E">
            <w:pPr>
              <w:spacing w:line="240" w:lineRule="atLeast"/>
              <w:jc w:val="center"/>
              <w:rPr>
                <w:color w:val="000000"/>
                <w:sz w:val="21"/>
              </w:rPr>
            </w:pPr>
            <w:r>
              <w:rPr>
                <w:color w:val="000000"/>
                <w:sz w:val="21"/>
              </w:rPr>
              <w:t>/</w:t>
            </w:r>
          </w:p>
        </w:tc>
        <w:tc>
          <w:tcPr>
            <w:tcW w:w="309" w:type="pct"/>
            <w:vAlign w:val="center"/>
          </w:tcPr>
          <w:p w14:paraId="410AA471">
            <w:pPr>
              <w:spacing w:line="240" w:lineRule="atLeast"/>
              <w:jc w:val="center"/>
              <w:rPr>
                <w:color w:val="000000"/>
                <w:sz w:val="21"/>
              </w:rPr>
            </w:pPr>
            <w:r>
              <w:rPr>
                <w:color w:val="000000"/>
                <w:sz w:val="21"/>
              </w:rPr>
              <w:t>/</w:t>
            </w:r>
          </w:p>
        </w:tc>
        <w:tc>
          <w:tcPr>
            <w:tcW w:w="284" w:type="pct"/>
            <w:vAlign w:val="center"/>
          </w:tcPr>
          <w:p w14:paraId="4106DB67">
            <w:pPr>
              <w:spacing w:line="240" w:lineRule="atLeast"/>
              <w:jc w:val="center"/>
              <w:rPr>
                <w:color w:val="000000"/>
                <w:sz w:val="21"/>
              </w:rPr>
            </w:pPr>
            <w:r>
              <w:rPr>
                <w:color w:val="000000"/>
                <w:sz w:val="21"/>
              </w:rPr>
              <w:t>/</w:t>
            </w:r>
          </w:p>
        </w:tc>
        <w:tc>
          <w:tcPr>
            <w:tcW w:w="458" w:type="pct"/>
            <w:vAlign w:val="center"/>
          </w:tcPr>
          <w:p w14:paraId="0B1D92C8">
            <w:pPr>
              <w:spacing w:line="240" w:lineRule="atLeast"/>
              <w:jc w:val="center"/>
              <w:rPr>
                <w:color w:val="000000"/>
                <w:sz w:val="21"/>
              </w:rPr>
            </w:pPr>
            <w:r>
              <w:rPr>
                <w:color w:val="000000"/>
                <w:sz w:val="21"/>
              </w:rPr>
              <w:t>0.76</w:t>
            </w:r>
          </w:p>
        </w:tc>
        <w:tc>
          <w:tcPr>
            <w:tcW w:w="365" w:type="pct"/>
            <w:vAlign w:val="center"/>
          </w:tcPr>
          <w:p w14:paraId="6A4E5958">
            <w:pPr>
              <w:spacing w:line="240" w:lineRule="atLeast"/>
              <w:jc w:val="center"/>
              <w:rPr>
                <w:color w:val="000000"/>
                <w:sz w:val="21"/>
              </w:rPr>
            </w:pPr>
            <w:r>
              <w:rPr>
                <w:color w:val="000000"/>
                <w:sz w:val="21"/>
              </w:rPr>
              <w:t>/</w:t>
            </w:r>
          </w:p>
        </w:tc>
        <w:tc>
          <w:tcPr>
            <w:tcW w:w="233" w:type="pct"/>
            <w:vAlign w:val="center"/>
          </w:tcPr>
          <w:p w14:paraId="6602D8B6">
            <w:pPr>
              <w:spacing w:line="240" w:lineRule="atLeast"/>
              <w:jc w:val="center"/>
              <w:rPr>
                <w:color w:val="000000"/>
                <w:sz w:val="21"/>
              </w:rPr>
            </w:pPr>
            <w:r>
              <w:rPr>
                <w:color w:val="000000"/>
                <w:sz w:val="21"/>
              </w:rPr>
              <w:t>0.26</w:t>
            </w:r>
          </w:p>
        </w:tc>
        <w:tc>
          <w:tcPr>
            <w:tcW w:w="365" w:type="pct"/>
            <w:vAlign w:val="center"/>
          </w:tcPr>
          <w:p w14:paraId="7B6771E6">
            <w:pPr>
              <w:spacing w:line="240" w:lineRule="atLeast"/>
              <w:jc w:val="center"/>
              <w:rPr>
                <w:color w:val="000000"/>
                <w:sz w:val="21"/>
              </w:rPr>
            </w:pPr>
            <w:r>
              <w:rPr>
                <w:color w:val="000000"/>
                <w:sz w:val="21"/>
              </w:rPr>
              <w:t>/</w:t>
            </w:r>
          </w:p>
        </w:tc>
        <w:tc>
          <w:tcPr>
            <w:tcW w:w="458" w:type="pct"/>
            <w:vAlign w:val="center"/>
          </w:tcPr>
          <w:p w14:paraId="154F9D31">
            <w:pPr>
              <w:spacing w:line="240" w:lineRule="atLeast"/>
              <w:jc w:val="center"/>
              <w:rPr>
                <w:color w:val="000000"/>
                <w:sz w:val="21"/>
              </w:rPr>
            </w:pPr>
            <w:r>
              <w:rPr>
                <w:color w:val="000000"/>
                <w:sz w:val="21"/>
              </w:rPr>
              <w:t>/</w:t>
            </w:r>
          </w:p>
        </w:tc>
        <w:tc>
          <w:tcPr>
            <w:tcW w:w="284" w:type="pct"/>
            <w:vAlign w:val="center"/>
          </w:tcPr>
          <w:p w14:paraId="21A7F75A">
            <w:pPr>
              <w:spacing w:line="240" w:lineRule="atLeast"/>
              <w:jc w:val="center"/>
              <w:rPr>
                <w:color w:val="000000"/>
                <w:sz w:val="21"/>
              </w:rPr>
            </w:pPr>
            <w:r>
              <w:rPr>
                <w:color w:val="000000"/>
                <w:sz w:val="21"/>
              </w:rPr>
              <w:t>　</w:t>
            </w:r>
          </w:p>
        </w:tc>
        <w:tc>
          <w:tcPr>
            <w:tcW w:w="284" w:type="pct"/>
            <w:vAlign w:val="center"/>
          </w:tcPr>
          <w:p w14:paraId="08D4EB60">
            <w:pPr>
              <w:spacing w:line="240" w:lineRule="atLeast"/>
              <w:jc w:val="center"/>
              <w:rPr>
                <w:color w:val="000000"/>
                <w:sz w:val="21"/>
              </w:rPr>
            </w:pPr>
            <w:r>
              <w:rPr>
                <w:color w:val="000000"/>
                <w:sz w:val="21"/>
              </w:rPr>
              <w:t>　</w:t>
            </w:r>
          </w:p>
        </w:tc>
        <w:tc>
          <w:tcPr>
            <w:tcW w:w="248" w:type="pct"/>
            <w:vAlign w:val="center"/>
          </w:tcPr>
          <w:p w14:paraId="48AE8B01">
            <w:pPr>
              <w:spacing w:line="240" w:lineRule="atLeast"/>
              <w:jc w:val="center"/>
              <w:rPr>
                <w:color w:val="000000"/>
                <w:sz w:val="21"/>
              </w:rPr>
            </w:pPr>
            <w:r>
              <w:rPr>
                <w:color w:val="000000"/>
                <w:sz w:val="21"/>
              </w:rPr>
              <w:t>　</w:t>
            </w:r>
          </w:p>
        </w:tc>
        <w:tc>
          <w:tcPr>
            <w:tcW w:w="239" w:type="pct"/>
            <w:vAlign w:val="center"/>
          </w:tcPr>
          <w:p w14:paraId="22602DB9">
            <w:pPr>
              <w:spacing w:line="240" w:lineRule="atLeast"/>
              <w:jc w:val="center"/>
              <w:rPr>
                <w:color w:val="000000"/>
                <w:sz w:val="21"/>
              </w:rPr>
            </w:pPr>
            <w:r>
              <w:rPr>
                <w:color w:val="000000"/>
                <w:sz w:val="21"/>
              </w:rPr>
              <w:t>0.1</w:t>
            </w:r>
          </w:p>
        </w:tc>
        <w:tc>
          <w:tcPr>
            <w:tcW w:w="244" w:type="pct"/>
            <w:vAlign w:val="center"/>
          </w:tcPr>
          <w:p w14:paraId="6A40EE9A">
            <w:pPr>
              <w:spacing w:line="240" w:lineRule="atLeast"/>
              <w:jc w:val="center"/>
              <w:rPr>
                <w:color w:val="000000"/>
                <w:sz w:val="21"/>
              </w:rPr>
            </w:pPr>
            <w:r>
              <w:rPr>
                <w:color w:val="000000"/>
                <w:sz w:val="21"/>
              </w:rPr>
              <w:t>/</w:t>
            </w:r>
          </w:p>
        </w:tc>
      </w:tr>
      <w:tr w14:paraId="675C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05" w:type="pct"/>
            <w:vMerge w:val="restart"/>
            <w:vAlign w:val="center"/>
          </w:tcPr>
          <w:p w14:paraId="6FF1B7EF">
            <w:pPr>
              <w:spacing w:line="240" w:lineRule="exact"/>
              <w:jc w:val="center"/>
              <w:rPr>
                <w:color w:val="000000"/>
                <w:sz w:val="21"/>
              </w:rPr>
            </w:pPr>
            <w:r>
              <w:rPr>
                <w:color w:val="000000"/>
                <w:sz w:val="21"/>
              </w:rPr>
              <w:t>HS3</w:t>
            </w:r>
          </w:p>
        </w:tc>
        <w:tc>
          <w:tcPr>
            <w:tcW w:w="355" w:type="pct"/>
            <w:vAlign w:val="center"/>
          </w:tcPr>
          <w:p w14:paraId="708D0D14">
            <w:pPr>
              <w:spacing w:line="240" w:lineRule="atLeast"/>
              <w:jc w:val="center"/>
              <w:rPr>
                <w:color w:val="000000"/>
                <w:sz w:val="21"/>
              </w:rPr>
            </w:pPr>
            <w:r>
              <w:rPr>
                <w:color w:val="000000"/>
                <w:sz w:val="21"/>
              </w:rPr>
              <w:t>监测值</w:t>
            </w:r>
          </w:p>
        </w:tc>
        <w:tc>
          <w:tcPr>
            <w:tcW w:w="320" w:type="pct"/>
            <w:vAlign w:val="center"/>
          </w:tcPr>
          <w:p w14:paraId="777F9A2F">
            <w:pPr>
              <w:spacing w:line="240" w:lineRule="atLeast"/>
              <w:jc w:val="center"/>
              <w:rPr>
                <w:color w:val="000000"/>
                <w:sz w:val="21"/>
              </w:rPr>
            </w:pPr>
            <w:r>
              <w:rPr>
                <w:color w:val="000000"/>
                <w:sz w:val="21"/>
              </w:rPr>
              <w:t>0.002L</w:t>
            </w:r>
          </w:p>
        </w:tc>
        <w:tc>
          <w:tcPr>
            <w:tcW w:w="343" w:type="pct"/>
            <w:vAlign w:val="bottom"/>
          </w:tcPr>
          <w:p w14:paraId="47FE2C9E">
            <w:pPr>
              <w:spacing w:line="240" w:lineRule="atLeast"/>
              <w:rPr>
                <w:color w:val="000000"/>
              </w:rPr>
            </w:pPr>
            <w:r>
              <w:rPr>
                <w:color w:val="000000"/>
              </w:rPr>
              <w:t>3×10</w:t>
            </w:r>
            <w:r>
              <w:rPr>
                <w:color w:val="000000"/>
                <w:vertAlign w:val="superscript"/>
              </w:rPr>
              <w:t>-4</w:t>
            </w:r>
            <w:r>
              <w:rPr>
                <w:color w:val="000000"/>
              </w:rPr>
              <w:t>L</w:t>
            </w:r>
          </w:p>
        </w:tc>
        <w:tc>
          <w:tcPr>
            <w:tcW w:w="309" w:type="pct"/>
            <w:vAlign w:val="center"/>
          </w:tcPr>
          <w:p w14:paraId="7D992005">
            <w:pPr>
              <w:spacing w:line="240" w:lineRule="atLeast"/>
              <w:jc w:val="center"/>
              <w:rPr>
                <w:color w:val="000000"/>
                <w:sz w:val="21"/>
              </w:rPr>
            </w:pPr>
            <w:r>
              <w:rPr>
                <w:color w:val="000000"/>
                <w:sz w:val="21"/>
              </w:rPr>
              <w:t>4×10</w:t>
            </w:r>
            <w:r>
              <w:rPr>
                <w:color w:val="000000"/>
                <w:sz w:val="21"/>
                <w:vertAlign w:val="superscript"/>
              </w:rPr>
              <w:t>-5</w:t>
            </w:r>
            <w:r>
              <w:rPr>
                <w:color w:val="000000"/>
                <w:sz w:val="21"/>
              </w:rPr>
              <w:t>L</w:t>
            </w:r>
          </w:p>
        </w:tc>
        <w:tc>
          <w:tcPr>
            <w:tcW w:w="284" w:type="pct"/>
            <w:vAlign w:val="center"/>
          </w:tcPr>
          <w:p w14:paraId="2917B8AA">
            <w:pPr>
              <w:spacing w:line="240" w:lineRule="atLeast"/>
              <w:jc w:val="center"/>
              <w:rPr>
                <w:color w:val="000000"/>
                <w:sz w:val="21"/>
              </w:rPr>
            </w:pPr>
            <w:r>
              <w:rPr>
                <w:color w:val="000000"/>
                <w:sz w:val="21"/>
              </w:rPr>
              <w:t>0.004L</w:t>
            </w:r>
          </w:p>
        </w:tc>
        <w:tc>
          <w:tcPr>
            <w:tcW w:w="458" w:type="pct"/>
            <w:vAlign w:val="center"/>
          </w:tcPr>
          <w:p w14:paraId="454F9E6E">
            <w:pPr>
              <w:spacing w:line="240" w:lineRule="atLeast"/>
              <w:jc w:val="center"/>
              <w:rPr>
                <w:color w:val="000000"/>
                <w:sz w:val="21"/>
              </w:rPr>
            </w:pPr>
            <w:r>
              <w:rPr>
                <w:color w:val="000000"/>
                <w:sz w:val="21"/>
              </w:rPr>
              <w:t>311</w:t>
            </w:r>
          </w:p>
        </w:tc>
        <w:tc>
          <w:tcPr>
            <w:tcW w:w="365" w:type="pct"/>
            <w:vAlign w:val="center"/>
          </w:tcPr>
          <w:p w14:paraId="06AA7E3A">
            <w:pPr>
              <w:spacing w:line="240" w:lineRule="atLeast"/>
              <w:jc w:val="center"/>
              <w:rPr>
                <w:color w:val="000000"/>
                <w:sz w:val="21"/>
              </w:rPr>
            </w:pPr>
            <w:r>
              <w:rPr>
                <w:color w:val="000000"/>
                <w:sz w:val="21"/>
              </w:rPr>
              <w:t>1.2×10</w:t>
            </w:r>
            <w:r>
              <w:rPr>
                <w:color w:val="000000"/>
                <w:sz w:val="21"/>
                <w:vertAlign w:val="superscript"/>
              </w:rPr>
              <w:t>-3</w:t>
            </w:r>
            <w:r>
              <w:rPr>
                <w:color w:val="000000"/>
                <w:sz w:val="21"/>
              </w:rPr>
              <w:t>L</w:t>
            </w:r>
          </w:p>
        </w:tc>
        <w:tc>
          <w:tcPr>
            <w:tcW w:w="233" w:type="pct"/>
            <w:vAlign w:val="center"/>
          </w:tcPr>
          <w:p w14:paraId="0B45228E">
            <w:pPr>
              <w:spacing w:line="240" w:lineRule="atLeast"/>
              <w:jc w:val="center"/>
              <w:rPr>
                <w:color w:val="000000"/>
                <w:sz w:val="21"/>
              </w:rPr>
            </w:pPr>
            <w:r>
              <w:rPr>
                <w:color w:val="000000"/>
                <w:sz w:val="21"/>
              </w:rPr>
              <w:t>0.22</w:t>
            </w:r>
          </w:p>
        </w:tc>
        <w:tc>
          <w:tcPr>
            <w:tcW w:w="365" w:type="pct"/>
            <w:vAlign w:val="center"/>
          </w:tcPr>
          <w:p w14:paraId="2FFE7913">
            <w:pPr>
              <w:spacing w:line="240" w:lineRule="atLeast"/>
              <w:jc w:val="center"/>
              <w:rPr>
                <w:color w:val="000000"/>
                <w:sz w:val="21"/>
              </w:rPr>
            </w:pPr>
            <w:r>
              <w:rPr>
                <w:color w:val="000000"/>
                <w:sz w:val="21"/>
              </w:rPr>
              <w:t>1.0×10</w:t>
            </w:r>
            <w:r>
              <w:rPr>
                <w:color w:val="000000"/>
                <w:sz w:val="21"/>
                <w:vertAlign w:val="superscript"/>
              </w:rPr>
              <w:t>-4</w:t>
            </w:r>
            <w:r>
              <w:rPr>
                <w:color w:val="000000"/>
                <w:sz w:val="21"/>
              </w:rPr>
              <w:t>L</w:t>
            </w:r>
          </w:p>
        </w:tc>
        <w:tc>
          <w:tcPr>
            <w:tcW w:w="458" w:type="pct"/>
            <w:vAlign w:val="center"/>
          </w:tcPr>
          <w:p w14:paraId="0CD8B939">
            <w:pPr>
              <w:spacing w:line="240" w:lineRule="atLeast"/>
              <w:jc w:val="center"/>
              <w:rPr>
                <w:color w:val="000000"/>
                <w:sz w:val="21"/>
              </w:rPr>
            </w:pPr>
            <w:r>
              <w:rPr>
                <w:color w:val="000000"/>
                <w:sz w:val="21"/>
              </w:rPr>
              <w:t>0.03L</w:t>
            </w:r>
          </w:p>
        </w:tc>
        <w:tc>
          <w:tcPr>
            <w:tcW w:w="284" w:type="pct"/>
            <w:vAlign w:val="center"/>
          </w:tcPr>
          <w:p w14:paraId="12F2E7AD">
            <w:pPr>
              <w:spacing w:line="240" w:lineRule="atLeast"/>
              <w:jc w:val="center"/>
              <w:rPr>
                <w:color w:val="000000"/>
                <w:sz w:val="21"/>
              </w:rPr>
            </w:pPr>
            <w:r>
              <w:rPr>
                <w:color w:val="000000"/>
                <w:sz w:val="21"/>
              </w:rPr>
              <w:t>0.01L</w:t>
            </w:r>
          </w:p>
        </w:tc>
        <w:tc>
          <w:tcPr>
            <w:tcW w:w="284" w:type="pct"/>
            <w:vAlign w:val="center"/>
          </w:tcPr>
          <w:p w14:paraId="1A4E2EF9">
            <w:pPr>
              <w:spacing w:line="240" w:lineRule="atLeast"/>
              <w:jc w:val="center"/>
              <w:rPr>
                <w:color w:val="000000"/>
                <w:sz w:val="21"/>
              </w:rPr>
            </w:pPr>
            <w:r>
              <w:rPr>
                <w:color w:val="000000"/>
                <w:sz w:val="21"/>
              </w:rPr>
              <w:t>0.05L</w:t>
            </w:r>
          </w:p>
        </w:tc>
        <w:tc>
          <w:tcPr>
            <w:tcW w:w="248" w:type="pct"/>
            <w:vAlign w:val="center"/>
          </w:tcPr>
          <w:p w14:paraId="6327172A">
            <w:pPr>
              <w:spacing w:line="240" w:lineRule="atLeast"/>
              <w:jc w:val="center"/>
              <w:rPr>
                <w:color w:val="000000"/>
                <w:sz w:val="21"/>
              </w:rPr>
            </w:pPr>
            <w:r>
              <w:rPr>
                <w:color w:val="000000"/>
                <w:sz w:val="21"/>
              </w:rPr>
              <w:t>0.02L</w:t>
            </w:r>
          </w:p>
        </w:tc>
        <w:tc>
          <w:tcPr>
            <w:tcW w:w="239" w:type="pct"/>
            <w:vAlign w:val="center"/>
          </w:tcPr>
          <w:p w14:paraId="4ED1A5F5">
            <w:pPr>
              <w:spacing w:line="240" w:lineRule="atLeast"/>
              <w:jc w:val="center"/>
              <w:rPr>
                <w:color w:val="000000"/>
                <w:sz w:val="21"/>
              </w:rPr>
            </w:pPr>
            <w:r>
              <w:rPr>
                <w:color w:val="000000"/>
                <w:sz w:val="21"/>
              </w:rPr>
              <w:t>10</w:t>
            </w:r>
          </w:p>
        </w:tc>
        <w:tc>
          <w:tcPr>
            <w:tcW w:w="244" w:type="pct"/>
            <w:vAlign w:val="center"/>
          </w:tcPr>
          <w:p w14:paraId="1B115936">
            <w:pPr>
              <w:spacing w:line="240" w:lineRule="atLeast"/>
              <w:jc w:val="center"/>
              <w:rPr>
                <w:color w:val="000000"/>
                <w:sz w:val="21"/>
              </w:rPr>
            </w:pPr>
            <w:r>
              <w:rPr>
                <w:color w:val="000000"/>
                <w:sz w:val="21"/>
              </w:rPr>
              <w:t>未检出</w:t>
            </w:r>
          </w:p>
        </w:tc>
      </w:tr>
      <w:tr w14:paraId="24AE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05" w:type="pct"/>
            <w:vMerge w:val="continue"/>
            <w:vAlign w:val="center"/>
          </w:tcPr>
          <w:p w14:paraId="0B8AC018">
            <w:pPr>
              <w:spacing w:line="240" w:lineRule="atLeast"/>
              <w:jc w:val="center"/>
              <w:rPr>
                <w:color w:val="000000"/>
                <w:sz w:val="21"/>
              </w:rPr>
            </w:pPr>
          </w:p>
        </w:tc>
        <w:tc>
          <w:tcPr>
            <w:tcW w:w="355" w:type="pct"/>
            <w:vAlign w:val="center"/>
          </w:tcPr>
          <w:p w14:paraId="51B7FBF9">
            <w:pPr>
              <w:autoSpaceDE w:val="0"/>
              <w:autoSpaceDN w:val="0"/>
              <w:spacing w:line="240" w:lineRule="atLeast"/>
              <w:jc w:val="center"/>
              <w:rPr>
                <w:color w:val="000000"/>
                <w:w w:val="90"/>
                <w:sz w:val="21"/>
              </w:rPr>
            </w:pPr>
            <w:r>
              <w:rPr>
                <w:color w:val="000000"/>
                <w:w w:val="90"/>
                <w:sz w:val="21"/>
              </w:rPr>
              <w:t>超标率%</w:t>
            </w:r>
          </w:p>
        </w:tc>
        <w:tc>
          <w:tcPr>
            <w:tcW w:w="320" w:type="pct"/>
            <w:vAlign w:val="center"/>
          </w:tcPr>
          <w:p w14:paraId="03A665AC">
            <w:pPr>
              <w:spacing w:line="240" w:lineRule="atLeast"/>
              <w:jc w:val="center"/>
              <w:rPr>
                <w:color w:val="000000"/>
                <w:sz w:val="21"/>
              </w:rPr>
            </w:pPr>
            <w:r>
              <w:rPr>
                <w:color w:val="000000"/>
                <w:sz w:val="21"/>
              </w:rPr>
              <w:t>0</w:t>
            </w:r>
          </w:p>
        </w:tc>
        <w:tc>
          <w:tcPr>
            <w:tcW w:w="343" w:type="pct"/>
            <w:vAlign w:val="center"/>
          </w:tcPr>
          <w:p w14:paraId="7F2C2F76">
            <w:pPr>
              <w:spacing w:line="240" w:lineRule="atLeast"/>
              <w:jc w:val="center"/>
              <w:rPr>
                <w:color w:val="000000"/>
                <w:sz w:val="21"/>
              </w:rPr>
            </w:pPr>
            <w:r>
              <w:rPr>
                <w:color w:val="000000"/>
                <w:sz w:val="21"/>
              </w:rPr>
              <w:t>0</w:t>
            </w:r>
          </w:p>
        </w:tc>
        <w:tc>
          <w:tcPr>
            <w:tcW w:w="309" w:type="pct"/>
            <w:vAlign w:val="center"/>
          </w:tcPr>
          <w:p w14:paraId="2E60FAA9">
            <w:pPr>
              <w:spacing w:line="240" w:lineRule="atLeast"/>
              <w:jc w:val="center"/>
              <w:rPr>
                <w:color w:val="000000"/>
                <w:sz w:val="21"/>
              </w:rPr>
            </w:pPr>
            <w:r>
              <w:rPr>
                <w:color w:val="000000"/>
                <w:sz w:val="21"/>
              </w:rPr>
              <w:t>0</w:t>
            </w:r>
          </w:p>
        </w:tc>
        <w:tc>
          <w:tcPr>
            <w:tcW w:w="284" w:type="pct"/>
            <w:vAlign w:val="center"/>
          </w:tcPr>
          <w:p w14:paraId="353135AB">
            <w:pPr>
              <w:spacing w:line="240" w:lineRule="atLeast"/>
              <w:jc w:val="center"/>
              <w:rPr>
                <w:color w:val="000000"/>
                <w:sz w:val="21"/>
              </w:rPr>
            </w:pPr>
            <w:r>
              <w:rPr>
                <w:color w:val="000000"/>
                <w:sz w:val="21"/>
              </w:rPr>
              <w:t>0</w:t>
            </w:r>
          </w:p>
        </w:tc>
        <w:tc>
          <w:tcPr>
            <w:tcW w:w="458" w:type="pct"/>
            <w:vAlign w:val="center"/>
          </w:tcPr>
          <w:p w14:paraId="2A42C1C0">
            <w:pPr>
              <w:spacing w:line="240" w:lineRule="atLeast"/>
              <w:jc w:val="center"/>
              <w:rPr>
                <w:color w:val="000000"/>
                <w:sz w:val="21"/>
              </w:rPr>
            </w:pPr>
            <w:r>
              <w:rPr>
                <w:color w:val="000000"/>
                <w:sz w:val="21"/>
              </w:rPr>
              <w:t>0</w:t>
            </w:r>
          </w:p>
        </w:tc>
        <w:tc>
          <w:tcPr>
            <w:tcW w:w="365" w:type="pct"/>
            <w:vAlign w:val="center"/>
          </w:tcPr>
          <w:p w14:paraId="324C809C">
            <w:pPr>
              <w:spacing w:line="240" w:lineRule="atLeast"/>
              <w:jc w:val="center"/>
              <w:rPr>
                <w:color w:val="000000"/>
                <w:sz w:val="21"/>
              </w:rPr>
            </w:pPr>
            <w:r>
              <w:rPr>
                <w:color w:val="000000"/>
                <w:sz w:val="21"/>
              </w:rPr>
              <w:t>0</w:t>
            </w:r>
          </w:p>
        </w:tc>
        <w:tc>
          <w:tcPr>
            <w:tcW w:w="233" w:type="pct"/>
            <w:vAlign w:val="center"/>
          </w:tcPr>
          <w:p w14:paraId="3334A6AB">
            <w:pPr>
              <w:spacing w:line="240" w:lineRule="atLeast"/>
              <w:jc w:val="center"/>
              <w:rPr>
                <w:color w:val="000000"/>
                <w:sz w:val="21"/>
              </w:rPr>
            </w:pPr>
            <w:r>
              <w:rPr>
                <w:color w:val="000000"/>
                <w:sz w:val="21"/>
              </w:rPr>
              <w:t>0</w:t>
            </w:r>
          </w:p>
        </w:tc>
        <w:tc>
          <w:tcPr>
            <w:tcW w:w="365" w:type="pct"/>
            <w:vAlign w:val="center"/>
          </w:tcPr>
          <w:p w14:paraId="589DA673">
            <w:pPr>
              <w:spacing w:line="240" w:lineRule="atLeast"/>
              <w:jc w:val="center"/>
              <w:rPr>
                <w:color w:val="000000"/>
                <w:sz w:val="21"/>
              </w:rPr>
            </w:pPr>
            <w:r>
              <w:rPr>
                <w:color w:val="000000"/>
                <w:sz w:val="21"/>
              </w:rPr>
              <w:t>0</w:t>
            </w:r>
          </w:p>
        </w:tc>
        <w:tc>
          <w:tcPr>
            <w:tcW w:w="458" w:type="pct"/>
            <w:vAlign w:val="center"/>
          </w:tcPr>
          <w:p w14:paraId="2E9AD085">
            <w:pPr>
              <w:spacing w:line="240" w:lineRule="atLeast"/>
              <w:jc w:val="center"/>
              <w:rPr>
                <w:color w:val="000000"/>
                <w:sz w:val="21"/>
              </w:rPr>
            </w:pPr>
            <w:r>
              <w:rPr>
                <w:color w:val="000000"/>
                <w:sz w:val="21"/>
              </w:rPr>
              <w:t>0</w:t>
            </w:r>
          </w:p>
        </w:tc>
        <w:tc>
          <w:tcPr>
            <w:tcW w:w="284" w:type="pct"/>
            <w:vAlign w:val="center"/>
          </w:tcPr>
          <w:p w14:paraId="310EB0D5">
            <w:pPr>
              <w:spacing w:line="240" w:lineRule="atLeast"/>
              <w:jc w:val="center"/>
              <w:rPr>
                <w:color w:val="000000"/>
                <w:sz w:val="21"/>
              </w:rPr>
            </w:pPr>
            <w:r>
              <w:rPr>
                <w:color w:val="000000"/>
                <w:sz w:val="21"/>
              </w:rPr>
              <w:t>0</w:t>
            </w:r>
          </w:p>
        </w:tc>
        <w:tc>
          <w:tcPr>
            <w:tcW w:w="284" w:type="pct"/>
            <w:vAlign w:val="center"/>
          </w:tcPr>
          <w:p w14:paraId="63421931">
            <w:pPr>
              <w:spacing w:line="240" w:lineRule="atLeast"/>
              <w:jc w:val="center"/>
              <w:rPr>
                <w:color w:val="000000"/>
                <w:sz w:val="21"/>
              </w:rPr>
            </w:pPr>
            <w:r>
              <w:rPr>
                <w:color w:val="000000"/>
                <w:sz w:val="21"/>
              </w:rPr>
              <w:t>0</w:t>
            </w:r>
          </w:p>
        </w:tc>
        <w:tc>
          <w:tcPr>
            <w:tcW w:w="248" w:type="pct"/>
            <w:vAlign w:val="center"/>
          </w:tcPr>
          <w:p w14:paraId="50C22889">
            <w:pPr>
              <w:spacing w:line="240" w:lineRule="atLeast"/>
              <w:jc w:val="center"/>
              <w:rPr>
                <w:color w:val="000000"/>
                <w:sz w:val="21"/>
              </w:rPr>
            </w:pPr>
            <w:r>
              <w:rPr>
                <w:color w:val="000000"/>
                <w:sz w:val="21"/>
              </w:rPr>
              <w:t>0</w:t>
            </w:r>
          </w:p>
        </w:tc>
        <w:tc>
          <w:tcPr>
            <w:tcW w:w="239" w:type="pct"/>
            <w:vAlign w:val="center"/>
          </w:tcPr>
          <w:p w14:paraId="0D380851">
            <w:pPr>
              <w:spacing w:line="240" w:lineRule="atLeast"/>
              <w:jc w:val="center"/>
              <w:rPr>
                <w:color w:val="000000"/>
                <w:sz w:val="21"/>
              </w:rPr>
            </w:pPr>
            <w:r>
              <w:rPr>
                <w:color w:val="000000"/>
                <w:sz w:val="21"/>
              </w:rPr>
              <w:t>0</w:t>
            </w:r>
          </w:p>
        </w:tc>
        <w:tc>
          <w:tcPr>
            <w:tcW w:w="244" w:type="pct"/>
            <w:vAlign w:val="center"/>
          </w:tcPr>
          <w:p w14:paraId="220EE433">
            <w:pPr>
              <w:spacing w:line="240" w:lineRule="atLeast"/>
              <w:jc w:val="center"/>
              <w:rPr>
                <w:color w:val="000000"/>
                <w:sz w:val="21"/>
              </w:rPr>
            </w:pPr>
            <w:r>
              <w:rPr>
                <w:color w:val="000000"/>
                <w:sz w:val="21"/>
              </w:rPr>
              <w:t>0</w:t>
            </w:r>
          </w:p>
        </w:tc>
      </w:tr>
      <w:tr w14:paraId="71C1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05" w:type="pct"/>
            <w:vMerge w:val="continue"/>
            <w:vAlign w:val="center"/>
          </w:tcPr>
          <w:p w14:paraId="714AFC6B">
            <w:pPr>
              <w:spacing w:line="240" w:lineRule="atLeast"/>
              <w:jc w:val="center"/>
              <w:rPr>
                <w:color w:val="000000"/>
                <w:sz w:val="21"/>
              </w:rPr>
            </w:pPr>
          </w:p>
        </w:tc>
        <w:tc>
          <w:tcPr>
            <w:tcW w:w="355" w:type="pct"/>
            <w:vAlign w:val="center"/>
          </w:tcPr>
          <w:p w14:paraId="36726504">
            <w:pPr>
              <w:autoSpaceDE w:val="0"/>
              <w:autoSpaceDN w:val="0"/>
              <w:spacing w:line="240" w:lineRule="atLeast"/>
              <w:jc w:val="center"/>
              <w:rPr>
                <w:color w:val="000000"/>
                <w:w w:val="90"/>
                <w:sz w:val="21"/>
              </w:rPr>
            </w:pPr>
            <w:r>
              <w:rPr>
                <w:color w:val="000000"/>
                <w:w w:val="90"/>
                <w:sz w:val="21"/>
              </w:rPr>
              <w:t>Ii值</w:t>
            </w:r>
          </w:p>
        </w:tc>
        <w:tc>
          <w:tcPr>
            <w:tcW w:w="320" w:type="pct"/>
            <w:vAlign w:val="center"/>
          </w:tcPr>
          <w:p w14:paraId="77970F75">
            <w:pPr>
              <w:spacing w:line="240" w:lineRule="atLeast"/>
              <w:jc w:val="center"/>
              <w:rPr>
                <w:color w:val="000000"/>
                <w:sz w:val="21"/>
              </w:rPr>
            </w:pPr>
            <w:r>
              <w:rPr>
                <w:color w:val="000000"/>
                <w:sz w:val="21"/>
              </w:rPr>
              <w:t>/</w:t>
            </w:r>
          </w:p>
        </w:tc>
        <w:tc>
          <w:tcPr>
            <w:tcW w:w="343" w:type="pct"/>
            <w:vAlign w:val="center"/>
          </w:tcPr>
          <w:p w14:paraId="30050D6E">
            <w:pPr>
              <w:spacing w:line="240" w:lineRule="atLeast"/>
              <w:jc w:val="center"/>
              <w:rPr>
                <w:color w:val="000000"/>
                <w:sz w:val="21"/>
              </w:rPr>
            </w:pPr>
            <w:r>
              <w:rPr>
                <w:color w:val="000000"/>
                <w:sz w:val="21"/>
              </w:rPr>
              <w:t>0.25</w:t>
            </w:r>
          </w:p>
        </w:tc>
        <w:tc>
          <w:tcPr>
            <w:tcW w:w="309" w:type="pct"/>
            <w:vAlign w:val="center"/>
          </w:tcPr>
          <w:p w14:paraId="7BC7F85F">
            <w:pPr>
              <w:spacing w:line="240" w:lineRule="atLeast"/>
              <w:jc w:val="center"/>
              <w:rPr>
                <w:color w:val="000000"/>
                <w:sz w:val="21"/>
              </w:rPr>
            </w:pPr>
            <w:r>
              <w:rPr>
                <w:color w:val="000000"/>
                <w:sz w:val="21"/>
              </w:rPr>
              <w:t>/</w:t>
            </w:r>
          </w:p>
        </w:tc>
        <w:tc>
          <w:tcPr>
            <w:tcW w:w="284" w:type="pct"/>
            <w:vAlign w:val="center"/>
          </w:tcPr>
          <w:p w14:paraId="0BB56A21">
            <w:pPr>
              <w:spacing w:line="240" w:lineRule="atLeast"/>
              <w:jc w:val="center"/>
              <w:rPr>
                <w:color w:val="000000"/>
                <w:sz w:val="21"/>
              </w:rPr>
            </w:pPr>
            <w:r>
              <w:rPr>
                <w:color w:val="000000"/>
                <w:sz w:val="21"/>
              </w:rPr>
              <w:t>/</w:t>
            </w:r>
          </w:p>
        </w:tc>
        <w:tc>
          <w:tcPr>
            <w:tcW w:w="458" w:type="pct"/>
            <w:vAlign w:val="center"/>
          </w:tcPr>
          <w:p w14:paraId="454AD47C">
            <w:pPr>
              <w:spacing w:line="240" w:lineRule="atLeast"/>
              <w:jc w:val="center"/>
              <w:rPr>
                <w:color w:val="000000"/>
                <w:sz w:val="21"/>
              </w:rPr>
            </w:pPr>
            <w:r>
              <w:rPr>
                <w:color w:val="000000"/>
                <w:sz w:val="21"/>
              </w:rPr>
              <w:t>0.69</w:t>
            </w:r>
          </w:p>
        </w:tc>
        <w:tc>
          <w:tcPr>
            <w:tcW w:w="365" w:type="pct"/>
            <w:vAlign w:val="center"/>
          </w:tcPr>
          <w:p w14:paraId="65559316">
            <w:pPr>
              <w:spacing w:line="240" w:lineRule="atLeast"/>
              <w:jc w:val="center"/>
              <w:rPr>
                <w:color w:val="000000"/>
                <w:sz w:val="21"/>
              </w:rPr>
            </w:pPr>
            <w:r>
              <w:rPr>
                <w:color w:val="000000"/>
                <w:sz w:val="21"/>
              </w:rPr>
              <w:t>/</w:t>
            </w:r>
          </w:p>
        </w:tc>
        <w:tc>
          <w:tcPr>
            <w:tcW w:w="233" w:type="pct"/>
            <w:vAlign w:val="center"/>
          </w:tcPr>
          <w:p w14:paraId="18477171">
            <w:pPr>
              <w:spacing w:line="240" w:lineRule="atLeast"/>
              <w:jc w:val="center"/>
              <w:rPr>
                <w:color w:val="000000"/>
                <w:sz w:val="21"/>
              </w:rPr>
            </w:pPr>
            <w:r>
              <w:rPr>
                <w:color w:val="000000"/>
                <w:sz w:val="21"/>
              </w:rPr>
              <w:t>0.22</w:t>
            </w:r>
          </w:p>
        </w:tc>
        <w:tc>
          <w:tcPr>
            <w:tcW w:w="365" w:type="pct"/>
            <w:vAlign w:val="center"/>
          </w:tcPr>
          <w:p w14:paraId="28F4F3D8">
            <w:pPr>
              <w:spacing w:line="240" w:lineRule="atLeast"/>
              <w:jc w:val="center"/>
              <w:rPr>
                <w:color w:val="000000"/>
                <w:sz w:val="21"/>
              </w:rPr>
            </w:pPr>
            <w:r>
              <w:rPr>
                <w:color w:val="000000"/>
                <w:sz w:val="21"/>
              </w:rPr>
              <w:t>/</w:t>
            </w:r>
          </w:p>
        </w:tc>
        <w:tc>
          <w:tcPr>
            <w:tcW w:w="458" w:type="pct"/>
            <w:vAlign w:val="center"/>
          </w:tcPr>
          <w:p w14:paraId="30685F74">
            <w:pPr>
              <w:spacing w:line="240" w:lineRule="atLeast"/>
              <w:jc w:val="center"/>
              <w:rPr>
                <w:color w:val="000000"/>
                <w:sz w:val="21"/>
              </w:rPr>
            </w:pPr>
            <w:r>
              <w:rPr>
                <w:color w:val="000000"/>
                <w:sz w:val="21"/>
              </w:rPr>
              <w:t>/</w:t>
            </w:r>
          </w:p>
        </w:tc>
        <w:tc>
          <w:tcPr>
            <w:tcW w:w="284" w:type="pct"/>
            <w:vAlign w:val="center"/>
          </w:tcPr>
          <w:p w14:paraId="716B8720">
            <w:pPr>
              <w:spacing w:line="240" w:lineRule="atLeast"/>
              <w:jc w:val="center"/>
              <w:rPr>
                <w:color w:val="000000"/>
                <w:sz w:val="21"/>
              </w:rPr>
            </w:pPr>
            <w:r>
              <w:rPr>
                <w:color w:val="000000"/>
                <w:sz w:val="21"/>
              </w:rPr>
              <w:t>/</w:t>
            </w:r>
          </w:p>
        </w:tc>
        <w:tc>
          <w:tcPr>
            <w:tcW w:w="284" w:type="pct"/>
            <w:vAlign w:val="center"/>
          </w:tcPr>
          <w:p w14:paraId="20975377">
            <w:pPr>
              <w:spacing w:line="240" w:lineRule="atLeast"/>
              <w:jc w:val="center"/>
              <w:rPr>
                <w:color w:val="000000"/>
                <w:sz w:val="21"/>
              </w:rPr>
            </w:pPr>
            <w:r>
              <w:rPr>
                <w:color w:val="000000"/>
                <w:sz w:val="21"/>
              </w:rPr>
              <w:t>/</w:t>
            </w:r>
          </w:p>
        </w:tc>
        <w:tc>
          <w:tcPr>
            <w:tcW w:w="248" w:type="pct"/>
            <w:vAlign w:val="center"/>
          </w:tcPr>
          <w:p w14:paraId="061A0774">
            <w:pPr>
              <w:spacing w:line="240" w:lineRule="atLeast"/>
              <w:jc w:val="center"/>
              <w:rPr>
                <w:color w:val="000000"/>
                <w:sz w:val="21"/>
              </w:rPr>
            </w:pPr>
            <w:r>
              <w:rPr>
                <w:color w:val="000000"/>
                <w:sz w:val="21"/>
              </w:rPr>
              <w:t>/</w:t>
            </w:r>
          </w:p>
        </w:tc>
        <w:tc>
          <w:tcPr>
            <w:tcW w:w="239" w:type="pct"/>
            <w:vAlign w:val="center"/>
          </w:tcPr>
          <w:p w14:paraId="3FD9B367">
            <w:pPr>
              <w:spacing w:line="240" w:lineRule="atLeast"/>
              <w:jc w:val="center"/>
              <w:rPr>
                <w:color w:val="000000"/>
                <w:sz w:val="21"/>
              </w:rPr>
            </w:pPr>
            <w:r>
              <w:rPr>
                <w:color w:val="000000"/>
                <w:sz w:val="21"/>
              </w:rPr>
              <w:t>0.1</w:t>
            </w:r>
          </w:p>
        </w:tc>
        <w:tc>
          <w:tcPr>
            <w:tcW w:w="244" w:type="pct"/>
            <w:vAlign w:val="center"/>
          </w:tcPr>
          <w:p w14:paraId="20BDE1A8">
            <w:pPr>
              <w:spacing w:line="240" w:lineRule="atLeast"/>
              <w:jc w:val="center"/>
              <w:rPr>
                <w:color w:val="000000"/>
                <w:sz w:val="21"/>
              </w:rPr>
            </w:pPr>
            <w:r>
              <w:rPr>
                <w:color w:val="000000"/>
                <w:sz w:val="21"/>
              </w:rPr>
              <w:t>/</w:t>
            </w:r>
          </w:p>
        </w:tc>
      </w:tr>
      <w:tr w14:paraId="1B73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05" w:type="pct"/>
            <w:vMerge w:val="restart"/>
            <w:vAlign w:val="center"/>
          </w:tcPr>
          <w:p w14:paraId="164B389E">
            <w:pPr>
              <w:spacing w:line="240" w:lineRule="exact"/>
              <w:jc w:val="center"/>
              <w:rPr>
                <w:color w:val="000000"/>
                <w:sz w:val="21"/>
              </w:rPr>
            </w:pPr>
            <w:r>
              <w:rPr>
                <w:color w:val="000000"/>
                <w:sz w:val="21"/>
              </w:rPr>
              <w:t>FX1</w:t>
            </w:r>
          </w:p>
        </w:tc>
        <w:tc>
          <w:tcPr>
            <w:tcW w:w="355" w:type="pct"/>
            <w:vAlign w:val="center"/>
          </w:tcPr>
          <w:p w14:paraId="1F44DE47">
            <w:pPr>
              <w:spacing w:line="240" w:lineRule="exact"/>
              <w:jc w:val="center"/>
              <w:rPr>
                <w:color w:val="000000"/>
                <w:w w:val="90"/>
                <w:sz w:val="21"/>
              </w:rPr>
            </w:pPr>
            <w:r>
              <w:rPr>
                <w:color w:val="000000"/>
                <w:sz w:val="21"/>
              </w:rPr>
              <w:t>监测值</w:t>
            </w:r>
          </w:p>
        </w:tc>
        <w:tc>
          <w:tcPr>
            <w:tcW w:w="320" w:type="pct"/>
            <w:vAlign w:val="center"/>
          </w:tcPr>
          <w:p w14:paraId="51B63AC3">
            <w:pPr>
              <w:spacing w:line="240" w:lineRule="atLeast"/>
              <w:jc w:val="center"/>
              <w:rPr>
                <w:color w:val="000000"/>
                <w:sz w:val="21"/>
              </w:rPr>
            </w:pPr>
            <w:r>
              <w:rPr>
                <w:color w:val="000000"/>
                <w:sz w:val="21"/>
              </w:rPr>
              <w:t>0.0005L</w:t>
            </w:r>
          </w:p>
        </w:tc>
        <w:tc>
          <w:tcPr>
            <w:tcW w:w="343" w:type="pct"/>
            <w:vAlign w:val="center"/>
          </w:tcPr>
          <w:p w14:paraId="1A9CD7E4">
            <w:pPr>
              <w:spacing w:line="240" w:lineRule="atLeast"/>
              <w:jc w:val="center"/>
              <w:rPr>
                <w:color w:val="000000"/>
                <w:sz w:val="21"/>
              </w:rPr>
            </w:pPr>
            <w:r>
              <w:rPr>
                <w:color w:val="000000"/>
                <w:kern w:val="0"/>
                <w:sz w:val="21"/>
              </w:rPr>
              <w:t>7×10</w:t>
            </w:r>
            <w:r>
              <w:rPr>
                <w:color w:val="000000"/>
                <w:kern w:val="0"/>
                <w:sz w:val="21"/>
                <w:vertAlign w:val="superscript"/>
              </w:rPr>
              <w:t>-4</w:t>
            </w:r>
          </w:p>
        </w:tc>
        <w:tc>
          <w:tcPr>
            <w:tcW w:w="309" w:type="pct"/>
            <w:vAlign w:val="center"/>
          </w:tcPr>
          <w:p w14:paraId="677CBBCE">
            <w:pPr>
              <w:spacing w:line="240" w:lineRule="atLeast"/>
              <w:jc w:val="center"/>
              <w:rPr>
                <w:color w:val="000000"/>
                <w:sz w:val="21"/>
              </w:rPr>
            </w:pPr>
            <w:r>
              <w:rPr>
                <w:color w:val="000000"/>
                <w:kern w:val="0"/>
                <w:sz w:val="21"/>
              </w:rPr>
              <w:t>4×10</w:t>
            </w:r>
            <w:r>
              <w:rPr>
                <w:color w:val="000000"/>
                <w:kern w:val="0"/>
                <w:sz w:val="21"/>
                <w:vertAlign w:val="superscript"/>
              </w:rPr>
              <w:t>-5</w:t>
            </w:r>
            <w:r>
              <w:rPr>
                <w:color w:val="000000"/>
                <w:kern w:val="0"/>
                <w:sz w:val="21"/>
              </w:rPr>
              <w:t>L</w:t>
            </w:r>
          </w:p>
        </w:tc>
        <w:tc>
          <w:tcPr>
            <w:tcW w:w="284" w:type="pct"/>
            <w:vAlign w:val="center"/>
          </w:tcPr>
          <w:p w14:paraId="61DB2B5B">
            <w:pPr>
              <w:spacing w:line="240" w:lineRule="atLeast"/>
              <w:jc w:val="center"/>
              <w:rPr>
                <w:color w:val="000000"/>
                <w:sz w:val="21"/>
              </w:rPr>
            </w:pPr>
            <w:r>
              <w:rPr>
                <w:color w:val="000000"/>
                <w:kern w:val="0"/>
                <w:sz w:val="21"/>
              </w:rPr>
              <w:t>0.004L</w:t>
            </w:r>
          </w:p>
        </w:tc>
        <w:tc>
          <w:tcPr>
            <w:tcW w:w="458" w:type="pct"/>
            <w:vAlign w:val="center"/>
          </w:tcPr>
          <w:p w14:paraId="747AC898">
            <w:pPr>
              <w:spacing w:line="240" w:lineRule="atLeast"/>
              <w:jc w:val="center"/>
              <w:rPr>
                <w:color w:val="000000"/>
                <w:kern w:val="0"/>
                <w:sz w:val="21"/>
              </w:rPr>
            </w:pPr>
            <w:r>
              <w:rPr>
                <w:color w:val="000000"/>
                <w:kern w:val="0"/>
                <w:sz w:val="21"/>
              </w:rPr>
              <w:t>394</w:t>
            </w:r>
          </w:p>
        </w:tc>
        <w:tc>
          <w:tcPr>
            <w:tcW w:w="365" w:type="pct"/>
            <w:vAlign w:val="center"/>
          </w:tcPr>
          <w:p w14:paraId="5CA3C47F">
            <w:pPr>
              <w:spacing w:line="240" w:lineRule="atLeast"/>
              <w:jc w:val="center"/>
              <w:rPr>
                <w:color w:val="000000"/>
                <w:sz w:val="21"/>
              </w:rPr>
            </w:pPr>
            <w:r>
              <w:rPr>
                <w:color w:val="000000"/>
                <w:kern w:val="0"/>
                <w:sz w:val="21"/>
              </w:rPr>
              <w:t>2.6×10</w:t>
            </w:r>
            <w:r>
              <w:rPr>
                <w:color w:val="000000"/>
                <w:kern w:val="0"/>
                <w:sz w:val="21"/>
                <w:vertAlign w:val="superscript"/>
              </w:rPr>
              <w:t>-3</w:t>
            </w:r>
          </w:p>
        </w:tc>
        <w:tc>
          <w:tcPr>
            <w:tcW w:w="233" w:type="pct"/>
            <w:vAlign w:val="center"/>
          </w:tcPr>
          <w:p w14:paraId="348066BA">
            <w:pPr>
              <w:spacing w:line="240" w:lineRule="atLeast"/>
              <w:jc w:val="center"/>
              <w:rPr>
                <w:color w:val="000000"/>
                <w:sz w:val="21"/>
              </w:rPr>
            </w:pPr>
            <w:r>
              <w:rPr>
                <w:color w:val="000000"/>
                <w:sz w:val="21"/>
              </w:rPr>
              <w:t>0.96</w:t>
            </w:r>
          </w:p>
        </w:tc>
        <w:tc>
          <w:tcPr>
            <w:tcW w:w="365" w:type="pct"/>
            <w:vAlign w:val="center"/>
          </w:tcPr>
          <w:p w14:paraId="5D6D3F22">
            <w:pPr>
              <w:spacing w:line="240" w:lineRule="atLeast"/>
              <w:jc w:val="center"/>
              <w:rPr>
                <w:color w:val="000000"/>
                <w:sz w:val="21"/>
              </w:rPr>
            </w:pPr>
            <w:r>
              <w:rPr>
                <w:color w:val="000000"/>
                <w:kern w:val="0"/>
                <w:sz w:val="21"/>
              </w:rPr>
              <w:t>5×10</w:t>
            </w:r>
            <w:r>
              <w:rPr>
                <w:color w:val="000000"/>
                <w:kern w:val="0"/>
                <w:sz w:val="21"/>
                <w:vertAlign w:val="superscript"/>
              </w:rPr>
              <w:t>-5</w:t>
            </w:r>
          </w:p>
        </w:tc>
        <w:tc>
          <w:tcPr>
            <w:tcW w:w="458" w:type="pct"/>
            <w:vAlign w:val="center"/>
          </w:tcPr>
          <w:p w14:paraId="1FADFE63">
            <w:pPr>
              <w:spacing w:line="240" w:lineRule="atLeast"/>
              <w:jc w:val="center"/>
              <w:rPr>
                <w:color w:val="000000"/>
                <w:sz w:val="21"/>
              </w:rPr>
            </w:pPr>
            <w:r>
              <w:rPr>
                <w:color w:val="000000"/>
                <w:sz w:val="21"/>
              </w:rPr>
              <w:t>0.08</w:t>
            </w:r>
          </w:p>
        </w:tc>
        <w:tc>
          <w:tcPr>
            <w:tcW w:w="284" w:type="pct"/>
            <w:vAlign w:val="center"/>
          </w:tcPr>
          <w:p w14:paraId="644F7CC0">
            <w:pPr>
              <w:spacing w:line="240" w:lineRule="atLeast"/>
              <w:jc w:val="center"/>
              <w:rPr>
                <w:color w:val="000000"/>
                <w:sz w:val="21"/>
              </w:rPr>
            </w:pPr>
            <w:r>
              <w:rPr>
                <w:color w:val="000000"/>
                <w:sz w:val="21"/>
              </w:rPr>
              <w:t>0.001</w:t>
            </w:r>
          </w:p>
        </w:tc>
        <w:tc>
          <w:tcPr>
            <w:tcW w:w="284" w:type="pct"/>
            <w:vAlign w:val="center"/>
          </w:tcPr>
          <w:p w14:paraId="6A940F75">
            <w:pPr>
              <w:spacing w:line="240" w:lineRule="atLeast"/>
              <w:jc w:val="center"/>
              <w:rPr>
                <w:color w:val="000000"/>
                <w:sz w:val="21"/>
              </w:rPr>
            </w:pPr>
            <w:r>
              <w:rPr>
                <w:color w:val="000000"/>
                <w:sz w:val="21"/>
              </w:rPr>
              <w:t>0.006L</w:t>
            </w:r>
          </w:p>
        </w:tc>
        <w:tc>
          <w:tcPr>
            <w:tcW w:w="248" w:type="pct"/>
            <w:vAlign w:val="center"/>
          </w:tcPr>
          <w:p w14:paraId="7C55B2C0">
            <w:pPr>
              <w:spacing w:line="240" w:lineRule="atLeast"/>
              <w:jc w:val="center"/>
              <w:rPr>
                <w:color w:val="000000"/>
                <w:sz w:val="21"/>
              </w:rPr>
            </w:pPr>
            <w:r>
              <w:rPr>
                <w:color w:val="000000"/>
                <w:kern w:val="0"/>
                <w:sz w:val="21"/>
              </w:rPr>
              <w:t>0.183</w:t>
            </w:r>
          </w:p>
        </w:tc>
        <w:tc>
          <w:tcPr>
            <w:tcW w:w="688" w:type="dxa"/>
            <w:vAlign w:val="center"/>
          </w:tcPr>
          <w:p w14:paraId="31FE072E">
            <w:pPr>
              <w:spacing w:line="240" w:lineRule="atLeast"/>
              <w:jc w:val="center"/>
              <w:rPr>
                <w:color w:val="000000"/>
                <w:sz w:val="21"/>
              </w:rPr>
            </w:pPr>
            <w:r>
              <w:rPr>
                <w:color w:val="000000"/>
                <w:sz w:val="21"/>
              </w:rPr>
              <w:t>/</w:t>
            </w:r>
          </w:p>
        </w:tc>
        <w:tc>
          <w:tcPr>
            <w:tcW w:w="244" w:type="pct"/>
            <w:vAlign w:val="center"/>
          </w:tcPr>
          <w:p w14:paraId="3A625E5D">
            <w:pPr>
              <w:spacing w:line="240" w:lineRule="atLeast"/>
              <w:jc w:val="center"/>
              <w:rPr>
                <w:color w:val="000000"/>
                <w:sz w:val="21"/>
              </w:rPr>
            </w:pPr>
            <w:r>
              <w:rPr>
                <w:color w:val="000000"/>
                <w:sz w:val="21"/>
              </w:rPr>
              <w:t>/</w:t>
            </w:r>
          </w:p>
        </w:tc>
      </w:tr>
      <w:tr w14:paraId="385C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05" w:type="pct"/>
            <w:vMerge w:val="continue"/>
            <w:vAlign w:val="center"/>
          </w:tcPr>
          <w:p w14:paraId="7A8D33DE">
            <w:pPr>
              <w:spacing w:line="240" w:lineRule="atLeast"/>
              <w:jc w:val="center"/>
              <w:rPr>
                <w:color w:val="000000"/>
                <w:sz w:val="21"/>
              </w:rPr>
            </w:pPr>
          </w:p>
        </w:tc>
        <w:tc>
          <w:tcPr>
            <w:tcW w:w="355" w:type="pct"/>
            <w:vAlign w:val="center"/>
          </w:tcPr>
          <w:p w14:paraId="7E418A4F">
            <w:pPr>
              <w:autoSpaceDE w:val="0"/>
              <w:autoSpaceDN w:val="0"/>
              <w:spacing w:line="240" w:lineRule="exact"/>
              <w:jc w:val="center"/>
              <w:rPr>
                <w:color w:val="000000"/>
                <w:w w:val="90"/>
                <w:sz w:val="21"/>
              </w:rPr>
            </w:pPr>
            <w:r>
              <w:rPr>
                <w:color w:val="000000"/>
                <w:w w:val="90"/>
                <w:sz w:val="21"/>
              </w:rPr>
              <w:t>超标率%</w:t>
            </w:r>
          </w:p>
        </w:tc>
        <w:tc>
          <w:tcPr>
            <w:tcW w:w="320" w:type="pct"/>
            <w:vAlign w:val="center"/>
          </w:tcPr>
          <w:p w14:paraId="1EA77B71">
            <w:pPr>
              <w:spacing w:line="240" w:lineRule="atLeast"/>
              <w:jc w:val="center"/>
              <w:rPr>
                <w:color w:val="000000"/>
                <w:sz w:val="21"/>
              </w:rPr>
            </w:pPr>
            <w:r>
              <w:rPr>
                <w:color w:val="000000"/>
                <w:sz w:val="21"/>
              </w:rPr>
              <w:t>0</w:t>
            </w:r>
          </w:p>
        </w:tc>
        <w:tc>
          <w:tcPr>
            <w:tcW w:w="343" w:type="pct"/>
            <w:vAlign w:val="center"/>
          </w:tcPr>
          <w:p w14:paraId="66DE8152">
            <w:pPr>
              <w:spacing w:line="240" w:lineRule="atLeast"/>
              <w:jc w:val="center"/>
              <w:rPr>
                <w:color w:val="000000"/>
                <w:sz w:val="21"/>
              </w:rPr>
            </w:pPr>
            <w:r>
              <w:rPr>
                <w:color w:val="000000"/>
                <w:sz w:val="21"/>
              </w:rPr>
              <w:t>0</w:t>
            </w:r>
          </w:p>
        </w:tc>
        <w:tc>
          <w:tcPr>
            <w:tcW w:w="309" w:type="pct"/>
            <w:vAlign w:val="center"/>
          </w:tcPr>
          <w:p w14:paraId="1154C3F7">
            <w:pPr>
              <w:spacing w:line="240" w:lineRule="atLeast"/>
              <w:jc w:val="center"/>
              <w:rPr>
                <w:color w:val="000000"/>
                <w:sz w:val="21"/>
              </w:rPr>
            </w:pPr>
            <w:r>
              <w:rPr>
                <w:color w:val="000000"/>
                <w:sz w:val="21"/>
              </w:rPr>
              <w:t>0</w:t>
            </w:r>
          </w:p>
        </w:tc>
        <w:tc>
          <w:tcPr>
            <w:tcW w:w="284" w:type="pct"/>
            <w:vAlign w:val="center"/>
          </w:tcPr>
          <w:p w14:paraId="2FFB908A">
            <w:pPr>
              <w:spacing w:line="240" w:lineRule="atLeast"/>
              <w:jc w:val="center"/>
              <w:rPr>
                <w:color w:val="000000"/>
                <w:sz w:val="21"/>
              </w:rPr>
            </w:pPr>
            <w:r>
              <w:rPr>
                <w:color w:val="000000"/>
                <w:sz w:val="21"/>
              </w:rPr>
              <w:t>0</w:t>
            </w:r>
          </w:p>
        </w:tc>
        <w:tc>
          <w:tcPr>
            <w:tcW w:w="458" w:type="pct"/>
            <w:vAlign w:val="center"/>
          </w:tcPr>
          <w:p w14:paraId="395569AB">
            <w:pPr>
              <w:spacing w:line="240" w:lineRule="atLeast"/>
              <w:jc w:val="center"/>
              <w:rPr>
                <w:color w:val="000000"/>
                <w:kern w:val="0"/>
                <w:sz w:val="21"/>
              </w:rPr>
            </w:pPr>
            <w:r>
              <w:rPr>
                <w:color w:val="000000"/>
                <w:kern w:val="0"/>
                <w:sz w:val="21"/>
              </w:rPr>
              <w:t>0</w:t>
            </w:r>
          </w:p>
        </w:tc>
        <w:tc>
          <w:tcPr>
            <w:tcW w:w="365" w:type="pct"/>
            <w:vAlign w:val="center"/>
          </w:tcPr>
          <w:p w14:paraId="5E3C37D6">
            <w:pPr>
              <w:spacing w:line="240" w:lineRule="atLeast"/>
              <w:jc w:val="center"/>
              <w:rPr>
                <w:color w:val="000000"/>
                <w:sz w:val="21"/>
              </w:rPr>
            </w:pPr>
            <w:r>
              <w:rPr>
                <w:color w:val="000000"/>
                <w:sz w:val="21"/>
              </w:rPr>
              <w:t>0</w:t>
            </w:r>
          </w:p>
        </w:tc>
        <w:tc>
          <w:tcPr>
            <w:tcW w:w="233" w:type="pct"/>
            <w:vAlign w:val="center"/>
          </w:tcPr>
          <w:p w14:paraId="1A6A35C1">
            <w:pPr>
              <w:spacing w:line="240" w:lineRule="atLeast"/>
              <w:jc w:val="center"/>
              <w:rPr>
                <w:color w:val="000000"/>
                <w:sz w:val="21"/>
              </w:rPr>
            </w:pPr>
            <w:r>
              <w:rPr>
                <w:color w:val="000000"/>
                <w:sz w:val="21"/>
              </w:rPr>
              <w:t>0</w:t>
            </w:r>
          </w:p>
        </w:tc>
        <w:tc>
          <w:tcPr>
            <w:tcW w:w="365" w:type="pct"/>
            <w:vAlign w:val="center"/>
          </w:tcPr>
          <w:p w14:paraId="578DA3B3">
            <w:pPr>
              <w:spacing w:line="240" w:lineRule="atLeast"/>
              <w:jc w:val="center"/>
              <w:rPr>
                <w:color w:val="000000"/>
                <w:sz w:val="21"/>
              </w:rPr>
            </w:pPr>
            <w:r>
              <w:rPr>
                <w:color w:val="000000"/>
                <w:sz w:val="21"/>
              </w:rPr>
              <w:t>0</w:t>
            </w:r>
          </w:p>
        </w:tc>
        <w:tc>
          <w:tcPr>
            <w:tcW w:w="458" w:type="pct"/>
            <w:vAlign w:val="center"/>
          </w:tcPr>
          <w:p w14:paraId="73E41745">
            <w:pPr>
              <w:spacing w:line="240" w:lineRule="atLeast"/>
              <w:jc w:val="center"/>
              <w:rPr>
                <w:color w:val="000000"/>
                <w:sz w:val="21"/>
              </w:rPr>
            </w:pPr>
            <w:r>
              <w:rPr>
                <w:color w:val="000000"/>
                <w:sz w:val="21"/>
              </w:rPr>
              <w:t>0</w:t>
            </w:r>
          </w:p>
        </w:tc>
        <w:tc>
          <w:tcPr>
            <w:tcW w:w="284" w:type="pct"/>
            <w:vAlign w:val="center"/>
          </w:tcPr>
          <w:p w14:paraId="08DE7B29">
            <w:pPr>
              <w:spacing w:line="240" w:lineRule="atLeast"/>
              <w:jc w:val="center"/>
              <w:rPr>
                <w:color w:val="000000"/>
                <w:sz w:val="21"/>
              </w:rPr>
            </w:pPr>
            <w:r>
              <w:rPr>
                <w:color w:val="000000"/>
                <w:sz w:val="21"/>
              </w:rPr>
              <w:t>0</w:t>
            </w:r>
          </w:p>
        </w:tc>
        <w:tc>
          <w:tcPr>
            <w:tcW w:w="284" w:type="pct"/>
            <w:vAlign w:val="center"/>
          </w:tcPr>
          <w:p w14:paraId="4B95D497">
            <w:pPr>
              <w:spacing w:line="240" w:lineRule="atLeast"/>
              <w:jc w:val="center"/>
              <w:rPr>
                <w:color w:val="000000"/>
                <w:sz w:val="21"/>
              </w:rPr>
            </w:pPr>
            <w:r>
              <w:rPr>
                <w:color w:val="000000"/>
                <w:sz w:val="21"/>
              </w:rPr>
              <w:t>0</w:t>
            </w:r>
          </w:p>
        </w:tc>
        <w:tc>
          <w:tcPr>
            <w:tcW w:w="248" w:type="pct"/>
            <w:vAlign w:val="center"/>
          </w:tcPr>
          <w:p w14:paraId="75DB4E82">
            <w:pPr>
              <w:spacing w:line="240" w:lineRule="atLeast"/>
              <w:jc w:val="center"/>
              <w:rPr>
                <w:color w:val="000000"/>
                <w:sz w:val="21"/>
              </w:rPr>
            </w:pPr>
            <w:r>
              <w:rPr>
                <w:color w:val="000000"/>
                <w:sz w:val="21"/>
              </w:rPr>
              <w:t>0</w:t>
            </w:r>
          </w:p>
        </w:tc>
        <w:tc>
          <w:tcPr>
            <w:tcW w:w="688" w:type="dxa"/>
            <w:vAlign w:val="center"/>
          </w:tcPr>
          <w:p w14:paraId="10085FFA">
            <w:pPr>
              <w:spacing w:line="240" w:lineRule="atLeast"/>
              <w:jc w:val="center"/>
              <w:rPr>
                <w:color w:val="000000"/>
                <w:sz w:val="21"/>
              </w:rPr>
            </w:pPr>
            <w:r>
              <w:rPr>
                <w:color w:val="000000"/>
                <w:sz w:val="21"/>
              </w:rPr>
              <w:t>/</w:t>
            </w:r>
          </w:p>
        </w:tc>
        <w:tc>
          <w:tcPr>
            <w:tcW w:w="244" w:type="pct"/>
            <w:vAlign w:val="center"/>
          </w:tcPr>
          <w:p w14:paraId="7D0364BE">
            <w:pPr>
              <w:spacing w:line="240" w:lineRule="atLeast"/>
              <w:jc w:val="center"/>
              <w:rPr>
                <w:color w:val="000000"/>
                <w:sz w:val="21"/>
              </w:rPr>
            </w:pPr>
            <w:r>
              <w:rPr>
                <w:color w:val="000000"/>
                <w:sz w:val="21"/>
              </w:rPr>
              <w:t>/</w:t>
            </w:r>
          </w:p>
        </w:tc>
      </w:tr>
      <w:tr w14:paraId="16AD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05" w:type="pct"/>
            <w:vMerge w:val="continue"/>
            <w:vAlign w:val="center"/>
          </w:tcPr>
          <w:p w14:paraId="4ECCEF1A">
            <w:pPr>
              <w:spacing w:line="240" w:lineRule="atLeast"/>
              <w:jc w:val="center"/>
              <w:rPr>
                <w:color w:val="000000"/>
                <w:sz w:val="21"/>
              </w:rPr>
            </w:pPr>
          </w:p>
        </w:tc>
        <w:tc>
          <w:tcPr>
            <w:tcW w:w="355" w:type="pct"/>
            <w:vAlign w:val="center"/>
          </w:tcPr>
          <w:p w14:paraId="6DDF1605">
            <w:pPr>
              <w:autoSpaceDE w:val="0"/>
              <w:autoSpaceDN w:val="0"/>
              <w:spacing w:line="240" w:lineRule="exact"/>
              <w:jc w:val="center"/>
              <w:rPr>
                <w:color w:val="000000"/>
                <w:w w:val="90"/>
                <w:sz w:val="21"/>
              </w:rPr>
            </w:pPr>
            <w:r>
              <w:rPr>
                <w:color w:val="000000"/>
                <w:w w:val="90"/>
                <w:sz w:val="21"/>
              </w:rPr>
              <w:t>Ii值</w:t>
            </w:r>
          </w:p>
        </w:tc>
        <w:tc>
          <w:tcPr>
            <w:tcW w:w="320" w:type="pct"/>
            <w:vAlign w:val="center"/>
          </w:tcPr>
          <w:p w14:paraId="3512C7BE">
            <w:pPr>
              <w:spacing w:line="240" w:lineRule="exact"/>
              <w:jc w:val="center"/>
              <w:rPr>
                <w:color w:val="000000"/>
                <w:sz w:val="21"/>
              </w:rPr>
            </w:pPr>
            <w:r>
              <w:rPr>
                <w:color w:val="000000"/>
                <w:sz w:val="21"/>
              </w:rPr>
              <w:t>/</w:t>
            </w:r>
          </w:p>
        </w:tc>
        <w:tc>
          <w:tcPr>
            <w:tcW w:w="343" w:type="pct"/>
            <w:vAlign w:val="center"/>
          </w:tcPr>
          <w:p w14:paraId="16D547BF">
            <w:pPr>
              <w:spacing w:line="240" w:lineRule="exact"/>
              <w:jc w:val="center"/>
              <w:rPr>
                <w:color w:val="000000"/>
                <w:sz w:val="21"/>
              </w:rPr>
            </w:pPr>
            <w:r>
              <w:rPr>
                <w:color w:val="000000"/>
                <w:sz w:val="21"/>
              </w:rPr>
              <w:t>0.00007</w:t>
            </w:r>
          </w:p>
        </w:tc>
        <w:tc>
          <w:tcPr>
            <w:tcW w:w="309" w:type="pct"/>
            <w:vAlign w:val="center"/>
          </w:tcPr>
          <w:p w14:paraId="3C8D9853">
            <w:pPr>
              <w:spacing w:line="240" w:lineRule="exact"/>
              <w:jc w:val="center"/>
              <w:rPr>
                <w:color w:val="000000"/>
                <w:sz w:val="21"/>
              </w:rPr>
            </w:pPr>
            <w:r>
              <w:rPr>
                <w:color w:val="000000"/>
                <w:sz w:val="21"/>
              </w:rPr>
              <w:t>/</w:t>
            </w:r>
          </w:p>
        </w:tc>
        <w:tc>
          <w:tcPr>
            <w:tcW w:w="284" w:type="pct"/>
            <w:vAlign w:val="center"/>
          </w:tcPr>
          <w:p w14:paraId="759BB84A">
            <w:pPr>
              <w:spacing w:line="240" w:lineRule="exact"/>
              <w:jc w:val="center"/>
              <w:rPr>
                <w:color w:val="000000"/>
                <w:sz w:val="21"/>
              </w:rPr>
            </w:pPr>
            <w:r>
              <w:rPr>
                <w:color w:val="000000"/>
                <w:sz w:val="21"/>
              </w:rPr>
              <w:t>/</w:t>
            </w:r>
          </w:p>
        </w:tc>
        <w:tc>
          <w:tcPr>
            <w:tcW w:w="458" w:type="pct"/>
            <w:vAlign w:val="center"/>
          </w:tcPr>
          <w:p w14:paraId="64D8D268">
            <w:pPr>
              <w:spacing w:line="240" w:lineRule="exact"/>
              <w:jc w:val="center"/>
              <w:rPr>
                <w:color w:val="000000"/>
                <w:sz w:val="21"/>
              </w:rPr>
            </w:pPr>
            <w:r>
              <w:rPr>
                <w:color w:val="000000"/>
                <w:sz w:val="21"/>
              </w:rPr>
              <w:t>0.876</w:t>
            </w:r>
          </w:p>
        </w:tc>
        <w:tc>
          <w:tcPr>
            <w:tcW w:w="365" w:type="pct"/>
            <w:vAlign w:val="center"/>
          </w:tcPr>
          <w:p w14:paraId="7D991572">
            <w:pPr>
              <w:spacing w:line="240" w:lineRule="exact"/>
              <w:jc w:val="center"/>
              <w:rPr>
                <w:color w:val="000000"/>
                <w:sz w:val="21"/>
              </w:rPr>
            </w:pPr>
            <w:r>
              <w:rPr>
                <w:color w:val="000000"/>
                <w:sz w:val="21"/>
              </w:rPr>
              <w:t>0.26</w:t>
            </w:r>
          </w:p>
        </w:tc>
        <w:tc>
          <w:tcPr>
            <w:tcW w:w="233" w:type="pct"/>
            <w:vAlign w:val="center"/>
          </w:tcPr>
          <w:p w14:paraId="07C55A27">
            <w:pPr>
              <w:spacing w:line="240" w:lineRule="exact"/>
              <w:jc w:val="center"/>
              <w:rPr>
                <w:color w:val="000000"/>
                <w:sz w:val="21"/>
              </w:rPr>
            </w:pPr>
            <w:r>
              <w:rPr>
                <w:color w:val="000000"/>
                <w:sz w:val="21"/>
              </w:rPr>
              <w:t>0.96</w:t>
            </w:r>
          </w:p>
        </w:tc>
        <w:tc>
          <w:tcPr>
            <w:tcW w:w="365" w:type="pct"/>
            <w:vAlign w:val="center"/>
          </w:tcPr>
          <w:p w14:paraId="61B51E43">
            <w:pPr>
              <w:spacing w:line="240" w:lineRule="exact"/>
              <w:jc w:val="center"/>
              <w:rPr>
                <w:color w:val="000000"/>
                <w:sz w:val="21"/>
              </w:rPr>
            </w:pPr>
            <w:r>
              <w:rPr>
                <w:color w:val="000000"/>
                <w:sz w:val="21"/>
              </w:rPr>
              <w:t>0.01</w:t>
            </w:r>
          </w:p>
        </w:tc>
        <w:tc>
          <w:tcPr>
            <w:tcW w:w="458" w:type="pct"/>
            <w:vAlign w:val="center"/>
          </w:tcPr>
          <w:p w14:paraId="7DFA506C">
            <w:pPr>
              <w:spacing w:line="240" w:lineRule="exact"/>
              <w:jc w:val="center"/>
              <w:rPr>
                <w:color w:val="000000"/>
                <w:sz w:val="21"/>
              </w:rPr>
            </w:pPr>
            <w:r>
              <w:rPr>
                <w:color w:val="000000"/>
                <w:sz w:val="21"/>
              </w:rPr>
              <w:t>0.267</w:t>
            </w:r>
          </w:p>
        </w:tc>
        <w:tc>
          <w:tcPr>
            <w:tcW w:w="284" w:type="pct"/>
            <w:vAlign w:val="center"/>
          </w:tcPr>
          <w:p w14:paraId="38810E50">
            <w:pPr>
              <w:spacing w:line="240" w:lineRule="exact"/>
              <w:jc w:val="center"/>
              <w:rPr>
                <w:color w:val="000000"/>
                <w:sz w:val="21"/>
              </w:rPr>
            </w:pPr>
            <w:r>
              <w:rPr>
                <w:color w:val="000000"/>
                <w:sz w:val="21"/>
              </w:rPr>
              <w:t>0.01</w:t>
            </w:r>
          </w:p>
        </w:tc>
        <w:tc>
          <w:tcPr>
            <w:tcW w:w="284" w:type="pct"/>
            <w:vAlign w:val="center"/>
          </w:tcPr>
          <w:p w14:paraId="08572477">
            <w:pPr>
              <w:spacing w:line="240" w:lineRule="exact"/>
              <w:jc w:val="center"/>
              <w:rPr>
                <w:color w:val="000000"/>
                <w:sz w:val="21"/>
              </w:rPr>
            </w:pPr>
            <w:r>
              <w:rPr>
                <w:color w:val="000000"/>
                <w:sz w:val="21"/>
              </w:rPr>
              <w:t>/</w:t>
            </w:r>
          </w:p>
        </w:tc>
        <w:tc>
          <w:tcPr>
            <w:tcW w:w="248" w:type="pct"/>
            <w:vAlign w:val="center"/>
          </w:tcPr>
          <w:p w14:paraId="18E25531">
            <w:pPr>
              <w:spacing w:line="240" w:lineRule="exact"/>
              <w:jc w:val="center"/>
              <w:rPr>
                <w:color w:val="000000"/>
                <w:sz w:val="21"/>
              </w:rPr>
            </w:pPr>
            <w:r>
              <w:rPr>
                <w:color w:val="000000"/>
                <w:sz w:val="21"/>
              </w:rPr>
              <w:t>0.183</w:t>
            </w:r>
          </w:p>
        </w:tc>
        <w:tc>
          <w:tcPr>
            <w:tcW w:w="688" w:type="dxa"/>
            <w:vAlign w:val="center"/>
          </w:tcPr>
          <w:p w14:paraId="0784DE50">
            <w:pPr>
              <w:spacing w:line="240" w:lineRule="atLeast"/>
              <w:jc w:val="center"/>
              <w:rPr>
                <w:color w:val="000000"/>
                <w:sz w:val="21"/>
              </w:rPr>
            </w:pPr>
            <w:r>
              <w:rPr>
                <w:color w:val="000000"/>
                <w:sz w:val="21"/>
              </w:rPr>
              <w:t>/</w:t>
            </w:r>
          </w:p>
        </w:tc>
        <w:tc>
          <w:tcPr>
            <w:tcW w:w="244" w:type="pct"/>
            <w:vAlign w:val="center"/>
          </w:tcPr>
          <w:p w14:paraId="6049F947">
            <w:pPr>
              <w:spacing w:line="240" w:lineRule="atLeast"/>
              <w:jc w:val="center"/>
              <w:rPr>
                <w:color w:val="000000"/>
                <w:sz w:val="21"/>
              </w:rPr>
            </w:pPr>
            <w:r>
              <w:rPr>
                <w:color w:val="000000"/>
                <w:sz w:val="21"/>
              </w:rPr>
              <w:t>/</w:t>
            </w:r>
          </w:p>
        </w:tc>
      </w:tr>
      <w:tr w14:paraId="025E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05" w:type="pct"/>
            <w:vMerge w:val="restart"/>
            <w:vAlign w:val="center"/>
          </w:tcPr>
          <w:p w14:paraId="47606B1C">
            <w:pPr>
              <w:spacing w:line="240" w:lineRule="exact"/>
              <w:jc w:val="center"/>
              <w:rPr>
                <w:color w:val="000000"/>
                <w:sz w:val="21"/>
              </w:rPr>
            </w:pPr>
            <w:r>
              <w:rPr>
                <w:color w:val="000000"/>
                <w:sz w:val="21"/>
              </w:rPr>
              <w:t>FX2</w:t>
            </w:r>
          </w:p>
        </w:tc>
        <w:tc>
          <w:tcPr>
            <w:tcW w:w="355" w:type="pct"/>
            <w:vAlign w:val="center"/>
          </w:tcPr>
          <w:p w14:paraId="519B7066">
            <w:pPr>
              <w:spacing w:line="240" w:lineRule="exact"/>
              <w:jc w:val="center"/>
              <w:rPr>
                <w:color w:val="000000"/>
                <w:w w:val="90"/>
                <w:sz w:val="21"/>
              </w:rPr>
            </w:pPr>
            <w:r>
              <w:rPr>
                <w:color w:val="000000"/>
                <w:sz w:val="21"/>
              </w:rPr>
              <w:t>监测值</w:t>
            </w:r>
          </w:p>
        </w:tc>
        <w:tc>
          <w:tcPr>
            <w:tcW w:w="320" w:type="pct"/>
            <w:vAlign w:val="center"/>
          </w:tcPr>
          <w:p w14:paraId="1986EAA2">
            <w:pPr>
              <w:spacing w:line="240" w:lineRule="atLeast"/>
              <w:jc w:val="center"/>
              <w:rPr>
                <w:color w:val="000000"/>
                <w:sz w:val="21"/>
              </w:rPr>
            </w:pPr>
            <w:r>
              <w:rPr>
                <w:color w:val="000000"/>
                <w:sz w:val="21"/>
              </w:rPr>
              <w:t>0.0005L</w:t>
            </w:r>
          </w:p>
        </w:tc>
        <w:tc>
          <w:tcPr>
            <w:tcW w:w="343" w:type="pct"/>
            <w:vAlign w:val="center"/>
          </w:tcPr>
          <w:p w14:paraId="6583B0F0">
            <w:pPr>
              <w:spacing w:line="240" w:lineRule="atLeast"/>
              <w:jc w:val="center"/>
              <w:rPr>
                <w:color w:val="000000"/>
                <w:sz w:val="21"/>
              </w:rPr>
            </w:pPr>
            <w:r>
              <w:rPr>
                <w:color w:val="000000"/>
                <w:kern w:val="0"/>
                <w:sz w:val="21"/>
              </w:rPr>
              <w:t>1.1×10</w:t>
            </w:r>
            <w:r>
              <w:rPr>
                <w:color w:val="000000"/>
                <w:kern w:val="0"/>
                <w:sz w:val="21"/>
                <w:vertAlign w:val="superscript"/>
              </w:rPr>
              <w:t>-3</w:t>
            </w:r>
          </w:p>
        </w:tc>
        <w:tc>
          <w:tcPr>
            <w:tcW w:w="309" w:type="pct"/>
            <w:vAlign w:val="center"/>
          </w:tcPr>
          <w:p w14:paraId="0A004CD3">
            <w:pPr>
              <w:spacing w:line="240" w:lineRule="atLeast"/>
              <w:jc w:val="center"/>
              <w:rPr>
                <w:color w:val="000000"/>
                <w:sz w:val="21"/>
              </w:rPr>
            </w:pPr>
            <w:r>
              <w:rPr>
                <w:color w:val="000000"/>
                <w:kern w:val="0"/>
                <w:sz w:val="21"/>
              </w:rPr>
              <w:t>4×10</w:t>
            </w:r>
            <w:r>
              <w:rPr>
                <w:color w:val="000000"/>
                <w:kern w:val="0"/>
                <w:sz w:val="21"/>
                <w:vertAlign w:val="superscript"/>
              </w:rPr>
              <w:t>-5</w:t>
            </w:r>
            <w:r>
              <w:rPr>
                <w:color w:val="000000"/>
                <w:kern w:val="0"/>
                <w:sz w:val="21"/>
              </w:rPr>
              <w:t>L</w:t>
            </w:r>
          </w:p>
        </w:tc>
        <w:tc>
          <w:tcPr>
            <w:tcW w:w="284" w:type="pct"/>
            <w:vAlign w:val="center"/>
          </w:tcPr>
          <w:p w14:paraId="72EE1AE1">
            <w:pPr>
              <w:spacing w:line="240" w:lineRule="atLeast"/>
              <w:jc w:val="center"/>
              <w:rPr>
                <w:color w:val="000000"/>
                <w:sz w:val="21"/>
              </w:rPr>
            </w:pPr>
            <w:r>
              <w:rPr>
                <w:color w:val="000000"/>
                <w:kern w:val="0"/>
                <w:sz w:val="21"/>
              </w:rPr>
              <w:t>0.004L</w:t>
            </w:r>
          </w:p>
        </w:tc>
        <w:tc>
          <w:tcPr>
            <w:tcW w:w="458" w:type="pct"/>
            <w:vAlign w:val="center"/>
          </w:tcPr>
          <w:p w14:paraId="27E8E245">
            <w:pPr>
              <w:spacing w:line="240" w:lineRule="atLeast"/>
              <w:jc w:val="center"/>
              <w:rPr>
                <w:color w:val="000000"/>
                <w:kern w:val="0"/>
                <w:sz w:val="21"/>
              </w:rPr>
            </w:pPr>
            <w:r>
              <w:rPr>
                <w:color w:val="000000"/>
                <w:kern w:val="0"/>
                <w:sz w:val="21"/>
              </w:rPr>
              <w:t>300</w:t>
            </w:r>
          </w:p>
        </w:tc>
        <w:tc>
          <w:tcPr>
            <w:tcW w:w="365" w:type="pct"/>
            <w:vAlign w:val="center"/>
          </w:tcPr>
          <w:p w14:paraId="3BD0497C">
            <w:pPr>
              <w:spacing w:line="240" w:lineRule="atLeast"/>
              <w:jc w:val="center"/>
              <w:rPr>
                <w:color w:val="000000"/>
                <w:sz w:val="21"/>
              </w:rPr>
            </w:pPr>
            <w:r>
              <w:rPr>
                <w:color w:val="000000"/>
                <w:kern w:val="0"/>
                <w:sz w:val="21"/>
              </w:rPr>
              <w:t>5.3×10</w:t>
            </w:r>
            <w:r>
              <w:rPr>
                <w:color w:val="000000"/>
                <w:kern w:val="0"/>
                <w:sz w:val="21"/>
                <w:vertAlign w:val="superscript"/>
              </w:rPr>
              <w:t>-4</w:t>
            </w:r>
          </w:p>
        </w:tc>
        <w:tc>
          <w:tcPr>
            <w:tcW w:w="233" w:type="pct"/>
            <w:vAlign w:val="center"/>
          </w:tcPr>
          <w:p w14:paraId="13E3424B">
            <w:pPr>
              <w:spacing w:line="240" w:lineRule="atLeast"/>
              <w:jc w:val="center"/>
              <w:rPr>
                <w:color w:val="000000"/>
                <w:sz w:val="21"/>
              </w:rPr>
            </w:pPr>
            <w:r>
              <w:rPr>
                <w:color w:val="000000"/>
                <w:sz w:val="21"/>
              </w:rPr>
              <w:t>0.36</w:t>
            </w:r>
          </w:p>
        </w:tc>
        <w:tc>
          <w:tcPr>
            <w:tcW w:w="365" w:type="pct"/>
            <w:vAlign w:val="center"/>
          </w:tcPr>
          <w:p w14:paraId="0BE2FEA0">
            <w:pPr>
              <w:spacing w:line="240" w:lineRule="atLeast"/>
              <w:jc w:val="center"/>
              <w:rPr>
                <w:color w:val="000000"/>
                <w:sz w:val="21"/>
              </w:rPr>
            </w:pPr>
            <w:r>
              <w:rPr>
                <w:color w:val="000000"/>
                <w:kern w:val="0"/>
                <w:sz w:val="21"/>
              </w:rPr>
              <w:t>6×10</w:t>
            </w:r>
            <w:r>
              <w:rPr>
                <w:color w:val="000000"/>
                <w:kern w:val="0"/>
                <w:sz w:val="21"/>
                <w:vertAlign w:val="superscript"/>
              </w:rPr>
              <w:t>-5</w:t>
            </w:r>
          </w:p>
        </w:tc>
        <w:tc>
          <w:tcPr>
            <w:tcW w:w="458" w:type="pct"/>
            <w:vAlign w:val="center"/>
          </w:tcPr>
          <w:p w14:paraId="7195A800">
            <w:pPr>
              <w:spacing w:line="240" w:lineRule="atLeast"/>
              <w:jc w:val="center"/>
              <w:rPr>
                <w:color w:val="000000"/>
                <w:sz w:val="21"/>
              </w:rPr>
            </w:pPr>
            <w:r>
              <w:rPr>
                <w:color w:val="000000"/>
                <w:sz w:val="21"/>
              </w:rPr>
              <w:t>0.02L</w:t>
            </w:r>
          </w:p>
        </w:tc>
        <w:tc>
          <w:tcPr>
            <w:tcW w:w="284" w:type="pct"/>
            <w:vAlign w:val="center"/>
          </w:tcPr>
          <w:p w14:paraId="20A20D9F">
            <w:pPr>
              <w:spacing w:line="240" w:lineRule="atLeast"/>
              <w:jc w:val="center"/>
              <w:rPr>
                <w:color w:val="000000"/>
                <w:sz w:val="21"/>
              </w:rPr>
            </w:pPr>
            <w:r>
              <w:rPr>
                <w:color w:val="000000"/>
                <w:sz w:val="21"/>
              </w:rPr>
              <w:t>0.004L</w:t>
            </w:r>
          </w:p>
        </w:tc>
        <w:tc>
          <w:tcPr>
            <w:tcW w:w="284" w:type="pct"/>
            <w:vAlign w:val="center"/>
          </w:tcPr>
          <w:p w14:paraId="72653DAA">
            <w:pPr>
              <w:spacing w:line="240" w:lineRule="atLeast"/>
              <w:jc w:val="center"/>
              <w:rPr>
                <w:color w:val="000000"/>
                <w:sz w:val="21"/>
              </w:rPr>
            </w:pPr>
            <w:r>
              <w:rPr>
                <w:color w:val="000000"/>
                <w:sz w:val="21"/>
              </w:rPr>
              <w:t>0.006L</w:t>
            </w:r>
          </w:p>
        </w:tc>
        <w:tc>
          <w:tcPr>
            <w:tcW w:w="248" w:type="pct"/>
            <w:vAlign w:val="center"/>
          </w:tcPr>
          <w:p w14:paraId="639CCC8B">
            <w:pPr>
              <w:spacing w:line="240" w:lineRule="atLeast"/>
              <w:jc w:val="center"/>
              <w:rPr>
                <w:color w:val="000000"/>
                <w:sz w:val="21"/>
              </w:rPr>
            </w:pPr>
            <w:r>
              <w:rPr>
                <w:color w:val="000000"/>
                <w:kern w:val="0"/>
                <w:sz w:val="21"/>
              </w:rPr>
              <w:t>0.268</w:t>
            </w:r>
          </w:p>
        </w:tc>
        <w:tc>
          <w:tcPr>
            <w:tcW w:w="688" w:type="dxa"/>
            <w:vAlign w:val="center"/>
          </w:tcPr>
          <w:p w14:paraId="57687EEA">
            <w:pPr>
              <w:spacing w:line="240" w:lineRule="atLeast"/>
              <w:jc w:val="center"/>
              <w:rPr>
                <w:color w:val="000000"/>
                <w:sz w:val="21"/>
              </w:rPr>
            </w:pPr>
            <w:r>
              <w:rPr>
                <w:color w:val="000000"/>
                <w:sz w:val="21"/>
              </w:rPr>
              <w:t>/</w:t>
            </w:r>
          </w:p>
        </w:tc>
        <w:tc>
          <w:tcPr>
            <w:tcW w:w="244" w:type="pct"/>
            <w:vAlign w:val="center"/>
          </w:tcPr>
          <w:p w14:paraId="4380330C">
            <w:pPr>
              <w:spacing w:line="240" w:lineRule="atLeast"/>
              <w:jc w:val="center"/>
              <w:rPr>
                <w:color w:val="000000"/>
                <w:sz w:val="21"/>
              </w:rPr>
            </w:pPr>
            <w:r>
              <w:rPr>
                <w:color w:val="000000"/>
                <w:sz w:val="21"/>
              </w:rPr>
              <w:t>/</w:t>
            </w:r>
          </w:p>
        </w:tc>
      </w:tr>
      <w:tr w14:paraId="0A1F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205" w:type="pct"/>
            <w:vMerge w:val="continue"/>
            <w:vAlign w:val="center"/>
          </w:tcPr>
          <w:p w14:paraId="13ECC1D7">
            <w:pPr>
              <w:spacing w:line="240" w:lineRule="atLeast"/>
              <w:jc w:val="center"/>
              <w:rPr>
                <w:color w:val="000000"/>
                <w:sz w:val="21"/>
              </w:rPr>
            </w:pPr>
          </w:p>
        </w:tc>
        <w:tc>
          <w:tcPr>
            <w:tcW w:w="355" w:type="pct"/>
            <w:vAlign w:val="center"/>
          </w:tcPr>
          <w:p w14:paraId="65EA2721">
            <w:pPr>
              <w:autoSpaceDE w:val="0"/>
              <w:autoSpaceDN w:val="0"/>
              <w:spacing w:line="240" w:lineRule="exact"/>
              <w:jc w:val="center"/>
              <w:rPr>
                <w:color w:val="000000"/>
                <w:w w:val="90"/>
                <w:sz w:val="21"/>
              </w:rPr>
            </w:pPr>
            <w:r>
              <w:rPr>
                <w:color w:val="000000"/>
                <w:w w:val="90"/>
                <w:sz w:val="21"/>
              </w:rPr>
              <w:t>超标率%</w:t>
            </w:r>
          </w:p>
        </w:tc>
        <w:tc>
          <w:tcPr>
            <w:tcW w:w="320" w:type="pct"/>
            <w:vAlign w:val="center"/>
          </w:tcPr>
          <w:p w14:paraId="6FDB62F0">
            <w:pPr>
              <w:spacing w:line="240" w:lineRule="atLeast"/>
              <w:jc w:val="center"/>
              <w:rPr>
                <w:color w:val="000000"/>
                <w:sz w:val="21"/>
              </w:rPr>
            </w:pPr>
            <w:r>
              <w:rPr>
                <w:color w:val="000000"/>
                <w:sz w:val="21"/>
              </w:rPr>
              <w:t>0</w:t>
            </w:r>
          </w:p>
        </w:tc>
        <w:tc>
          <w:tcPr>
            <w:tcW w:w="343" w:type="pct"/>
            <w:vAlign w:val="center"/>
          </w:tcPr>
          <w:p w14:paraId="54637095">
            <w:pPr>
              <w:spacing w:line="240" w:lineRule="atLeast"/>
              <w:jc w:val="center"/>
              <w:rPr>
                <w:color w:val="000000"/>
                <w:sz w:val="21"/>
              </w:rPr>
            </w:pPr>
            <w:r>
              <w:rPr>
                <w:color w:val="000000"/>
                <w:sz w:val="21"/>
              </w:rPr>
              <w:t>0</w:t>
            </w:r>
          </w:p>
        </w:tc>
        <w:tc>
          <w:tcPr>
            <w:tcW w:w="309" w:type="pct"/>
            <w:vAlign w:val="center"/>
          </w:tcPr>
          <w:p w14:paraId="13E9A462">
            <w:pPr>
              <w:spacing w:line="240" w:lineRule="atLeast"/>
              <w:jc w:val="center"/>
              <w:rPr>
                <w:color w:val="000000"/>
                <w:sz w:val="21"/>
              </w:rPr>
            </w:pPr>
            <w:r>
              <w:rPr>
                <w:color w:val="000000"/>
                <w:sz w:val="21"/>
              </w:rPr>
              <w:t>0</w:t>
            </w:r>
          </w:p>
        </w:tc>
        <w:tc>
          <w:tcPr>
            <w:tcW w:w="284" w:type="pct"/>
            <w:vAlign w:val="center"/>
          </w:tcPr>
          <w:p w14:paraId="66B93A3F">
            <w:pPr>
              <w:spacing w:line="240" w:lineRule="atLeast"/>
              <w:jc w:val="center"/>
              <w:rPr>
                <w:color w:val="000000"/>
                <w:sz w:val="21"/>
              </w:rPr>
            </w:pPr>
            <w:r>
              <w:rPr>
                <w:color w:val="000000"/>
                <w:sz w:val="21"/>
              </w:rPr>
              <w:t>0</w:t>
            </w:r>
          </w:p>
        </w:tc>
        <w:tc>
          <w:tcPr>
            <w:tcW w:w="458" w:type="pct"/>
            <w:vAlign w:val="center"/>
          </w:tcPr>
          <w:p w14:paraId="1CC6EBC5">
            <w:pPr>
              <w:spacing w:line="240" w:lineRule="atLeast"/>
              <w:jc w:val="center"/>
              <w:rPr>
                <w:color w:val="000000"/>
                <w:kern w:val="0"/>
                <w:sz w:val="21"/>
              </w:rPr>
            </w:pPr>
            <w:r>
              <w:rPr>
                <w:color w:val="000000"/>
                <w:kern w:val="0"/>
                <w:sz w:val="21"/>
              </w:rPr>
              <w:t>0</w:t>
            </w:r>
          </w:p>
        </w:tc>
        <w:tc>
          <w:tcPr>
            <w:tcW w:w="365" w:type="pct"/>
            <w:vAlign w:val="center"/>
          </w:tcPr>
          <w:p w14:paraId="0F9F83FD">
            <w:pPr>
              <w:spacing w:line="240" w:lineRule="atLeast"/>
              <w:jc w:val="center"/>
              <w:rPr>
                <w:color w:val="000000"/>
                <w:sz w:val="21"/>
              </w:rPr>
            </w:pPr>
            <w:r>
              <w:rPr>
                <w:color w:val="000000"/>
                <w:sz w:val="21"/>
              </w:rPr>
              <w:t>0</w:t>
            </w:r>
          </w:p>
        </w:tc>
        <w:tc>
          <w:tcPr>
            <w:tcW w:w="233" w:type="pct"/>
            <w:vAlign w:val="center"/>
          </w:tcPr>
          <w:p w14:paraId="0DEC180F">
            <w:pPr>
              <w:spacing w:line="240" w:lineRule="atLeast"/>
              <w:jc w:val="center"/>
              <w:rPr>
                <w:color w:val="000000"/>
                <w:sz w:val="21"/>
              </w:rPr>
            </w:pPr>
            <w:r>
              <w:rPr>
                <w:color w:val="000000"/>
                <w:sz w:val="21"/>
              </w:rPr>
              <w:t>0</w:t>
            </w:r>
          </w:p>
        </w:tc>
        <w:tc>
          <w:tcPr>
            <w:tcW w:w="365" w:type="pct"/>
            <w:vAlign w:val="center"/>
          </w:tcPr>
          <w:p w14:paraId="145A06ED">
            <w:pPr>
              <w:spacing w:line="240" w:lineRule="atLeast"/>
              <w:jc w:val="center"/>
              <w:rPr>
                <w:color w:val="000000"/>
                <w:sz w:val="21"/>
              </w:rPr>
            </w:pPr>
            <w:r>
              <w:rPr>
                <w:color w:val="000000"/>
                <w:sz w:val="21"/>
              </w:rPr>
              <w:t>0</w:t>
            </w:r>
          </w:p>
        </w:tc>
        <w:tc>
          <w:tcPr>
            <w:tcW w:w="458" w:type="pct"/>
            <w:vAlign w:val="center"/>
          </w:tcPr>
          <w:p w14:paraId="0B7849E5">
            <w:pPr>
              <w:spacing w:line="240" w:lineRule="atLeast"/>
              <w:jc w:val="center"/>
              <w:rPr>
                <w:color w:val="000000"/>
                <w:sz w:val="21"/>
              </w:rPr>
            </w:pPr>
            <w:r>
              <w:rPr>
                <w:color w:val="000000"/>
                <w:sz w:val="21"/>
              </w:rPr>
              <w:t>0</w:t>
            </w:r>
          </w:p>
        </w:tc>
        <w:tc>
          <w:tcPr>
            <w:tcW w:w="284" w:type="pct"/>
            <w:vAlign w:val="center"/>
          </w:tcPr>
          <w:p w14:paraId="618FFA0F">
            <w:pPr>
              <w:spacing w:line="240" w:lineRule="atLeast"/>
              <w:jc w:val="center"/>
              <w:rPr>
                <w:color w:val="000000"/>
                <w:sz w:val="21"/>
              </w:rPr>
            </w:pPr>
            <w:r>
              <w:rPr>
                <w:color w:val="000000"/>
                <w:sz w:val="21"/>
              </w:rPr>
              <w:t>0</w:t>
            </w:r>
          </w:p>
        </w:tc>
        <w:tc>
          <w:tcPr>
            <w:tcW w:w="284" w:type="pct"/>
            <w:vAlign w:val="center"/>
          </w:tcPr>
          <w:p w14:paraId="072F0AE3">
            <w:pPr>
              <w:spacing w:line="240" w:lineRule="atLeast"/>
              <w:jc w:val="center"/>
              <w:rPr>
                <w:color w:val="000000"/>
                <w:sz w:val="21"/>
              </w:rPr>
            </w:pPr>
            <w:r>
              <w:rPr>
                <w:color w:val="000000"/>
                <w:sz w:val="21"/>
              </w:rPr>
              <w:t>0</w:t>
            </w:r>
          </w:p>
        </w:tc>
        <w:tc>
          <w:tcPr>
            <w:tcW w:w="248" w:type="pct"/>
            <w:vAlign w:val="center"/>
          </w:tcPr>
          <w:p w14:paraId="37E5BBD1">
            <w:pPr>
              <w:spacing w:line="240" w:lineRule="atLeast"/>
              <w:jc w:val="center"/>
              <w:rPr>
                <w:color w:val="000000"/>
                <w:sz w:val="21"/>
              </w:rPr>
            </w:pPr>
            <w:r>
              <w:rPr>
                <w:color w:val="000000"/>
                <w:sz w:val="21"/>
              </w:rPr>
              <w:t>0</w:t>
            </w:r>
          </w:p>
        </w:tc>
        <w:tc>
          <w:tcPr>
            <w:tcW w:w="688" w:type="dxa"/>
            <w:vAlign w:val="center"/>
          </w:tcPr>
          <w:p w14:paraId="7D9BFC74">
            <w:pPr>
              <w:spacing w:line="240" w:lineRule="atLeast"/>
              <w:jc w:val="center"/>
              <w:rPr>
                <w:color w:val="000000"/>
                <w:sz w:val="21"/>
              </w:rPr>
            </w:pPr>
            <w:r>
              <w:rPr>
                <w:color w:val="000000"/>
                <w:sz w:val="21"/>
              </w:rPr>
              <w:t>/</w:t>
            </w:r>
          </w:p>
        </w:tc>
        <w:tc>
          <w:tcPr>
            <w:tcW w:w="244" w:type="pct"/>
            <w:vAlign w:val="center"/>
          </w:tcPr>
          <w:p w14:paraId="763EC07B">
            <w:pPr>
              <w:spacing w:line="240" w:lineRule="atLeast"/>
              <w:jc w:val="center"/>
              <w:rPr>
                <w:color w:val="000000"/>
                <w:sz w:val="21"/>
              </w:rPr>
            </w:pPr>
            <w:r>
              <w:rPr>
                <w:color w:val="000000"/>
                <w:sz w:val="21"/>
              </w:rPr>
              <w:t>/</w:t>
            </w:r>
          </w:p>
        </w:tc>
      </w:tr>
      <w:tr w14:paraId="26CE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05" w:type="pct"/>
            <w:vMerge w:val="continue"/>
            <w:vAlign w:val="center"/>
          </w:tcPr>
          <w:p w14:paraId="3EC19DEB">
            <w:pPr>
              <w:spacing w:line="240" w:lineRule="atLeast"/>
              <w:jc w:val="center"/>
              <w:rPr>
                <w:color w:val="000000"/>
                <w:sz w:val="21"/>
              </w:rPr>
            </w:pPr>
          </w:p>
        </w:tc>
        <w:tc>
          <w:tcPr>
            <w:tcW w:w="355" w:type="pct"/>
            <w:vAlign w:val="center"/>
          </w:tcPr>
          <w:p w14:paraId="4E37206E">
            <w:pPr>
              <w:autoSpaceDE w:val="0"/>
              <w:autoSpaceDN w:val="0"/>
              <w:spacing w:line="240" w:lineRule="exact"/>
              <w:jc w:val="center"/>
              <w:rPr>
                <w:color w:val="000000"/>
                <w:w w:val="90"/>
                <w:sz w:val="21"/>
              </w:rPr>
            </w:pPr>
            <w:r>
              <w:rPr>
                <w:color w:val="000000"/>
                <w:w w:val="90"/>
                <w:sz w:val="21"/>
              </w:rPr>
              <w:t>Ii值</w:t>
            </w:r>
          </w:p>
        </w:tc>
        <w:tc>
          <w:tcPr>
            <w:tcW w:w="320" w:type="pct"/>
            <w:vAlign w:val="center"/>
          </w:tcPr>
          <w:p w14:paraId="39E8EA03">
            <w:pPr>
              <w:spacing w:line="240" w:lineRule="atLeast"/>
              <w:jc w:val="center"/>
              <w:rPr>
                <w:color w:val="000000"/>
                <w:sz w:val="21"/>
              </w:rPr>
            </w:pPr>
            <w:r>
              <w:rPr>
                <w:color w:val="000000"/>
                <w:sz w:val="21"/>
              </w:rPr>
              <w:t>/</w:t>
            </w:r>
          </w:p>
        </w:tc>
        <w:tc>
          <w:tcPr>
            <w:tcW w:w="343" w:type="pct"/>
            <w:vAlign w:val="center"/>
          </w:tcPr>
          <w:p w14:paraId="7F019F38">
            <w:pPr>
              <w:spacing w:line="240" w:lineRule="atLeast"/>
              <w:jc w:val="center"/>
              <w:rPr>
                <w:color w:val="000000"/>
                <w:sz w:val="21"/>
              </w:rPr>
            </w:pPr>
            <w:r>
              <w:rPr>
                <w:color w:val="000000"/>
                <w:sz w:val="21"/>
              </w:rPr>
              <w:t>0.11</w:t>
            </w:r>
          </w:p>
        </w:tc>
        <w:tc>
          <w:tcPr>
            <w:tcW w:w="309" w:type="pct"/>
            <w:vAlign w:val="center"/>
          </w:tcPr>
          <w:p w14:paraId="51B07F7E">
            <w:pPr>
              <w:spacing w:line="240" w:lineRule="atLeast"/>
              <w:jc w:val="center"/>
              <w:rPr>
                <w:color w:val="000000"/>
                <w:sz w:val="21"/>
              </w:rPr>
            </w:pPr>
            <w:r>
              <w:rPr>
                <w:color w:val="000000"/>
                <w:sz w:val="21"/>
              </w:rPr>
              <w:t>/</w:t>
            </w:r>
          </w:p>
        </w:tc>
        <w:tc>
          <w:tcPr>
            <w:tcW w:w="284" w:type="pct"/>
            <w:vAlign w:val="center"/>
          </w:tcPr>
          <w:p w14:paraId="63D739B3">
            <w:pPr>
              <w:spacing w:line="240" w:lineRule="atLeast"/>
              <w:jc w:val="center"/>
              <w:rPr>
                <w:color w:val="000000"/>
                <w:sz w:val="21"/>
              </w:rPr>
            </w:pPr>
            <w:r>
              <w:rPr>
                <w:color w:val="000000"/>
                <w:sz w:val="21"/>
              </w:rPr>
              <w:t>/</w:t>
            </w:r>
          </w:p>
        </w:tc>
        <w:tc>
          <w:tcPr>
            <w:tcW w:w="458" w:type="pct"/>
            <w:vAlign w:val="center"/>
          </w:tcPr>
          <w:p w14:paraId="65AD8B6B">
            <w:pPr>
              <w:spacing w:line="240" w:lineRule="atLeast"/>
              <w:jc w:val="center"/>
              <w:rPr>
                <w:color w:val="000000"/>
                <w:kern w:val="0"/>
                <w:sz w:val="21"/>
              </w:rPr>
            </w:pPr>
            <w:r>
              <w:rPr>
                <w:color w:val="000000"/>
                <w:kern w:val="0"/>
                <w:sz w:val="21"/>
              </w:rPr>
              <w:t>0.67</w:t>
            </w:r>
          </w:p>
        </w:tc>
        <w:tc>
          <w:tcPr>
            <w:tcW w:w="365" w:type="pct"/>
            <w:vAlign w:val="center"/>
          </w:tcPr>
          <w:p w14:paraId="6DE4AE2B">
            <w:pPr>
              <w:spacing w:line="240" w:lineRule="atLeast"/>
              <w:jc w:val="center"/>
              <w:rPr>
                <w:color w:val="000000"/>
                <w:sz w:val="21"/>
              </w:rPr>
            </w:pPr>
            <w:r>
              <w:rPr>
                <w:color w:val="000000"/>
                <w:sz w:val="21"/>
              </w:rPr>
              <w:t>0.05</w:t>
            </w:r>
          </w:p>
        </w:tc>
        <w:tc>
          <w:tcPr>
            <w:tcW w:w="233" w:type="pct"/>
            <w:vAlign w:val="center"/>
          </w:tcPr>
          <w:p w14:paraId="5FEBE897">
            <w:pPr>
              <w:spacing w:line="240" w:lineRule="atLeast"/>
              <w:jc w:val="center"/>
              <w:rPr>
                <w:color w:val="000000"/>
                <w:sz w:val="21"/>
              </w:rPr>
            </w:pPr>
            <w:r>
              <w:rPr>
                <w:color w:val="000000"/>
                <w:sz w:val="21"/>
              </w:rPr>
              <w:t>0.36</w:t>
            </w:r>
          </w:p>
        </w:tc>
        <w:tc>
          <w:tcPr>
            <w:tcW w:w="365" w:type="pct"/>
            <w:vAlign w:val="center"/>
          </w:tcPr>
          <w:p w14:paraId="4218A3A0">
            <w:pPr>
              <w:spacing w:line="240" w:lineRule="atLeast"/>
              <w:jc w:val="center"/>
              <w:rPr>
                <w:color w:val="000000"/>
                <w:sz w:val="21"/>
              </w:rPr>
            </w:pPr>
            <w:r>
              <w:rPr>
                <w:color w:val="000000"/>
                <w:sz w:val="21"/>
              </w:rPr>
              <w:t>0.01</w:t>
            </w:r>
          </w:p>
        </w:tc>
        <w:tc>
          <w:tcPr>
            <w:tcW w:w="458" w:type="pct"/>
            <w:vAlign w:val="center"/>
          </w:tcPr>
          <w:p w14:paraId="7E7FCA63">
            <w:pPr>
              <w:spacing w:line="240" w:lineRule="atLeast"/>
              <w:jc w:val="center"/>
              <w:rPr>
                <w:color w:val="000000"/>
                <w:sz w:val="21"/>
              </w:rPr>
            </w:pPr>
            <w:r>
              <w:rPr>
                <w:color w:val="000000"/>
                <w:sz w:val="21"/>
              </w:rPr>
              <w:t>/</w:t>
            </w:r>
          </w:p>
        </w:tc>
        <w:tc>
          <w:tcPr>
            <w:tcW w:w="284" w:type="pct"/>
            <w:vAlign w:val="center"/>
          </w:tcPr>
          <w:p w14:paraId="5F3DBE5F">
            <w:pPr>
              <w:spacing w:line="240" w:lineRule="atLeast"/>
              <w:jc w:val="center"/>
              <w:rPr>
                <w:color w:val="000000"/>
                <w:sz w:val="21"/>
              </w:rPr>
            </w:pPr>
            <w:r>
              <w:rPr>
                <w:color w:val="000000"/>
                <w:sz w:val="21"/>
              </w:rPr>
              <w:t>/</w:t>
            </w:r>
          </w:p>
        </w:tc>
        <w:tc>
          <w:tcPr>
            <w:tcW w:w="284" w:type="pct"/>
            <w:vAlign w:val="center"/>
          </w:tcPr>
          <w:p w14:paraId="6F49C818">
            <w:pPr>
              <w:spacing w:line="240" w:lineRule="atLeast"/>
              <w:jc w:val="center"/>
              <w:rPr>
                <w:color w:val="000000"/>
                <w:sz w:val="21"/>
              </w:rPr>
            </w:pPr>
            <w:r>
              <w:rPr>
                <w:color w:val="000000"/>
                <w:sz w:val="21"/>
              </w:rPr>
              <w:t>/</w:t>
            </w:r>
          </w:p>
        </w:tc>
        <w:tc>
          <w:tcPr>
            <w:tcW w:w="248" w:type="pct"/>
            <w:vAlign w:val="center"/>
          </w:tcPr>
          <w:p w14:paraId="2803EEEC">
            <w:pPr>
              <w:spacing w:line="240" w:lineRule="atLeast"/>
              <w:jc w:val="center"/>
              <w:rPr>
                <w:color w:val="000000"/>
                <w:sz w:val="21"/>
              </w:rPr>
            </w:pPr>
            <w:r>
              <w:rPr>
                <w:color w:val="000000"/>
                <w:sz w:val="21"/>
              </w:rPr>
              <w:t>0.268</w:t>
            </w:r>
          </w:p>
        </w:tc>
        <w:tc>
          <w:tcPr>
            <w:tcW w:w="688" w:type="dxa"/>
            <w:vAlign w:val="center"/>
          </w:tcPr>
          <w:p w14:paraId="514239BC">
            <w:pPr>
              <w:spacing w:line="240" w:lineRule="atLeast"/>
              <w:jc w:val="center"/>
              <w:rPr>
                <w:color w:val="000000"/>
                <w:sz w:val="21"/>
              </w:rPr>
            </w:pPr>
            <w:r>
              <w:rPr>
                <w:color w:val="000000"/>
                <w:sz w:val="21"/>
              </w:rPr>
              <w:t>/</w:t>
            </w:r>
          </w:p>
        </w:tc>
        <w:tc>
          <w:tcPr>
            <w:tcW w:w="244" w:type="pct"/>
            <w:vAlign w:val="center"/>
          </w:tcPr>
          <w:p w14:paraId="6F00D002">
            <w:pPr>
              <w:spacing w:line="240" w:lineRule="atLeast"/>
              <w:jc w:val="center"/>
              <w:rPr>
                <w:color w:val="000000"/>
                <w:sz w:val="21"/>
              </w:rPr>
            </w:pPr>
            <w:r>
              <w:rPr>
                <w:color w:val="000000"/>
                <w:sz w:val="21"/>
              </w:rPr>
              <w:t>/</w:t>
            </w:r>
          </w:p>
        </w:tc>
      </w:tr>
      <w:tr w14:paraId="2D1A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560" w:type="pct"/>
            <w:gridSpan w:val="2"/>
            <w:vAlign w:val="center"/>
          </w:tcPr>
          <w:p w14:paraId="2F0305F6">
            <w:pPr>
              <w:autoSpaceDE w:val="0"/>
              <w:autoSpaceDN w:val="0"/>
              <w:spacing w:line="240" w:lineRule="atLeast"/>
              <w:jc w:val="center"/>
              <w:rPr>
                <w:color w:val="000000"/>
                <w:w w:val="90"/>
                <w:sz w:val="21"/>
              </w:rPr>
            </w:pPr>
            <w:r>
              <w:rPr>
                <w:color w:val="000000"/>
                <w:w w:val="90"/>
                <w:sz w:val="21"/>
              </w:rPr>
              <w:t>评价标准值Ⅲ类</w:t>
            </w:r>
          </w:p>
        </w:tc>
        <w:tc>
          <w:tcPr>
            <w:tcW w:w="320" w:type="pct"/>
            <w:vAlign w:val="center"/>
          </w:tcPr>
          <w:p w14:paraId="403E0199">
            <w:pPr>
              <w:spacing w:line="240" w:lineRule="atLeast"/>
              <w:jc w:val="center"/>
              <w:rPr>
                <w:color w:val="000000"/>
                <w:sz w:val="21"/>
              </w:rPr>
            </w:pPr>
            <w:r>
              <w:rPr>
                <w:color w:val="000000"/>
                <w:sz w:val="21"/>
              </w:rPr>
              <w:t>0.05</w:t>
            </w:r>
          </w:p>
        </w:tc>
        <w:tc>
          <w:tcPr>
            <w:tcW w:w="343" w:type="pct"/>
            <w:vAlign w:val="center"/>
          </w:tcPr>
          <w:p w14:paraId="2DD6DF9D">
            <w:pPr>
              <w:spacing w:line="240" w:lineRule="atLeast"/>
              <w:jc w:val="center"/>
              <w:rPr>
                <w:color w:val="000000"/>
                <w:sz w:val="21"/>
              </w:rPr>
            </w:pPr>
            <w:r>
              <w:rPr>
                <w:color w:val="000000"/>
                <w:sz w:val="21"/>
              </w:rPr>
              <w:t>10</w:t>
            </w:r>
          </w:p>
        </w:tc>
        <w:tc>
          <w:tcPr>
            <w:tcW w:w="309" w:type="pct"/>
            <w:vAlign w:val="center"/>
          </w:tcPr>
          <w:p w14:paraId="067D837F">
            <w:pPr>
              <w:spacing w:line="240" w:lineRule="atLeast"/>
              <w:jc w:val="center"/>
              <w:rPr>
                <w:color w:val="000000"/>
                <w:sz w:val="21"/>
              </w:rPr>
            </w:pPr>
            <w:r>
              <w:rPr>
                <w:color w:val="000000"/>
                <w:sz w:val="21"/>
              </w:rPr>
              <w:t>1</w:t>
            </w:r>
          </w:p>
        </w:tc>
        <w:tc>
          <w:tcPr>
            <w:tcW w:w="284" w:type="pct"/>
            <w:vAlign w:val="center"/>
          </w:tcPr>
          <w:p w14:paraId="75D4F648">
            <w:pPr>
              <w:spacing w:line="240" w:lineRule="atLeast"/>
              <w:jc w:val="center"/>
              <w:rPr>
                <w:color w:val="000000"/>
                <w:sz w:val="21"/>
              </w:rPr>
            </w:pPr>
            <w:r>
              <w:rPr>
                <w:color w:val="000000"/>
                <w:sz w:val="21"/>
              </w:rPr>
              <w:t>0.05</w:t>
            </w:r>
          </w:p>
        </w:tc>
        <w:tc>
          <w:tcPr>
            <w:tcW w:w="458" w:type="pct"/>
            <w:vAlign w:val="center"/>
          </w:tcPr>
          <w:p w14:paraId="1694F625">
            <w:pPr>
              <w:spacing w:line="240" w:lineRule="atLeast"/>
              <w:jc w:val="center"/>
              <w:rPr>
                <w:color w:val="000000"/>
                <w:sz w:val="21"/>
              </w:rPr>
            </w:pPr>
            <w:r>
              <w:rPr>
                <w:color w:val="000000"/>
                <w:sz w:val="21"/>
              </w:rPr>
              <w:t>450</w:t>
            </w:r>
          </w:p>
        </w:tc>
        <w:tc>
          <w:tcPr>
            <w:tcW w:w="365" w:type="pct"/>
            <w:vAlign w:val="center"/>
          </w:tcPr>
          <w:p w14:paraId="4C3361C6">
            <w:pPr>
              <w:spacing w:line="240" w:lineRule="atLeast"/>
              <w:jc w:val="center"/>
              <w:rPr>
                <w:color w:val="000000"/>
                <w:sz w:val="21"/>
              </w:rPr>
            </w:pPr>
            <w:r>
              <w:rPr>
                <w:color w:val="000000"/>
                <w:sz w:val="21"/>
              </w:rPr>
              <w:t>0.01</w:t>
            </w:r>
          </w:p>
        </w:tc>
        <w:tc>
          <w:tcPr>
            <w:tcW w:w="233" w:type="pct"/>
            <w:vAlign w:val="center"/>
          </w:tcPr>
          <w:p w14:paraId="65C7BFAF">
            <w:pPr>
              <w:spacing w:line="240" w:lineRule="atLeast"/>
              <w:jc w:val="center"/>
              <w:rPr>
                <w:color w:val="000000"/>
                <w:sz w:val="21"/>
              </w:rPr>
            </w:pPr>
            <w:r>
              <w:rPr>
                <w:color w:val="000000"/>
                <w:sz w:val="21"/>
              </w:rPr>
              <w:t>1</w:t>
            </w:r>
          </w:p>
        </w:tc>
        <w:tc>
          <w:tcPr>
            <w:tcW w:w="365" w:type="pct"/>
            <w:vAlign w:val="center"/>
          </w:tcPr>
          <w:p w14:paraId="0F9F74B5">
            <w:pPr>
              <w:spacing w:line="240" w:lineRule="atLeast"/>
              <w:jc w:val="center"/>
              <w:rPr>
                <w:color w:val="000000"/>
                <w:sz w:val="21"/>
              </w:rPr>
            </w:pPr>
            <w:r>
              <w:rPr>
                <w:color w:val="000000"/>
                <w:sz w:val="21"/>
              </w:rPr>
              <w:t>0.005</w:t>
            </w:r>
          </w:p>
        </w:tc>
        <w:tc>
          <w:tcPr>
            <w:tcW w:w="458" w:type="pct"/>
            <w:vAlign w:val="center"/>
          </w:tcPr>
          <w:p w14:paraId="6A761413">
            <w:pPr>
              <w:spacing w:line="240" w:lineRule="atLeast"/>
              <w:jc w:val="center"/>
              <w:rPr>
                <w:color w:val="000000"/>
                <w:sz w:val="21"/>
              </w:rPr>
            </w:pPr>
            <w:r>
              <w:rPr>
                <w:color w:val="000000"/>
                <w:sz w:val="21"/>
              </w:rPr>
              <w:t>0.3</w:t>
            </w:r>
          </w:p>
        </w:tc>
        <w:tc>
          <w:tcPr>
            <w:tcW w:w="284" w:type="pct"/>
            <w:vAlign w:val="center"/>
          </w:tcPr>
          <w:p w14:paraId="1BB40F02">
            <w:pPr>
              <w:spacing w:line="240" w:lineRule="atLeast"/>
              <w:jc w:val="center"/>
              <w:rPr>
                <w:color w:val="000000"/>
                <w:sz w:val="21"/>
              </w:rPr>
            </w:pPr>
            <w:r>
              <w:rPr>
                <w:color w:val="000000"/>
                <w:sz w:val="21"/>
              </w:rPr>
              <w:t>0.1</w:t>
            </w:r>
          </w:p>
        </w:tc>
        <w:tc>
          <w:tcPr>
            <w:tcW w:w="284" w:type="pct"/>
            <w:vAlign w:val="center"/>
          </w:tcPr>
          <w:p w14:paraId="64794EAB">
            <w:pPr>
              <w:spacing w:line="240" w:lineRule="atLeast"/>
              <w:jc w:val="center"/>
              <w:rPr>
                <w:color w:val="000000"/>
                <w:sz w:val="21"/>
              </w:rPr>
            </w:pPr>
            <w:r>
              <w:rPr>
                <w:color w:val="000000"/>
                <w:sz w:val="21"/>
              </w:rPr>
              <w:t>1.0</w:t>
            </w:r>
          </w:p>
        </w:tc>
        <w:tc>
          <w:tcPr>
            <w:tcW w:w="248" w:type="pct"/>
            <w:vAlign w:val="center"/>
          </w:tcPr>
          <w:p w14:paraId="53A09EE9">
            <w:pPr>
              <w:spacing w:line="240" w:lineRule="atLeast"/>
              <w:jc w:val="center"/>
              <w:rPr>
                <w:color w:val="000000"/>
                <w:sz w:val="21"/>
              </w:rPr>
            </w:pPr>
            <w:r>
              <w:rPr>
                <w:color w:val="000000"/>
                <w:sz w:val="21"/>
              </w:rPr>
              <w:t>1.0</w:t>
            </w:r>
          </w:p>
        </w:tc>
        <w:tc>
          <w:tcPr>
            <w:tcW w:w="239" w:type="pct"/>
            <w:vAlign w:val="center"/>
          </w:tcPr>
          <w:p w14:paraId="4AFA865B">
            <w:pPr>
              <w:spacing w:line="240" w:lineRule="atLeast"/>
              <w:jc w:val="center"/>
              <w:rPr>
                <w:color w:val="000000"/>
                <w:sz w:val="21"/>
              </w:rPr>
            </w:pPr>
            <w:r>
              <w:rPr>
                <w:color w:val="000000"/>
                <w:sz w:val="21"/>
              </w:rPr>
              <w:t>100个/mL</w:t>
            </w:r>
          </w:p>
        </w:tc>
        <w:tc>
          <w:tcPr>
            <w:tcW w:w="244" w:type="pct"/>
            <w:vAlign w:val="center"/>
          </w:tcPr>
          <w:p w14:paraId="6CCD40AC">
            <w:pPr>
              <w:spacing w:line="240" w:lineRule="atLeast"/>
              <w:jc w:val="center"/>
              <w:rPr>
                <w:color w:val="000000"/>
                <w:sz w:val="21"/>
              </w:rPr>
            </w:pPr>
            <w:r>
              <w:rPr>
                <w:color w:val="000000"/>
                <w:sz w:val="21"/>
              </w:rPr>
              <w:t>3个/L</w:t>
            </w:r>
          </w:p>
        </w:tc>
      </w:tr>
    </w:tbl>
    <w:p w14:paraId="53CE9F4A">
      <w:pPr>
        <w:rPr>
          <w:color w:val="000000"/>
        </w:rPr>
        <w:sectPr>
          <w:pgSz w:w="16838" w:h="11905" w:orient="landscape"/>
          <w:pgMar w:top="1531" w:right="1440" w:bottom="1531" w:left="1440" w:header="850" w:footer="907" w:gutter="0"/>
          <w:cols w:space="720" w:num="1"/>
          <w:docGrid w:type="lines" w:linePitch="332" w:charSpace="0"/>
        </w:sectPr>
      </w:pPr>
    </w:p>
    <w:p w14:paraId="6FEF7E6B">
      <w:pPr>
        <w:ind w:firstLine="482"/>
        <w:rPr>
          <w:color w:val="000000"/>
        </w:rPr>
      </w:pPr>
      <w:bookmarkStart w:id="454" w:name="_Toc458021323"/>
      <w:bookmarkStart w:id="455" w:name="_Toc450674586"/>
      <w:bookmarkStart w:id="456" w:name="_Toc15499573"/>
      <w:bookmarkStart w:id="457" w:name="_Toc449353901"/>
      <w:bookmarkStart w:id="458" w:name="_Toc21961450"/>
      <w:bookmarkStart w:id="459" w:name="_Toc461100452"/>
      <w:bookmarkStart w:id="460" w:name="_Toc364270536"/>
      <w:bookmarkStart w:id="461" w:name="_Toc15499333"/>
      <w:bookmarkStart w:id="462" w:name="_Toc458070892"/>
      <w:r>
        <w:rPr>
          <w:color w:val="000000"/>
        </w:rPr>
        <w:t>据本次对区内地下水进行监测分析可知，区内地下水主要阳离子为钙离子，主要阴离子为重碳酸根离子，pH为6.94～7.33，FX1监测点水化学类型为HCO</w:t>
      </w:r>
      <w:r>
        <w:rPr>
          <w:color w:val="000000"/>
          <w:vertAlign w:val="subscript"/>
        </w:rPr>
        <w:t>3</w:t>
      </w:r>
      <w:r>
        <w:rPr>
          <w:color w:val="000000"/>
        </w:rPr>
        <w:t>-Ca-B，FX2、FX3监测点水化学类型为HCO</w:t>
      </w:r>
      <w:r>
        <w:rPr>
          <w:color w:val="000000"/>
          <w:vertAlign w:val="subscript"/>
        </w:rPr>
        <w:t>3</w:t>
      </w:r>
      <w:r>
        <w:rPr>
          <w:color w:val="000000"/>
        </w:rPr>
        <w:t>-Ca-A，FX1、FX2监测点未检测八大离子，根据已检测数据判断，区内地下水化学类型主要为HCO</w:t>
      </w:r>
      <w:r>
        <w:rPr>
          <w:color w:val="000000"/>
          <w:vertAlign w:val="subscript"/>
        </w:rPr>
        <w:t>3</w:t>
      </w:r>
      <w:r>
        <w:rPr>
          <w:color w:val="000000"/>
        </w:rPr>
        <w:t>-SO</w:t>
      </w:r>
      <w:r>
        <w:rPr>
          <w:color w:val="000000"/>
          <w:vertAlign w:val="subscript"/>
        </w:rPr>
        <w:t>4</w:t>
      </w:r>
      <w:r>
        <w:rPr>
          <w:color w:val="000000"/>
        </w:rPr>
        <w:t>-Ca。</w:t>
      </w:r>
    </w:p>
    <w:p w14:paraId="7C338955">
      <w:pPr>
        <w:tabs>
          <w:tab w:val="left" w:pos="993"/>
        </w:tabs>
        <w:ind w:firstLine="482"/>
        <w:rPr>
          <w:color w:val="000000"/>
          <w:sz w:val="21"/>
          <w:szCs w:val="20"/>
        </w:rPr>
      </w:pPr>
      <w:r>
        <w:rPr>
          <w:snapToGrid w:val="0"/>
          <w:color w:val="000000"/>
        </w:rPr>
        <w:t>根据监测结果可知，地下水各项监测指标均满足《地下水质量标准》（GB/T14848-2017）中的III类水质标准，</w:t>
      </w:r>
      <w:r>
        <w:rPr>
          <w:color w:val="000000"/>
        </w:rPr>
        <w:t>评价区域地下水环境质量现状相对较好。</w:t>
      </w:r>
    </w:p>
    <w:p w14:paraId="6F9344CB">
      <w:pPr>
        <w:pStyle w:val="785"/>
        <w:rPr>
          <w:color w:val="000000"/>
        </w:rPr>
      </w:pPr>
      <w:r>
        <w:rPr>
          <w:color w:val="000000"/>
          <w:lang w:val="en-US"/>
        </w:rPr>
        <w:t>4.3.3.2</w:t>
      </w:r>
      <w:r>
        <w:rPr>
          <w:color w:val="000000"/>
        </w:rPr>
        <w:t>包气带污染现状调查</w:t>
      </w:r>
    </w:p>
    <w:p w14:paraId="74EC6936">
      <w:pPr>
        <w:ind w:firstLine="480"/>
        <w:rPr>
          <w:color w:val="000000"/>
        </w:rPr>
      </w:pPr>
      <w:r>
        <w:rPr>
          <w:color w:val="000000"/>
        </w:rPr>
        <w:t>本次评价委托重庆智海科技有限责任公司对厂区内及周边包气带现状进行了监测。</w:t>
      </w:r>
    </w:p>
    <w:p w14:paraId="06A95FDF">
      <w:pPr>
        <w:ind w:firstLine="480"/>
        <w:rPr>
          <w:color w:val="000000"/>
        </w:rPr>
      </w:pPr>
      <w:r>
        <w:rPr>
          <w:color w:val="000000"/>
        </w:rPr>
        <w:t>（1）监测情况</w:t>
      </w:r>
    </w:p>
    <w:p w14:paraId="0243F754">
      <w:pPr>
        <w:ind w:firstLine="480"/>
        <w:rPr>
          <w:color w:val="000000"/>
        </w:rPr>
      </w:pPr>
      <w:r>
        <w:rPr>
          <w:color w:val="000000"/>
        </w:rPr>
        <w:t>监测布点：设监测点位1个点，1#位于厂区危废暂存间附近，位置详见附图。</w:t>
      </w:r>
    </w:p>
    <w:p w14:paraId="057B27FB">
      <w:pPr>
        <w:ind w:firstLine="480"/>
        <w:rPr>
          <w:color w:val="000000"/>
        </w:rPr>
      </w:pPr>
      <w:r>
        <w:rPr>
          <w:color w:val="000000"/>
        </w:rPr>
        <w:t>采样时间：2022年3月14日。</w:t>
      </w:r>
    </w:p>
    <w:p w14:paraId="7E59E186">
      <w:pPr>
        <w:ind w:firstLine="480"/>
        <w:rPr>
          <w:color w:val="000000"/>
        </w:rPr>
      </w:pPr>
      <w:r>
        <w:rPr>
          <w:color w:val="000000"/>
        </w:rPr>
        <w:t>监测因子：pH、氨氮、硝酸盐、亚硝酸盐、挥发性酚类、氰化物、砷、汞、铬(六价)、总硬度、铅、氟、镉、铁、锰、溶解性总固体、高锰酸盐指数、硫酸盐、氯化物、总大肠菌群、细菌总数。</w:t>
      </w:r>
    </w:p>
    <w:p w14:paraId="0620B329">
      <w:pPr>
        <w:ind w:firstLine="480"/>
        <w:rPr>
          <w:color w:val="000000"/>
        </w:rPr>
      </w:pPr>
      <w:r>
        <w:rPr>
          <w:color w:val="000000"/>
        </w:rPr>
        <w:t>（2）监测统计结果</w:t>
      </w:r>
    </w:p>
    <w:p w14:paraId="04CE4CD7">
      <w:pPr>
        <w:ind w:firstLine="480"/>
        <w:rPr>
          <w:color w:val="000000"/>
        </w:rPr>
      </w:pPr>
      <w:r>
        <w:rPr>
          <w:color w:val="000000"/>
        </w:rPr>
        <w:t>包气带土壤浸出液监测结果见表4.3.3.2-4。</w:t>
      </w:r>
    </w:p>
    <w:p w14:paraId="7F1A1930">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4.3.3.2-4</w:t>
      </w:r>
      <w:r>
        <w:rPr>
          <w:rFonts w:ascii="Times New Roman" w:hAnsi="Times New Roman"/>
          <w:color w:val="000000"/>
        </w:rPr>
        <w:t xml:space="preserve">  包气带污染现状监测结果表  单位：mg/L</w:t>
      </w:r>
    </w:p>
    <w:tbl>
      <w:tblPr>
        <w:tblStyle w:val="73"/>
        <w:tblW w:w="4998" w:type="pct"/>
        <w:tblInd w:w="0" w:type="dxa"/>
        <w:tblLayout w:type="autofit"/>
        <w:tblCellMar>
          <w:top w:w="0" w:type="dxa"/>
          <w:left w:w="0" w:type="dxa"/>
          <w:bottom w:w="0" w:type="dxa"/>
          <w:right w:w="0" w:type="dxa"/>
        </w:tblCellMar>
      </w:tblPr>
      <w:tblGrid>
        <w:gridCol w:w="810"/>
        <w:gridCol w:w="3410"/>
        <w:gridCol w:w="1369"/>
        <w:gridCol w:w="1637"/>
        <w:gridCol w:w="1637"/>
      </w:tblGrid>
      <w:tr w14:paraId="0465C0F4">
        <w:tblPrEx>
          <w:tblCellMar>
            <w:top w:w="0" w:type="dxa"/>
            <w:left w:w="0" w:type="dxa"/>
            <w:bottom w:w="0" w:type="dxa"/>
            <w:right w:w="0" w:type="dxa"/>
          </w:tblCellMar>
        </w:tblPrEx>
        <w:trPr>
          <w:trHeight w:val="276" w:hRule="atLeast"/>
        </w:trPr>
        <w:tc>
          <w:tcPr>
            <w:tcW w:w="457" w:type="pct"/>
            <w:tcBorders>
              <w:top w:val="single" w:color="auto" w:sz="4" w:space="0"/>
              <w:left w:val="single" w:color="auto" w:sz="4" w:space="0"/>
              <w:bottom w:val="single" w:color="auto" w:sz="4" w:space="0"/>
              <w:right w:val="single" w:color="auto" w:sz="4" w:space="0"/>
            </w:tcBorders>
            <w:noWrap/>
            <w:tcMar>
              <w:top w:w="12" w:type="dxa"/>
              <w:left w:w="12" w:type="dxa"/>
              <w:bottom w:w="0" w:type="dxa"/>
              <w:right w:w="12" w:type="dxa"/>
            </w:tcMar>
            <w:vAlign w:val="center"/>
          </w:tcPr>
          <w:p w14:paraId="3D8F24D6">
            <w:pPr>
              <w:jc w:val="center"/>
              <w:textAlignment w:val="center"/>
              <w:rPr>
                <w:color w:val="000000"/>
                <w:sz w:val="21"/>
              </w:rPr>
            </w:pPr>
            <w:r>
              <w:rPr>
                <w:color w:val="000000"/>
                <w:kern w:val="0"/>
                <w:sz w:val="21"/>
              </w:rPr>
              <w:t>序号</w:t>
            </w:r>
          </w:p>
        </w:tc>
        <w:tc>
          <w:tcPr>
            <w:tcW w:w="1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285EB873">
            <w:pPr>
              <w:jc w:val="center"/>
              <w:textAlignment w:val="center"/>
              <w:rPr>
                <w:color w:val="000000"/>
                <w:sz w:val="21"/>
              </w:rPr>
            </w:pPr>
            <w:r>
              <w:rPr>
                <w:color w:val="000000"/>
                <w:kern w:val="0"/>
                <w:sz w:val="21"/>
              </w:rPr>
              <w:t>检测项目</w:t>
            </w:r>
          </w:p>
        </w:tc>
        <w:tc>
          <w:tcPr>
            <w:tcW w:w="772"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56FB00CF">
            <w:pPr>
              <w:jc w:val="center"/>
              <w:textAlignment w:val="center"/>
              <w:rPr>
                <w:color w:val="000000"/>
                <w:kern w:val="0"/>
                <w:sz w:val="21"/>
              </w:rPr>
            </w:pPr>
            <w:r>
              <w:rPr>
                <w:color w:val="000000"/>
                <w:kern w:val="0"/>
                <w:sz w:val="21"/>
              </w:rPr>
              <w:t>单位</w:t>
            </w:r>
          </w:p>
        </w:tc>
        <w:tc>
          <w:tcPr>
            <w:tcW w:w="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05B21D5C">
            <w:pPr>
              <w:jc w:val="center"/>
              <w:textAlignment w:val="center"/>
              <w:rPr>
                <w:color w:val="000000"/>
                <w:kern w:val="0"/>
                <w:sz w:val="21"/>
              </w:rPr>
            </w:pPr>
            <w:r>
              <w:rPr>
                <w:color w:val="000000"/>
                <w:kern w:val="0"/>
                <w:sz w:val="21"/>
              </w:rPr>
              <w:t>监测结果</w:t>
            </w:r>
          </w:p>
        </w:tc>
        <w:tc>
          <w:tcPr>
            <w:tcW w:w="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69CC4C9B">
            <w:pPr>
              <w:jc w:val="center"/>
              <w:textAlignment w:val="center"/>
              <w:rPr>
                <w:color w:val="000000"/>
                <w:kern w:val="0"/>
                <w:sz w:val="21"/>
              </w:rPr>
            </w:pPr>
            <w:r>
              <w:rPr>
                <w:color w:val="000000"/>
                <w:kern w:val="0"/>
                <w:sz w:val="21"/>
              </w:rPr>
              <w:t>检出限</w:t>
            </w:r>
          </w:p>
        </w:tc>
      </w:tr>
      <w:tr w14:paraId="1BFF0257">
        <w:tblPrEx>
          <w:tblCellMar>
            <w:top w:w="0" w:type="dxa"/>
            <w:left w:w="0" w:type="dxa"/>
            <w:bottom w:w="0" w:type="dxa"/>
            <w:right w:w="0" w:type="dxa"/>
          </w:tblCellMar>
        </w:tblPrEx>
        <w:trPr>
          <w:trHeight w:val="276" w:hRule="atLeast"/>
        </w:trPr>
        <w:tc>
          <w:tcPr>
            <w:tcW w:w="457" w:type="pct"/>
            <w:tcBorders>
              <w:top w:val="nil"/>
              <w:left w:val="single" w:color="auto" w:sz="4" w:space="0"/>
              <w:bottom w:val="single" w:color="auto" w:sz="4" w:space="0"/>
              <w:right w:val="single" w:color="auto" w:sz="4" w:space="0"/>
            </w:tcBorders>
            <w:noWrap/>
            <w:tcMar>
              <w:top w:w="12" w:type="dxa"/>
              <w:left w:w="12" w:type="dxa"/>
              <w:bottom w:w="0" w:type="dxa"/>
              <w:right w:w="12" w:type="dxa"/>
            </w:tcMar>
            <w:vAlign w:val="center"/>
          </w:tcPr>
          <w:p w14:paraId="513CB3B7">
            <w:pPr>
              <w:jc w:val="center"/>
              <w:textAlignment w:val="center"/>
              <w:rPr>
                <w:color w:val="000000"/>
                <w:sz w:val="21"/>
              </w:rPr>
            </w:pPr>
            <w:r>
              <w:rPr>
                <w:color w:val="000000"/>
                <w:kern w:val="0"/>
                <w:sz w:val="21"/>
              </w:rPr>
              <w:t>1</w:t>
            </w:r>
          </w:p>
        </w:tc>
        <w:tc>
          <w:tcPr>
            <w:tcW w:w="1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63BF1190">
            <w:pPr>
              <w:jc w:val="center"/>
              <w:rPr>
                <w:color w:val="000000"/>
                <w:sz w:val="21"/>
              </w:rPr>
            </w:pPr>
            <w:r>
              <w:rPr>
                <w:color w:val="000000"/>
                <w:kern w:val="0"/>
                <w:sz w:val="18"/>
                <w:szCs w:val="18"/>
              </w:rPr>
              <w:t>pH</w:t>
            </w:r>
          </w:p>
        </w:tc>
        <w:tc>
          <w:tcPr>
            <w:tcW w:w="772"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24483EB6">
            <w:pPr>
              <w:jc w:val="center"/>
              <w:rPr>
                <w:color w:val="000000"/>
                <w:sz w:val="21"/>
              </w:rPr>
            </w:pPr>
            <w:r>
              <w:rPr>
                <w:color w:val="000000"/>
                <w:kern w:val="0"/>
                <w:sz w:val="18"/>
                <w:szCs w:val="18"/>
              </w:rPr>
              <w:t>无量纲</w:t>
            </w:r>
          </w:p>
        </w:tc>
        <w:tc>
          <w:tcPr>
            <w:tcW w:w="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382EFACA">
            <w:pPr>
              <w:jc w:val="center"/>
              <w:rPr>
                <w:color w:val="000000"/>
                <w:sz w:val="21"/>
              </w:rPr>
            </w:pPr>
            <w:r>
              <w:rPr>
                <w:color w:val="000000"/>
                <w:kern w:val="0"/>
                <w:sz w:val="18"/>
                <w:szCs w:val="18"/>
              </w:rPr>
              <w:t>7.94</w:t>
            </w:r>
          </w:p>
        </w:tc>
        <w:tc>
          <w:tcPr>
            <w:tcW w:w="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0CA700EF">
            <w:pPr>
              <w:jc w:val="center"/>
              <w:rPr>
                <w:color w:val="000000"/>
                <w:kern w:val="0"/>
                <w:sz w:val="18"/>
                <w:szCs w:val="18"/>
              </w:rPr>
            </w:pPr>
            <w:r>
              <w:rPr>
                <w:color w:val="000000"/>
                <w:kern w:val="0"/>
                <w:sz w:val="18"/>
                <w:szCs w:val="18"/>
              </w:rPr>
              <w:t>/</w:t>
            </w:r>
          </w:p>
        </w:tc>
      </w:tr>
      <w:tr w14:paraId="6D7A5F02">
        <w:tblPrEx>
          <w:tblCellMar>
            <w:top w:w="0" w:type="dxa"/>
            <w:left w:w="0" w:type="dxa"/>
            <w:bottom w:w="0" w:type="dxa"/>
            <w:right w:w="0" w:type="dxa"/>
          </w:tblCellMar>
        </w:tblPrEx>
        <w:trPr>
          <w:trHeight w:val="276" w:hRule="atLeast"/>
        </w:trPr>
        <w:tc>
          <w:tcPr>
            <w:tcW w:w="457" w:type="pct"/>
            <w:tcBorders>
              <w:top w:val="nil"/>
              <w:left w:val="single" w:color="auto" w:sz="4" w:space="0"/>
              <w:bottom w:val="single" w:color="auto" w:sz="4" w:space="0"/>
              <w:right w:val="single" w:color="auto" w:sz="4" w:space="0"/>
            </w:tcBorders>
            <w:noWrap/>
            <w:tcMar>
              <w:top w:w="12" w:type="dxa"/>
              <w:left w:w="12" w:type="dxa"/>
              <w:bottom w:w="0" w:type="dxa"/>
              <w:right w:w="12" w:type="dxa"/>
            </w:tcMar>
            <w:vAlign w:val="center"/>
          </w:tcPr>
          <w:p w14:paraId="70D575CC">
            <w:pPr>
              <w:jc w:val="center"/>
              <w:textAlignment w:val="center"/>
              <w:rPr>
                <w:color w:val="000000"/>
                <w:sz w:val="21"/>
              </w:rPr>
            </w:pPr>
            <w:r>
              <w:rPr>
                <w:color w:val="000000"/>
                <w:kern w:val="0"/>
                <w:sz w:val="21"/>
              </w:rPr>
              <w:t>2</w:t>
            </w:r>
          </w:p>
        </w:tc>
        <w:tc>
          <w:tcPr>
            <w:tcW w:w="1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6D6A307D">
            <w:pPr>
              <w:jc w:val="center"/>
              <w:rPr>
                <w:color w:val="000000"/>
                <w:sz w:val="21"/>
              </w:rPr>
            </w:pPr>
            <w:r>
              <w:rPr>
                <w:color w:val="000000"/>
                <w:sz w:val="18"/>
                <w:szCs w:val="18"/>
              </w:rPr>
              <w:t>氨氮</w:t>
            </w:r>
          </w:p>
        </w:tc>
        <w:tc>
          <w:tcPr>
            <w:tcW w:w="772"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748ACC66">
            <w:pPr>
              <w:jc w:val="center"/>
              <w:rPr>
                <w:color w:val="000000"/>
                <w:sz w:val="21"/>
              </w:rPr>
            </w:pPr>
            <w:r>
              <w:rPr>
                <w:color w:val="000000"/>
                <w:kern w:val="0"/>
                <w:sz w:val="18"/>
                <w:szCs w:val="18"/>
              </w:rPr>
              <w:t>mg/L</w:t>
            </w:r>
          </w:p>
        </w:tc>
        <w:tc>
          <w:tcPr>
            <w:tcW w:w="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1DDE46F2">
            <w:pPr>
              <w:jc w:val="center"/>
              <w:rPr>
                <w:color w:val="000000"/>
                <w:sz w:val="21"/>
              </w:rPr>
            </w:pPr>
            <w:r>
              <w:rPr>
                <w:color w:val="000000"/>
                <w:kern w:val="0"/>
                <w:sz w:val="18"/>
                <w:szCs w:val="18"/>
              </w:rPr>
              <w:t>0.220</w:t>
            </w:r>
          </w:p>
        </w:tc>
        <w:tc>
          <w:tcPr>
            <w:tcW w:w="1537" w:type="dxa"/>
            <w:tcBorders>
              <w:top w:val="nil"/>
              <w:left w:val="nil"/>
              <w:bottom w:val="single" w:color="auto" w:sz="4" w:space="0"/>
              <w:right w:val="single" w:color="auto" w:sz="4" w:space="0"/>
            </w:tcBorders>
            <w:noWrap/>
            <w:tcMar>
              <w:top w:w="12" w:type="dxa"/>
              <w:left w:w="12" w:type="dxa"/>
              <w:bottom w:w="0" w:type="dxa"/>
              <w:right w:w="12" w:type="dxa"/>
            </w:tcMar>
            <w:vAlign w:val="center"/>
          </w:tcPr>
          <w:p w14:paraId="0BA890C1">
            <w:pPr>
              <w:jc w:val="center"/>
              <w:rPr>
                <w:color w:val="000000"/>
                <w:kern w:val="0"/>
                <w:sz w:val="18"/>
                <w:szCs w:val="18"/>
              </w:rPr>
            </w:pPr>
            <w:r>
              <w:rPr>
                <w:color w:val="000000"/>
                <w:kern w:val="0"/>
                <w:sz w:val="18"/>
                <w:szCs w:val="18"/>
              </w:rPr>
              <w:t>0.025</w:t>
            </w:r>
          </w:p>
        </w:tc>
      </w:tr>
      <w:tr w14:paraId="1FE6F5EF">
        <w:tblPrEx>
          <w:tblCellMar>
            <w:top w:w="0" w:type="dxa"/>
            <w:left w:w="0" w:type="dxa"/>
            <w:bottom w:w="0" w:type="dxa"/>
            <w:right w:w="0" w:type="dxa"/>
          </w:tblCellMar>
        </w:tblPrEx>
        <w:trPr>
          <w:trHeight w:val="276" w:hRule="atLeast"/>
        </w:trPr>
        <w:tc>
          <w:tcPr>
            <w:tcW w:w="457" w:type="pct"/>
            <w:tcBorders>
              <w:top w:val="nil"/>
              <w:left w:val="single" w:color="auto" w:sz="4" w:space="0"/>
              <w:bottom w:val="single" w:color="auto" w:sz="4" w:space="0"/>
              <w:right w:val="single" w:color="auto" w:sz="4" w:space="0"/>
            </w:tcBorders>
            <w:noWrap/>
            <w:tcMar>
              <w:top w:w="12" w:type="dxa"/>
              <w:left w:w="12" w:type="dxa"/>
              <w:bottom w:w="0" w:type="dxa"/>
              <w:right w:w="12" w:type="dxa"/>
            </w:tcMar>
            <w:vAlign w:val="center"/>
          </w:tcPr>
          <w:p w14:paraId="10323574">
            <w:pPr>
              <w:jc w:val="center"/>
              <w:textAlignment w:val="center"/>
              <w:rPr>
                <w:color w:val="000000"/>
                <w:sz w:val="21"/>
              </w:rPr>
            </w:pPr>
            <w:r>
              <w:rPr>
                <w:color w:val="000000"/>
                <w:kern w:val="0"/>
                <w:sz w:val="21"/>
              </w:rPr>
              <w:t>3</w:t>
            </w:r>
          </w:p>
        </w:tc>
        <w:tc>
          <w:tcPr>
            <w:tcW w:w="1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04DAE7AD">
            <w:pPr>
              <w:jc w:val="center"/>
              <w:rPr>
                <w:color w:val="000000"/>
                <w:sz w:val="21"/>
              </w:rPr>
            </w:pPr>
            <w:r>
              <w:rPr>
                <w:color w:val="000000"/>
                <w:kern w:val="0"/>
                <w:sz w:val="18"/>
                <w:szCs w:val="18"/>
              </w:rPr>
              <w:t>硝酸盐氮</w:t>
            </w:r>
          </w:p>
        </w:tc>
        <w:tc>
          <w:tcPr>
            <w:tcW w:w="772"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14361CB5">
            <w:pPr>
              <w:jc w:val="center"/>
              <w:rPr>
                <w:color w:val="000000"/>
                <w:sz w:val="21"/>
              </w:rPr>
            </w:pPr>
            <w:r>
              <w:rPr>
                <w:color w:val="000000"/>
                <w:kern w:val="0"/>
                <w:sz w:val="18"/>
                <w:szCs w:val="18"/>
              </w:rPr>
              <w:t>mg/L</w:t>
            </w:r>
          </w:p>
        </w:tc>
        <w:tc>
          <w:tcPr>
            <w:tcW w:w="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30EA67E0">
            <w:pPr>
              <w:jc w:val="center"/>
              <w:rPr>
                <w:color w:val="000000"/>
                <w:sz w:val="21"/>
              </w:rPr>
            </w:pPr>
            <w:r>
              <w:rPr>
                <w:color w:val="000000"/>
                <w:kern w:val="0"/>
                <w:sz w:val="18"/>
                <w:szCs w:val="18"/>
              </w:rPr>
              <w:t>0.08L</w:t>
            </w:r>
          </w:p>
        </w:tc>
        <w:tc>
          <w:tcPr>
            <w:tcW w:w="1537" w:type="dxa"/>
            <w:tcBorders>
              <w:top w:val="nil"/>
              <w:left w:val="nil"/>
              <w:bottom w:val="single" w:color="auto" w:sz="4" w:space="0"/>
              <w:right w:val="single" w:color="auto" w:sz="4" w:space="0"/>
            </w:tcBorders>
            <w:noWrap/>
            <w:tcMar>
              <w:top w:w="12" w:type="dxa"/>
              <w:left w:w="12" w:type="dxa"/>
              <w:bottom w:w="0" w:type="dxa"/>
              <w:right w:w="12" w:type="dxa"/>
            </w:tcMar>
            <w:vAlign w:val="center"/>
          </w:tcPr>
          <w:p w14:paraId="2D46324C">
            <w:pPr>
              <w:jc w:val="center"/>
              <w:rPr>
                <w:color w:val="000000"/>
                <w:kern w:val="0"/>
                <w:sz w:val="18"/>
                <w:szCs w:val="18"/>
              </w:rPr>
            </w:pPr>
            <w:r>
              <w:rPr>
                <w:color w:val="000000"/>
                <w:kern w:val="0"/>
                <w:sz w:val="18"/>
                <w:szCs w:val="18"/>
              </w:rPr>
              <w:t>0.08</w:t>
            </w:r>
          </w:p>
        </w:tc>
      </w:tr>
      <w:tr w14:paraId="64C0A4E7">
        <w:tblPrEx>
          <w:tblCellMar>
            <w:top w:w="0" w:type="dxa"/>
            <w:left w:w="0" w:type="dxa"/>
            <w:bottom w:w="0" w:type="dxa"/>
            <w:right w:w="0" w:type="dxa"/>
          </w:tblCellMar>
        </w:tblPrEx>
        <w:trPr>
          <w:trHeight w:val="276" w:hRule="atLeast"/>
        </w:trPr>
        <w:tc>
          <w:tcPr>
            <w:tcW w:w="457" w:type="pct"/>
            <w:tcBorders>
              <w:top w:val="nil"/>
              <w:left w:val="single" w:color="auto" w:sz="4" w:space="0"/>
              <w:bottom w:val="single" w:color="auto" w:sz="4" w:space="0"/>
              <w:right w:val="single" w:color="auto" w:sz="4" w:space="0"/>
            </w:tcBorders>
            <w:noWrap/>
            <w:tcMar>
              <w:top w:w="12" w:type="dxa"/>
              <w:left w:w="12" w:type="dxa"/>
              <w:bottom w:w="0" w:type="dxa"/>
              <w:right w:w="12" w:type="dxa"/>
            </w:tcMar>
            <w:vAlign w:val="center"/>
          </w:tcPr>
          <w:p w14:paraId="0D46343A">
            <w:pPr>
              <w:jc w:val="center"/>
              <w:textAlignment w:val="center"/>
              <w:rPr>
                <w:color w:val="000000"/>
                <w:sz w:val="21"/>
              </w:rPr>
            </w:pPr>
            <w:r>
              <w:rPr>
                <w:color w:val="000000"/>
                <w:kern w:val="0"/>
                <w:sz w:val="21"/>
              </w:rPr>
              <w:t>4</w:t>
            </w:r>
          </w:p>
        </w:tc>
        <w:tc>
          <w:tcPr>
            <w:tcW w:w="1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6C9378B2">
            <w:pPr>
              <w:jc w:val="center"/>
              <w:rPr>
                <w:color w:val="000000"/>
                <w:sz w:val="21"/>
              </w:rPr>
            </w:pPr>
            <w:r>
              <w:rPr>
                <w:bCs/>
                <w:color w:val="000000"/>
                <w:sz w:val="18"/>
                <w:szCs w:val="18"/>
              </w:rPr>
              <w:t>亚硝酸盐氮</w:t>
            </w:r>
          </w:p>
        </w:tc>
        <w:tc>
          <w:tcPr>
            <w:tcW w:w="772"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1A186BC7">
            <w:pPr>
              <w:jc w:val="center"/>
              <w:rPr>
                <w:color w:val="000000"/>
                <w:sz w:val="21"/>
              </w:rPr>
            </w:pPr>
            <w:r>
              <w:rPr>
                <w:color w:val="000000"/>
                <w:kern w:val="0"/>
                <w:sz w:val="18"/>
                <w:szCs w:val="18"/>
              </w:rPr>
              <w:t>mg/L</w:t>
            </w:r>
          </w:p>
        </w:tc>
        <w:tc>
          <w:tcPr>
            <w:tcW w:w="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634FF4EA">
            <w:pPr>
              <w:spacing w:line="300" w:lineRule="auto"/>
              <w:jc w:val="center"/>
              <w:rPr>
                <w:color w:val="000000"/>
                <w:sz w:val="21"/>
              </w:rPr>
            </w:pPr>
            <w:r>
              <w:rPr>
                <w:color w:val="000000"/>
                <w:kern w:val="0"/>
                <w:sz w:val="18"/>
                <w:szCs w:val="18"/>
              </w:rPr>
              <w:t>0.008</w:t>
            </w:r>
          </w:p>
        </w:tc>
        <w:tc>
          <w:tcPr>
            <w:tcW w:w="1537" w:type="dxa"/>
            <w:tcBorders>
              <w:top w:val="nil"/>
              <w:left w:val="nil"/>
              <w:bottom w:val="single" w:color="auto" w:sz="4" w:space="0"/>
              <w:right w:val="single" w:color="auto" w:sz="4" w:space="0"/>
            </w:tcBorders>
            <w:noWrap/>
            <w:tcMar>
              <w:top w:w="12" w:type="dxa"/>
              <w:left w:w="12" w:type="dxa"/>
              <w:bottom w:w="0" w:type="dxa"/>
              <w:right w:w="12" w:type="dxa"/>
            </w:tcMar>
            <w:vAlign w:val="center"/>
          </w:tcPr>
          <w:p w14:paraId="0EBF7FE0">
            <w:pPr>
              <w:jc w:val="center"/>
              <w:rPr>
                <w:color w:val="000000"/>
                <w:kern w:val="0"/>
                <w:sz w:val="18"/>
                <w:szCs w:val="18"/>
              </w:rPr>
            </w:pPr>
            <w:r>
              <w:rPr>
                <w:color w:val="000000"/>
                <w:kern w:val="0"/>
                <w:sz w:val="18"/>
                <w:szCs w:val="18"/>
              </w:rPr>
              <w:t>0.003</w:t>
            </w:r>
          </w:p>
        </w:tc>
      </w:tr>
      <w:tr w14:paraId="601C63B7">
        <w:tblPrEx>
          <w:tblCellMar>
            <w:top w:w="0" w:type="dxa"/>
            <w:left w:w="0" w:type="dxa"/>
            <w:bottom w:w="0" w:type="dxa"/>
            <w:right w:w="0" w:type="dxa"/>
          </w:tblCellMar>
        </w:tblPrEx>
        <w:trPr>
          <w:trHeight w:val="276" w:hRule="atLeast"/>
        </w:trPr>
        <w:tc>
          <w:tcPr>
            <w:tcW w:w="457" w:type="pct"/>
            <w:tcBorders>
              <w:top w:val="nil"/>
              <w:left w:val="single" w:color="auto" w:sz="4" w:space="0"/>
              <w:bottom w:val="single" w:color="auto" w:sz="4" w:space="0"/>
              <w:right w:val="single" w:color="auto" w:sz="4" w:space="0"/>
            </w:tcBorders>
            <w:noWrap/>
            <w:tcMar>
              <w:top w:w="12" w:type="dxa"/>
              <w:left w:w="12" w:type="dxa"/>
              <w:bottom w:w="0" w:type="dxa"/>
              <w:right w:w="12" w:type="dxa"/>
            </w:tcMar>
            <w:vAlign w:val="center"/>
          </w:tcPr>
          <w:p w14:paraId="6DB26BD1">
            <w:pPr>
              <w:jc w:val="center"/>
              <w:textAlignment w:val="center"/>
              <w:rPr>
                <w:color w:val="000000"/>
                <w:sz w:val="21"/>
              </w:rPr>
            </w:pPr>
            <w:r>
              <w:rPr>
                <w:color w:val="000000"/>
                <w:kern w:val="0"/>
                <w:sz w:val="21"/>
              </w:rPr>
              <w:t>5</w:t>
            </w:r>
          </w:p>
        </w:tc>
        <w:tc>
          <w:tcPr>
            <w:tcW w:w="1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4B71A441">
            <w:pPr>
              <w:jc w:val="center"/>
              <w:rPr>
                <w:color w:val="000000"/>
                <w:sz w:val="21"/>
              </w:rPr>
            </w:pPr>
            <w:r>
              <w:rPr>
                <w:color w:val="000000"/>
                <w:sz w:val="18"/>
                <w:szCs w:val="18"/>
              </w:rPr>
              <w:t>挥发酚(挥发性酚类)</w:t>
            </w:r>
          </w:p>
        </w:tc>
        <w:tc>
          <w:tcPr>
            <w:tcW w:w="772"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526D910D">
            <w:pPr>
              <w:jc w:val="center"/>
              <w:rPr>
                <w:color w:val="000000"/>
                <w:sz w:val="21"/>
              </w:rPr>
            </w:pPr>
            <w:r>
              <w:rPr>
                <w:color w:val="000000"/>
                <w:kern w:val="0"/>
                <w:sz w:val="18"/>
                <w:szCs w:val="18"/>
              </w:rPr>
              <w:t>mg/L</w:t>
            </w:r>
          </w:p>
        </w:tc>
        <w:tc>
          <w:tcPr>
            <w:tcW w:w="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5A830B94">
            <w:pPr>
              <w:spacing w:line="300" w:lineRule="auto"/>
              <w:jc w:val="center"/>
              <w:rPr>
                <w:color w:val="000000"/>
                <w:sz w:val="21"/>
              </w:rPr>
            </w:pPr>
            <w:r>
              <w:rPr>
                <w:color w:val="000000"/>
                <w:kern w:val="0"/>
                <w:sz w:val="18"/>
                <w:szCs w:val="18"/>
              </w:rPr>
              <w:t>0.0003L</w:t>
            </w:r>
          </w:p>
        </w:tc>
        <w:tc>
          <w:tcPr>
            <w:tcW w:w="1537" w:type="dxa"/>
            <w:tcBorders>
              <w:top w:val="nil"/>
              <w:left w:val="nil"/>
              <w:bottom w:val="single" w:color="auto" w:sz="4" w:space="0"/>
              <w:right w:val="single" w:color="auto" w:sz="4" w:space="0"/>
            </w:tcBorders>
            <w:noWrap/>
            <w:tcMar>
              <w:top w:w="12" w:type="dxa"/>
              <w:left w:w="12" w:type="dxa"/>
              <w:bottom w:w="0" w:type="dxa"/>
              <w:right w:w="12" w:type="dxa"/>
            </w:tcMar>
            <w:vAlign w:val="center"/>
          </w:tcPr>
          <w:p w14:paraId="3EFDDD03">
            <w:pPr>
              <w:jc w:val="center"/>
              <w:rPr>
                <w:color w:val="000000"/>
                <w:kern w:val="0"/>
                <w:sz w:val="18"/>
                <w:szCs w:val="18"/>
              </w:rPr>
            </w:pPr>
            <w:r>
              <w:rPr>
                <w:color w:val="000000"/>
                <w:kern w:val="0"/>
                <w:sz w:val="18"/>
                <w:szCs w:val="18"/>
              </w:rPr>
              <w:t>0.0003</w:t>
            </w:r>
          </w:p>
        </w:tc>
      </w:tr>
      <w:tr w14:paraId="78299B68">
        <w:tblPrEx>
          <w:tblCellMar>
            <w:top w:w="0" w:type="dxa"/>
            <w:left w:w="0" w:type="dxa"/>
            <w:bottom w:w="0" w:type="dxa"/>
            <w:right w:w="0" w:type="dxa"/>
          </w:tblCellMar>
        </w:tblPrEx>
        <w:trPr>
          <w:trHeight w:val="276" w:hRule="atLeast"/>
        </w:trPr>
        <w:tc>
          <w:tcPr>
            <w:tcW w:w="457" w:type="pct"/>
            <w:tcBorders>
              <w:top w:val="nil"/>
              <w:left w:val="single" w:color="auto" w:sz="4" w:space="0"/>
              <w:bottom w:val="single" w:color="auto" w:sz="4" w:space="0"/>
              <w:right w:val="single" w:color="auto" w:sz="4" w:space="0"/>
            </w:tcBorders>
            <w:noWrap/>
            <w:tcMar>
              <w:top w:w="12" w:type="dxa"/>
              <w:left w:w="12" w:type="dxa"/>
              <w:bottom w:w="0" w:type="dxa"/>
              <w:right w:w="12" w:type="dxa"/>
            </w:tcMar>
            <w:vAlign w:val="center"/>
          </w:tcPr>
          <w:p w14:paraId="7E7712F9">
            <w:pPr>
              <w:jc w:val="center"/>
              <w:textAlignment w:val="center"/>
              <w:rPr>
                <w:color w:val="000000"/>
                <w:sz w:val="21"/>
              </w:rPr>
            </w:pPr>
            <w:r>
              <w:rPr>
                <w:color w:val="000000"/>
                <w:kern w:val="0"/>
                <w:sz w:val="21"/>
              </w:rPr>
              <w:t>6</w:t>
            </w:r>
          </w:p>
        </w:tc>
        <w:tc>
          <w:tcPr>
            <w:tcW w:w="1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44C7C237">
            <w:pPr>
              <w:jc w:val="center"/>
              <w:rPr>
                <w:color w:val="000000"/>
                <w:sz w:val="21"/>
              </w:rPr>
            </w:pPr>
            <w:r>
              <w:rPr>
                <w:color w:val="000000"/>
                <w:kern w:val="0"/>
                <w:sz w:val="18"/>
                <w:szCs w:val="18"/>
              </w:rPr>
              <w:t>氰化物</w:t>
            </w:r>
          </w:p>
        </w:tc>
        <w:tc>
          <w:tcPr>
            <w:tcW w:w="772"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260C9E2B">
            <w:pPr>
              <w:jc w:val="center"/>
              <w:rPr>
                <w:color w:val="000000"/>
                <w:sz w:val="21"/>
              </w:rPr>
            </w:pPr>
            <w:r>
              <w:rPr>
                <w:color w:val="000000"/>
                <w:kern w:val="0"/>
                <w:sz w:val="18"/>
                <w:szCs w:val="18"/>
              </w:rPr>
              <w:t>mg/L</w:t>
            </w:r>
          </w:p>
        </w:tc>
        <w:tc>
          <w:tcPr>
            <w:tcW w:w="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1F81AE3F">
            <w:pPr>
              <w:jc w:val="center"/>
              <w:rPr>
                <w:color w:val="000000"/>
                <w:sz w:val="21"/>
              </w:rPr>
            </w:pPr>
            <w:r>
              <w:rPr>
                <w:color w:val="000000"/>
                <w:kern w:val="0"/>
                <w:sz w:val="18"/>
                <w:szCs w:val="18"/>
              </w:rPr>
              <w:t>0.004L</w:t>
            </w:r>
          </w:p>
        </w:tc>
        <w:tc>
          <w:tcPr>
            <w:tcW w:w="1537" w:type="dxa"/>
            <w:tcBorders>
              <w:top w:val="nil"/>
              <w:left w:val="nil"/>
              <w:bottom w:val="single" w:color="auto" w:sz="4" w:space="0"/>
              <w:right w:val="single" w:color="auto" w:sz="4" w:space="0"/>
            </w:tcBorders>
            <w:noWrap/>
            <w:tcMar>
              <w:top w:w="12" w:type="dxa"/>
              <w:left w:w="12" w:type="dxa"/>
              <w:bottom w:w="0" w:type="dxa"/>
              <w:right w:w="12" w:type="dxa"/>
            </w:tcMar>
            <w:vAlign w:val="center"/>
          </w:tcPr>
          <w:p w14:paraId="7857E8F1">
            <w:pPr>
              <w:jc w:val="center"/>
              <w:rPr>
                <w:color w:val="000000"/>
                <w:kern w:val="0"/>
                <w:sz w:val="18"/>
                <w:szCs w:val="18"/>
              </w:rPr>
            </w:pPr>
            <w:r>
              <w:rPr>
                <w:color w:val="000000"/>
                <w:kern w:val="0"/>
                <w:sz w:val="18"/>
                <w:szCs w:val="18"/>
              </w:rPr>
              <w:t>0.004</w:t>
            </w:r>
          </w:p>
        </w:tc>
      </w:tr>
      <w:tr w14:paraId="26F44DB8">
        <w:tblPrEx>
          <w:tblCellMar>
            <w:top w:w="0" w:type="dxa"/>
            <w:left w:w="0" w:type="dxa"/>
            <w:bottom w:w="0" w:type="dxa"/>
            <w:right w:w="0" w:type="dxa"/>
          </w:tblCellMar>
        </w:tblPrEx>
        <w:trPr>
          <w:trHeight w:val="276" w:hRule="atLeast"/>
        </w:trPr>
        <w:tc>
          <w:tcPr>
            <w:tcW w:w="457" w:type="pct"/>
            <w:tcBorders>
              <w:top w:val="nil"/>
              <w:left w:val="single" w:color="auto" w:sz="4" w:space="0"/>
              <w:bottom w:val="single" w:color="auto" w:sz="4" w:space="0"/>
              <w:right w:val="single" w:color="auto" w:sz="4" w:space="0"/>
            </w:tcBorders>
            <w:noWrap/>
            <w:tcMar>
              <w:top w:w="12" w:type="dxa"/>
              <w:left w:w="12" w:type="dxa"/>
              <w:bottom w:w="0" w:type="dxa"/>
              <w:right w:w="12" w:type="dxa"/>
            </w:tcMar>
            <w:vAlign w:val="center"/>
          </w:tcPr>
          <w:p w14:paraId="540BAC25">
            <w:pPr>
              <w:jc w:val="center"/>
              <w:textAlignment w:val="center"/>
              <w:rPr>
                <w:color w:val="000000"/>
                <w:sz w:val="21"/>
              </w:rPr>
            </w:pPr>
            <w:r>
              <w:rPr>
                <w:color w:val="000000"/>
                <w:kern w:val="0"/>
                <w:sz w:val="21"/>
              </w:rPr>
              <w:t>7</w:t>
            </w:r>
          </w:p>
        </w:tc>
        <w:tc>
          <w:tcPr>
            <w:tcW w:w="1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495B292D">
            <w:pPr>
              <w:jc w:val="center"/>
              <w:rPr>
                <w:color w:val="000000"/>
                <w:sz w:val="21"/>
              </w:rPr>
            </w:pPr>
            <w:r>
              <w:rPr>
                <w:color w:val="000000"/>
                <w:kern w:val="0"/>
                <w:sz w:val="18"/>
                <w:szCs w:val="18"/>
              </w:rPr>
              <w:t>砷</w:t>
            </w:r>
          </w:p>
        </w:tc>
        <w:tc>
          <w:tcPr>
            <w:tcW w:w="772"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5C04C439">
            <w:pPr>
              <w:jc w:val="center"/>
              <w:rPr>
                <w:color w:val="000000"/>
                <w:sz w:val="21"/>
              </w:rPr>
            </w:pPr>
            <w:r>
              <w:rPr>
                <w:color w:val="000000"/>
                <w:kern w:val="0"/>
                <w:sz w:val="18"/>
                <w:szCs w:val="18"/>
              </w:rPr>
              <w:t>mg/L</w:t>
            </w:r>
          </w:p>
        </w:tc>
        <w:tc>
          <w:tcPr>
            <w:tcW w:w="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6521FA60">
            <w:pPr>
              <w:spacing w:line="300" w:lineRule="auto"/>
              <w:jc w:val="center"/>
              <w:rPr>
                <w:color w:val="000000"/>
                <w:sz w:val="21"/>
              </w:rPr>
            </w:pPr>
            <w:r>
              <w:rPr>
                <w:color w:val="000000"/>
                <w:kern w:val="0"/>
                <w:sz w:val="18"/>
                <w:szCs w:val="18"/>
              </w:rPr>
              <w:t>0.0018</w:t>
            </w:r>
          </w:p>
        </w:tc>
        <w:tc>
          <w:tcPr>
            <w:tcW w:w="1537" w:type="dxa"/>
            <w:tcBorders>
              <w:top w:val="nil"/>
              <w:left w:val="nil"/>
              <w:bottom w:val="single" w:color="auto" w:sz="4" w:space="0"/>
              <w:right w:val="single" w:color="auto" w:sz="4" w:space="0"/>
            </w:tcBorders>
            <w:noWrap/>
            <w:tcMar>
              <w:top w:w="12" w:type="dxa"/>
              <w:left w:w="12" w:type="dxa"/>
              <w:bottom w:w="0" w:type="dxa"/>
              <w:right w:w="12" w:type="dxa"/>
            </w:tcMar>
            <w:vAlign w:val="center"/>
          </w:tcPr>
          <w:p w14:paraId="5B5B11FB">
            <w:pPr>
              <w:jc w:val="center"/>
              <w:rPr>
                <w:color w:val="000000"/>
                <w:kern w:val="0"/>
                <w:sz w:val="18"/>
                <w:szCs w:val="18"/>
              </w:rPr>
            </w:pPr>
            <w:r>
              <w:rPr>
                <w:color w:val="000000"/>
                <w:kern w:val="0"/>
                <w:sz w:val="18"/>
                <w:szCs w:val="18"/>
              </w:rPr>
              <w:t>0.0003</w:t>
            </w:r>
          </w:p>
        </w:tc>
      </w:tr>
      <w:tr w14:paraId="7C79FE24">
        <w:tblPrEx>
          <w:tblCellMar>
            <w:top w:w="0" w:type="dxa"/>
            <w:left w:w="0" w:type="dxa"/>
            <w:bottom w:w="0" w:type="dxa"/>
            <w:right w:w="0" w:type="dxa"/>
          </w:tblCellMar>
        </w:tblPrEx>
        <w:trPr>
          <w:trHeight w:val="276" w:hRule="atLeast"/>
        </w:trPr>
        <w:tc>
          <w:tcPr>
            <w:tcW w:w="457" w:type="pct"/>
            <w:tcBorders>
              <w:top w:val="nil"/>
              <w:left w:val="single" w:color="auto" w:sz="4" w:space="0"/>
              <w:bottom w:val="single" w:color="auto" w:sz="4" w:space="0"/>
              <w:right w:val="single" w:color="auto" w:sz="4" w:space="0"/>
            </w:tcBorders>
            <w:noWrap/>
            <w:tcMar>
              <w:top w:w="12" w:type="dxa"/>
              <w:left w:w="12" w:type="dxa"/>
              <w:bottom w:w="0" w:type="dxa"/>
              <w:right w:w="12" w:type="dxa"/>
            </w:tcMar>
            <w:vAlign w:val="center"/>
          </w:tcPr>
          <w:p w14:paraId="1B9C95F0">
            <w:pPr>
              <w:jc w:val="center"/>
              <w:textAlignment w:val="center"/>
              <w:rPr>
                <w:color w:val="000000"/>
                <w:sz w:val="21"/>
              </w:rPr>
            </w:pPr>
            <w:r>
              <w:rPr>
                <w:color w:val="000000"/>
                <w:kern w:val="0"/>
                <w:sz w:val="21"/>
              </w:rPr>
              <w:t>8</w:t>
            </w:r>
          </w:p>
        </w:tc>
        <w:tc>
          <w:tcPr>
            <w:tcW w:w="1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4D13F788">
            <w:pPr>
              <w:jc w:val="center"/>
              <w:rPr>
                <w:color w:val="000000"/>
                <w:sz w:val="21"/>
              </w:rPr>
            </w:pPr>
            <w:r>
              <w:rPr>
                <w:color w:val="000000"/>
                <w:kern w:val="0"/>
                <w:sz w:val="18"/>
                <w:szCs w:val="18"/>
              </w:rPr>
              <w:t>汞</w:t>
            </w:r>
          </w:p>
        </w:tc>
        <w:tc>
          <w:tcPr>
            <w:tcW w:w="772"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2D4B22C7">
            <w:pPr>
              <w:jc w:val="center"/>
              <w:rPr>
                <w:color w:val="000000"/>
                <w:sz w:val="21"/>
              </w:rPr>
            </w:pPr>
            <w:r>
              <w:rPr>
                <w:color w:val="000000"/>
                <w:kern w:val="0"/>
                <w:sz w:val="18"/>
                <w:szCs w:val="18"/>
              </w:rPr>
              <w:t>mg/L</w:t>
            </w:r>
          </w:p>
        </w:tc>
        <w:tc>
          <w:tcPr>
            <w:tcW w:w="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52591399">
            <w:pPr>
              <w:spacing w:line="300" w:lineRule="auto"/>
              <w:jc w:val="center"/>
              <w:rPr>
                <w:color w:val="000000"/>
                <w:sz w:val="21"/>
              </w:rPr>
            </w:pPr>
            <w:r>
              <w:rPr>
                <w:color w:val="000000"/>
                <w:kern w:val="0"/>
                <w:sz w:val="18"/>
                <w:szCs w:val="18"/>
              </w:rPr>
              <w:t>0.00004L</w:t>
            </w:r>
          </w:p>
        </w:tc>
        <w:tc>
          <w:tcPr>
            <w:tcW w:w="1537" w:type="dxa"/>
            <w:tcBorders>
              <w:top w:val="nil"/>
              <w:left w:val="nil"/>
              <w:bottom w:val="single" w:color="auto" w:sz="4" w:space="0"/>
              <w:right w:val="single" w:color="auto" w:sz="4" w:space="0"/>
            </w:tcBorders>
            <w:noWrap/>
            <w:tcMar>
              <w:top w:w="12" w:type="dxa"/>
              <w:left w:w="12" w:type="dxa"/>
              <w:bottom w:w="0" w:type="dxa"/>
              <w:right w:w="12" w:type="dxa"/>
            </w:tcMar>
            <w:vAlign w:val="center"/>
          </w:tcPr>
          <w:p w14:paraId="719141F8">
            <w:pPr>
              <w:jc w:val="center"/>
              <w:rPr>
                <w:color w:val="000000"/>
                <w:kern w:val="0"/>
                <w:sz w:val="18"/>
                <w:szCs w:val="18"/>
              </w:rPr>
            </w:pPr>
            <w:r>
              <w:rPr>
                <w:color w:val="000000"/>
                <w:kern w:val="0"/>
                <w:sz w:val="18"/>
                <w:szCs w:val="18"/>
              </w:rPr>
              <w:t>0.00004</w:t>
            </w:r>
          </w:p>
        </w:tc>
      </w:tr>
      <w:tr w14:paraId="113DAA9B">
        <w:tblPrEx>
          <w:tblCellMar>
            <w:top w:w="0" w:type="dxa"/>
            <w:left w:w="0" w:type="dxa"/>
            <w:bottom w:w="0" w:type="dxa"/>
            <w:right w:w="0" w:type="dxa"/>
          </w:tblCellMar>
        </w:tblPrEx>
        <w:trPr>
          <w:trHeight w:val="276" w:hRule="atLeast"/>
        </w:trPr>
        <w:tc>
          <w:tcPr>
            <w:tcW w:w="457" w:type="pct"/>
            <w:tcBorders>
              <w:top w:val="nil"/>
              <w:left w:val="single" w:color="auto" w:sz="4" w:space="0"/>
              <w:bottom w:val="single" w:color="auto" w:sz="4" w:space="0"/>
              <w:right w:val="single" w:color="auto" w:sz="4" w:space="0"/>
            </w:tcBorders>
            <w:noWrap/>
            <w:tcMar>
              <w:top w:w="12" w:type="dxa"/>
              <w:left w:w="12" w:type="dxa"/>
              <w:bottom w:w="0" w:type="dxa"/>
              <w:right w:w="12" w:type="dxa"/>
            </w:tcMar>
            <w:vAlign w:val="center"/>
          </w:tcPr>
          <w:p w14:paraId="4C73E85B">
            <w:pPr>
              <w:jc w:val="center"/>
              <w:textAlignment w:val="center"/>
              <w:rPr>
                <w:color w:val="000000"/>
                <w:sz w:val="21"/>
              </w:rPr>
            </w:pPr>
            <w:r>
              <w:rPr>
                <w:color w:val="000000"/>
                <w:kern w:val="0"/>
                <w:sz w:val="21"/>
              </w:rPr>
              <w:t>9</w:t>
            </w:r>
          </w:p>
        </w:tc>
        <w:tc>
          <w:tcPr>
            <w:tcW w:w="1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519F1618">
            <w:pPr>
              <w:spacing w:line="240" w:lineRule="atLeast"/>
              <w:jc w:val="center"/>
              <w:rPr>
                <w:color w:val="000000"/>
                <w:sz w:val="21"/>
              </w:rPr>
            </w:pPr>
            <w:r>
              <w:rPr>
                <w:color w:val="000000"/>
                <w:sz w:val="18"/>
              </w:rPr>
              <w:t>六价铬</w:t>
            </w:r>
          </w:p>
        </w:tc>
        <w:tc>
          <w:tcPr>
            <w:tcW w:w="772"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14CB9BC4">
            <w:pPr>
              <w:jc w:val="center"/>
              <w:rPr>
                <w:color w:val="000000"/>
                <w:sz w:val="21"/>
              </w:rPr>
            </w:pPr>
            <w:r>
              <w:rPr>
                <w:color w:val="000000"/>
                <w:kern w:val="0"/>
                <w:sz w:val="18"/>
                <w:szCs w:val="18"/>
              </w:rPr>
              <w:t>mg/L</w:t>
            </w:r>
          </w:p>
        </w:tc>
        <w:tc>
          <w:tcPr>
            <w:tcW w:w="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7376389B">
            <w:pPr>
              <w:spacing w:line="300" w:lineRule="auto"/>
              <w:jc w:val="center"/>
              <w:rPr>
                <w:color w:val="000000"/>
                <w:sz w:val="21"/>
              </w:rPr>
            </w:pPr>
            <w:r>
              <w:rPr>
                <w:color w:val="000000"/>
                <w:kern w:val="0"/>
                <w:sz w:val="18"/>
                <w:szCs w:val="18"/>
              </w:rPr>
              <w:t>0.004L</w:t>
            </w:r>
          </w:p>
        </w:tc>
        <w:tc>
          <w:tcPr>
            <w:tcW w:w="1537" w:type="dxa"/>
            <w:tcBorders>
              <w:top w:val="nil"/>
              <w:left w:val="nil"/>
              <w:bottom w:val="single" w:color="auto" w:sz="4" w:space="0"/>
              <w:right w:val="single" w:color="auto" w:sz="4" w:space="0"/>
            </w:tcBorders>
            <w:noWrap/>
            <w:tcMar>
              <w:top w:w="12" w:type="dxa"/>
              <w:left w:w="12" w:type="dxa"/>
              <w:bottom w:w="0" w:type="dxa"/>
              <w:right w:w="12" w:type="dxa"/>
            </w:tcMar>
            <w:vAlign w:val="center"/>
          </w:tcPr>
          <w:p w14:paraId="13632B90">
            <w:pPr>
              <w:jc w:val="center"/>
              <w:rPr>
                <w:color w:val="000000"/>
                <w:kern w:val="0"/>
                <w:sz w:val="18"/>
                <w:szCs w:val="18"/>
              </w:rPr>
            </w:pPr>
            <w:r>
              <w:rPr>
                <w:color w:val="000000"/>
                <w:kern w:val="0"/>
                <w:sz w:val="18"/>
                <w:szCs w:val="18"/>
              </w:rPr>
              <w:t>0.004</w:t>
            </w:r>
          </w:p>
        </w:tc>
      </w:tr>
      <w:tr w14:paraId="6877C09C">
        <w:tblPrEx>
          <w:tblCellMar>
            <w:top w:w="0" w:type="dxa"/>
            <w:left w:w="0" w:type="dxa"/>
            <w:bottom w:w="0" w:type="dxa"/>
            <w:right w:w="0" w:type="dxa"/>
          </w:tblCellMar>
        </w:tblPrEx>
        <w:trPr>
          <w:trHeight w:val="276" w:hRule="atLeast"/>
        </w:trPr>
        <w:tc>
          <w:tcPr>
            <w:tcW w:w="457" w:type="pct"/>
            <w:tcBorders>
              <w:top w:val="nil"/>
              <w:left w:val="single" w:color="auto" w:sz="4" w:space="0"/>
              <w:bottom w:val="single" w:color="auto" w:sz="4" w:space="0"/>
              <w:right w:val="single" w:color="auto" w:sz="4" w:space="0"/>
            </w:tcBorders>
            <w:noWrap/>
            <w:tcMar>
              <w:top w:w="12" w:type="dxa"/>
              <w:left w:w="12" w:type="dxa"/>
              <w:bottom w:w="0" w:type="dxa"/>
              <w:right w:w="12" w:type="dxa"/>
            </w:tcMar>
            <w:vAlign w:val="center"/>
          </w:tcPr>
          <w:p w14:paraId="58068782">
            <w:pPr>
              <w:jc w:val="center"/>
              <w:textAlignment w:val="center"/>
              <w:rPr>
                <w:color w:val="000000"/>
                <w:sz w:val="21"/>
              </w:rPr>
            </w:pPr>
            <w:r>
              <w:rPr>
                <w:color w:val="000000"/>
                <w:kern w:val="0"/>
                <w:sz w:val="21"/>
              </w:rPr>
              <w:t>10</w:t>
            </w:r>
          </w:p>
        </w:tc>
        <w:tc>
          <w:tcPr>
            <w:tcW w:w="1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35F6F202">
            <w:pPr>
              <w:jc w:val="center"/>
              <w:rPr>
                <w:color w:val="000000"/>
                <w:sz w:val="21"/>
              </w:rPr>
            </w:pPr>
            <w:r>
              <w:rPr>
                <w:bCs/>
                <w:color w:val="000000"/>
                <w:sz w:val="18"/>
                <w:szCs w:val="18"/>
              </w:rPr>
              <w:t>总硬度</w:t>
            </w:r>
          </w:p>
        </w:tc>
        <w:tc>
          <w:tcPr>
            <w:tcW w:w="772"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33010DF8">
            <w:pPr>
              <w:jc w:val="center"/>
              <w:rPr>
                <w:color w:val="000000"/>
                <w:sz w:val="21"/>
              </w:rPr>
            </w:pPr>
            <w:r>
              <w:rPr>
                <w:color w:val="000000"/>
                <w:kern w:val="0"/>
                <w:sz w:val="18"/>
                <w:szCs w:val="18"/>
              </w:rPr>
              <w:t>mg/L</w:t>
            </w:r>
          </w:p>
        </w:tc>
        <w:tc>
          <w:tcPr>
            <w:tcW w:w="923" w:type="pct"/>
            <w:tcBorders>
              <w:top w:val="nil"/>
              <w:left w:val="nil"/>
              <w:bottom w:val="single" w:color="auto" w:sz="4" w:space="0"/>
              <w:right w:val="single" w:color="auto" w:sz="4" w:space="0"/>
            </w:tcBorders>
            <w:noWrap/>
            <w:tcMar>
              <w:top w:w="12" w:type="dxa"/>
              <w:left w:w="12" w:type="dxa"/>
              <w:bottom w:w="0" w:type="dxa"/>
              <w:right w:w="12" w:type="dxa"/>
            </w:tcMar>
            <w:vAlign w:val="center"/>
          </w:tcPr>
          <w:p w14:paraId="2EC67353">
            <w:pPr>
              <w:spacing w:line="300" w:lineRule="auto"/>
              <w:jc w:val="center"/>
              <w:rPr>
                <w:color w:val="000000"/>
                <w:sz w:val="21"/>
              </w:rPr>
            </w:pPr>
            <w:r>
              <w:rPr>
                <w:color w:val="000000"/>
                <w:kern w:val="0"/>
                <w:sz w:val="18"/>
                <w:szCs w:val="18"/>
              </w:rPr>
              <w:t>40</w:t>
            </w:r>
          </w:p>
        </w:tc>
        <w:tc>
          <w:tcPr>
            <w:tcW w:w="1537" w:type="dxa"/>
            <w:tcBorders>
              <w:top w:val="nil"/>
              <w:left w:val="nil"/>
              <w:bottom w:val="single" w:color="auto" w:sz="4" w:space="0"/>
              <w:right w:val="single" w:color="auto" w:sz="4" w:space="0"/>
            </w:tcBorders>
            <w:noWrap/>
            <w:tcMar>
              <w:top w:w="12" w:type="dxa"/>
              <w:left w:w="12" w:type="dxa"/>
              <w:bottom w:w="0" w:type="dxa"/>
              <w:right w:w="12" w:type="dxa"/>
            </w:tcMar>
            <w:vAlign w:val="center"/>
          </w:tcPr>
          <w:p w14:paraId="518958B5">
            <w:pPr>
              <w:jc w:val="center"/>
              <w:rPr>
                <w:color w:val="000000"/>
                <w:kern w:val="0"/>
                <w:sz w:val="18"/>
                <w:szCs w:val="18"/>
              </w:rPr>
            </w:pPr>
            <w:r>
              <w:rPr>
                <w:color w:val="000000"/>
                <w:kern w:val="0"/>
                <w:sz w:val="18"/>
                <w:szCs w:val="18"/>
              </w:rPr>
              <w:t>5</w:t>
            </w:r>
          </w:p>
        </w:tc>
      </w:tr>
      <w:tr w14:paraId="58578DA0">
        <w:tblPrEx>
          <w:tblCellMar>
            <w:top w:w="0" w:type="dxa"/>
            <w:left w:w="0" w:type="dxa"/>
            <w:bottom w:w="0" w:type="dxa"/>
            <w:right w:w="0" w:type="dxa"/>
          </w:tblCellMar>
        </w:tblPrEx>
        <w:trPr>
          <w:trHeight w:val="276" w:hRule="atLeast"/>
        </w:trPr>
        <w:tc>
          <w:tcPr>
            <w:tcW w:w="457" w:type="pct"/>
            <w:tcBorders>
              <w:top w:val="single" w:color="auto" w:sz="4" w:space="0"/>
              <w:left w:val="single" w:color="auto" w:sz="4" w:space="0"/>
              <w:bottom w:val="single" w:color="auto" w:sz="4" w:space="0"/>
              <w:right w:val="single" w:color="auto" w:sz="4" w:space="0"/>
            </w:tcBorders>
            <w:noWrap/>
            <w:tcMar>
              <w:top w:w="12" w:type="dxa"/>
              <w:left w:w="12" w:type="dxa"/>
              <w:bottom w:w="0" w:type="dxa"/>
              <w:right w:w="12" w:type="dxa"/>
            </w:tcMar>
            <w:vAlign w:val="center"/>
          </w:tcPr>
          <w:p w14:paraId="0F444EFF">
            <w:pPr>
              <w:jc w:val="center"/>
              <w:textAlignment w:val="center"/>
              <w:rPr>
                <w:color w:val="000000"/>
                <w:sz w:val="21"/>
              </w:rPr>
            </w:pPr>
            <w:r>
              <w:rPr>
                <w:color w:val="000000"/>
                <w:kern w:val="0"/>
                <w:sz w:val="21"/>
              </w:rPr>
              <w:t>11</w:t>
            </w:r>
          </w:p>
        </w:tc>
        <w:tc>
          <w:tcPr>
            <w:tcW w:w="1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4AF110CA">
            <w:pPr>
              <w:jc w:val="center"/>
              <w:rPr>
                <w:color w:val="000000"/>
                <w:sz w:val="21"/>
              </w:rPr>
            </w:pPr>
            <w:r>
              <w:rPr>
                <w:color w:val="000000"/>
                <w:kern w:val="0"/>
                <w:sz w:val="18"/>
                <w:szCs w:val="18"/>
              </w:rPr>
              <w:t>铅</w:t>
            </w:r>
          </w:p>
        </w:tc>
        <w:tc>
          <w:tcPr>
            <w:tcW w:w="772"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14110F36">
            <w:pPr>
              <w:jc w:val="center"/>
              <w:rPr>
                <w:color w:val="000000"/>
                <w:sz w:val="21"/>
              </w:rPr>
            </w:pPr>
            <w:r>
              <w:rPr>
                <w:color w:val="000000"/>
                <w:kern w:val="0"/>
                <w:sz w:val="18"/>
                <w:szCs w:val="18"/>
              </w:rPr>
              <w:t>mg/L</w:t>
            </w:r>
          </w:p>
        </w:tc>
        <w:tc>
          <w:tcPr>
            <w:tcW w:w="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4B861401">
            <w:pPr>
              <w:spacing w:line="300" w:lineRule="auto"/>
              <w:jc w:val="center"/>
              <w:rPr>
                <w:color w:val="000000"/>
                <w:sz w:val="21"/>
              </w:rPr>
            </w:pPr>
            <w:r>
              <w:rPr>
                <w:color w:val="000000"/>
                <w:kern w:val="0"/>
                <w:sz w:val="18"/>
                <w:szCs w:val="18"/>
              </w:rPr>
              <w:t>0.001L</w:t>
            </w:r>
          </w:p>
        </w:tc>
        <w:tc>
          <w:tcPr>
            <w:tcW w:w="1537" w:type="dxa"/>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4CF31BE5">
            <w:pPr>
              <w:jc w:val="center"/>
              <w:rPr>
                <w:color w:val="000000"/>
                <w:kern w:val="0"/>
                <w:sz w:val="18"/>
                <w:szCs w:val="18"/>
              </w:rPr>
            </w:pPr>
            <w:r>
              <w:rPr>
                <w:color w:val="000000"/>
                <w:kern w:val="0"/>
                <w:sz w:val="18"/>
                <w:szCs w:val="18"/>
              </w:rPr>
              <w:t>0.001</w:t>
            </w:r>
          </w:p>
        </w:tc>
      </w:tr>
      <w:tr w14:paraId="7CDB5B23">
        <w:tblPrEx>
          <w:tblCellMar>
            <w:top w:w="0" w:type="dxa"/>
            <w:left w:w="0" w:type="dxa"/>
            <w:bottom w:w="0" w:type="dxa"/>
            <w:right w:w="0" w:type="dxa"/>
          </w:tblCellMar>
        </w:tblPrEx>
        <w:trPr>
          <w:trHeight w:val="276" w:hRule="atLeast"/>
        </w:trPr>
        <w:tc>
          <w:tcPr>
            <w:tcW w:w="457" w:type="pct"/>
            <w:tcBorders>
              <w:top w:val="single" w:color="auto" w:sz="4" w:space="0"/>
              <w:left w:val="single" w:color="auto" w:sz="4" w:space="0"/>
              <w:bottom w:val="single" w:color="auto" w:sz="4" w:space="0"/>
              <w:right w:val="single" w:color="auto" w:sz="4" w:space="0"/>
            </w:tcBorders>
            <w:noWrap/>
            <w:tcMar>
              <w:top w:w="12" w:type="dxa"/>
              <w:left w:w="12" w:type="dxa"/>
              <w:bottom w:w="0" w:type="dxa"/>
              <w:right w:w="12" w:type="dxa"/>
            </w:tcMar>
            <w:vAlign w:val="center"/>
          </w:tcPr>
          <w:p w14:paraId="21BC0CB9">
            <w:pPr>
              <w:jc w:val="center"/>
              <w:textAlignment w:val="center"/>
              <w:rPr>
                <w:color w:val="000000"/>
                <w:kern w:val="0"/>
                <w:sz w:val="21"/>
              </w:rPr>
            </w:pPr>
            <w:r>
              <w:rPr>
                <w:color w:val="000000"/>
                <w:kern w:val="0"/>
                <w:sz w:val="21"/>
              </w:rPr>
              <w:t>12</w:t>
            </w:r>
          </w:p>
        </w:tc>
        <w:tc>
          <w:tcPr>
            <w:tcW w:w="1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3F99D16B">
            <w:pPr>
              <w:jc w:val="center"/>
              <w:rPr>
                <w:color w:val="000000"/>
                <w:kern w:val="0"/>
                <w:sz w:val="21"/>
              </w:rPr>
            </w:pPr>
            <w:r>
              <w:rPr>
                <w:color w:val="000000"/>
                <w:kern w:val="0"/>
                <w:sz w:val="18"/>
                <w:szCs w:val="18"/>
              </w:rPr>
              <w:t>氟化物</w:t>
            </w:r>
          </w:p>
        </w:tc>
        <w:tc>
          <w:tcPr>
            <w:tcW w:w="772"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223A811B">
            <w:pPr>
              <w:jc w:val="center"/>
              <w:rPr>
                <w:color w:val="000000"/>
                <w:kern w:val="0"/>
                <w:sz w:val="21"/>
              </w:rPr>
            </w:pPr>
            <w:r>
              <w:rPr>
                <w:color w:val="000000"/>
                <w:kern w:val="0"/>
                <w:sz w:val="18"/>
                <w:szCs w:val="18"/>
              </w:rPr>
              <w:t>mg/L</w:t>
            </w:r>
          </w:p>
        </w:tc>
        <w:tc>
          <w:tcPr>
            <w:tcW w:w="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414F5496">
            <w:pPr>
              <w:spacing w:line="300" w:lineRule="auto"/>
              <w:jc w:val="center"/>
              <w:rPr>
                <w:color w:val="000000"/>
                <w:sz w:val="21"/>
              </w:rPr>
            </w:pPr>
            <w:r>
              <w:rPr>
                <w:color w:val="000000"/>
                <w:kern w:val="0"/>
                <w:sz w:val="18"/>
                <w:szCs w:val="18"/>
              </w:rPr>
              <w:t>0.44</w:t>
            </w:r>
          </w:p>
        </w:tc>
        <w:tc>
          <w:tcPr>
            <w:tcW w:w="1537" w:type="dxa"/>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13B18754">
            <w:pPr>
              <w:jc w:val="center"/>
              <w:rPr>
                <w:color w:val="000000"/>
                <w:kern w:val="0"/>
                <w:sz w:val="18"/>
                <w:szCs w:val="18"/>
              </w:rPr>
            </w:pPr>
            <w:r>
              <w:rPr>
                <w:color w:val="000000"/>
                <w:kern w:val="0"/>
                <w:sz w:val="18"/>
                <w:szCs w:val="18"/>
              </w:rPr>
              <w:t>0.05</w:t>
            </w:r>
          </w:p>
        </w:tc>
      </w:tr>
      <w:tr w14:paraId="0E4706A0">
        <w:tblPrEx>
          <w:tblCellMar>
            <w:top w:w="0" w:type="dxa"/>
            <w:left w:w="0" w:type="dxa"/>
            <w:bottom w:w="0" w:type="dxa"/>
            <w:right w:w="0" w:type="dxa"/>
          </w:tblCellMar>
        </w:tblPrEx>
        <w:trPr>
          <w:trHeight w:val="276" w:hRule="atLeast"/>
        </w:trPr>
        <w:tc>
          <w:tcPr>
            <w:tcW w:w="457" w:type="pct"/>
            <w:tcBorders>
              <w:top w:val="single" w:color="auto" w:sz="4" w:space="0"/>
              <w:left w:val="single" w:color="auto" w:sz="4" w:space="0"/>
              <w:bottom w:val="single" w:color="auto" w:sz="4" w:space="0"/>
              <w:right w:val="single" w:color="auto" w:sz="4" w:space="0"/>
            </w:tcBorders>
            <w:noWrap/>
            <w:tcMar>
              <w:top w:w="12" w:type="dxa"/>
              <w:left w:w="12" w:type="dxa"/>
              <w:bottom w:w="0" w:type="dxa"/>
              <w:right w:w="12" w:type="dxa"/>
            </w:tcMar>
            <w:vAlign w:val="center"/>
          </w:tcPr>
          <w:p w14:paraId="73AB563C">
            <w:pPr>
              <w:jc w:val="center"/>
              <w:textAlignment w:val="center"/>
              <w:rPr>
                <w:color w:val="000000"/>
                <w:kern w:val="0"/>
                <w:sz w:val="21"/>
              </w:rPr>
            </w:pPr>
            <w:r>
              <w:rPr>
                <w:color w:val="000000"/>
                <w:kern w:val="0"/>
                <w:sz w:val="21"/>
              </w:rPr>
              <w:t>13</w:t>
            </w:r>
          </w:p>
        </w:tc>
        <w:tc>
          <w:tcPr>
            <w:tcW w:w="1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5275D22A">
            <w:pPr>
              <w:jc w:val="center"/>
              <w:rPr>
                <w:color w:val="000000"/>
                <w:kern w:val="0"/>
                <w:sz w:val="21"/>
              </w:rPr>
            </w:pPr>
            <w:r>
              <w:rPr>
                <w:color w:val="000000"/>
                <w:kern w:val="0"/>
                <w:sz w:val="18"/>
                <w:szCs w:val="18"/>
              </w:rPr>
              <w:t>镉</w:t>
            </w:r>
          </w:p>
        </w:tc>
        <w:tc>
          <w:tcPr>
            <w:tcW w:w="772"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308F1D4B">
            <w:pPr>
              <w:jc w:val="center"/>
              <w:rPr>
                <w:color w:val="000000"/>
                <w:kern w:val="0"/>
                <w:sz w:val="21"/>
              </w:rPr>
            </w:pPr>
            <w:r>
              <w:rPr>
                <w:color w:val="000000"/>
                <w:kern w:val="0"/>
                <w:sz w:val="18"/>
                <w:szCs w:val="18"/>
              </w:rPr>
              <w:t>mg/L</w:t>
            </w:r>
          </w:p>
        </w:tc>
        <w:tc>
          <w:tcPr>
            <w:tcW w:w="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7DD4466D">
            <w:pPr>
              <w:spacing w:line="300" w:lineRule="auto"/>
              <w:jc w:val="center"/>
              <w:rPr>
                <w:color w:val="000000"/>
                <w:sz w:val="21"/>
              </w:rPr>
            </w:pPr>
            <w:r>
              <w:rPr>
                <w:color w:val="000000"/>
                <w:kern w:val="0"/>
                <w:sz w:val="18"/>
                <w:szCs w:val="18"/>
              </w:rPr>
              <w:t>0.0001L</w:t>
            </w:r>
          </w:p>
        </w:tc>
        <w:tc>
          <w:tcPr>
            <w:tcW w:w="1537" w:type="dxa"/>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06BF9719">
            <w:pPr>
              <w:jc w:val="center"/>
              <w:rPr>
                <w:color w:val="000000"/>
                <w:kern w:val="0"/>
                <w:sz w:val="18"/>
                <w:szCs w:val="18"/>
              </w:rPr>
            </w:pPr>
            <w:r>
              <w:rPr>
                <w:color w:val="000000"/>
                <w:kern w:val="0"/>
                <w:sz w:val="18"/>
                <w:szCs w:val="18"/>
              </w:rPr>
              <w:t>0.0001</w:t>
            </w:r>
          </w:p>
        </w:tc>
      </w:tr>
      <w:tr w14:paraId="32655A71">
        <w:tblPrEx>
          <w:tblCellMar>
            <w:top w:w="0" w:type="dxa"/>
            <w:left w:w="0" w:type="dxa"/>
            <w:bottom w:w="0" w:type="dxa"/>
            <w:right w:w="0" w:type="dxa"/>
          </w:tblCellMar>
        </w:tblPrEx>
        <w:trPr>
          <w:trHeight w:val="276" w:hRule="atLeast"/>
        </w:trPr>
        <w:tc>
          <w:tcPr>
            <w:tcW w:w="457" w:type="pct"/>
            <w:tcBorders>
              <w:top w:val="single" w:color="auto" w:sz="4" w:space="0"/>
              <w:left w:val="single" w:color="auto" w:sz="4" w:space="0"/>
              <w:bottom w:val="single" w:color="auto" w:sz="4" w:space="0"/>
              <w:right w:val="single" w:color="auto" w:sz="4" w:space="0"/>
            </w:tcBorders>
            <w:noWrap/>
            <w:tcMar>
              <w:top w:w="12" w:type="dxa"/>
              <w:left w:w="12" w:type="dxa"/>
              <w:bottom w:w="0" w:type="dxa"/>
              <w:right w:w="12" w:type="dxa"/>
            </w:tcMar>
            <w:vAlign w:val="center"/>
          </w:tcPr>
          <w:p w14:paraId="4F3608C1">
            <w:pPr>
              <w:jc w:val="center"/>
              <w:textAlignment w:val="center"/>
              <w:rPr>
                <w:color w:val="000000"/>
                <w:kern w:val="0"/>
                <w:sz w:val="21"/>
              </w:rPr>
            </w:pPr>
            <w:r>
              <w:rPr>
                <w:color w:val="000000"/>
                <w:kern w:val="0"/>
                <w:sz w:val="21"/>
              </w:rPr>
              <w:t>14</w:t>
            </w:r>
          </w:p>
        </w:tc>
        <w:tc>
          <w:tcPr>
            <w:tcW w:w="1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6BB6FCBC">
            <w:pPr>
              <w:jc w:val="center"/>
              <w:rPr>
                <w:color w:val="000000"/>
                <w:kern w:val="0"/>
                <w:sz w:val="21"/>
              </w:rPr>
            </w:pPr>
            <w:r>
              <w:rPr>
                <w:bCs/>
                <w:color w:val="000000"/>
                <w:sz w:val="18"/>
                <w:szCs w:val="18"/>
              </w:rPr>
              <w:t>铁</w:t>
            </w:r>
          </w:p>
        </w:tc>
        <w:tc>
          <w:tcPr>
            <w:tcW w:w="772"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1A9B3A76">
            <w:pPr>
              <w:jc w:val="center"/>
              <w:rPr>
                <w:color w:val="000000"/>
                <w:kern w:val="0"/>
                <w:sz w:val="21"/>
              </w:rPr>
            </w:pPr>
            <w:r>
              <w:rPr>
                <w:bCs/>
                <w:color w:val="000000"/>
                <w:sz w:val="18"/>
                <w:szCs w:val="18"/>
              </w:rPr>
              <w:t>mg/L</w:t>
            </w:r>
          </w:p>
        </w:tc>
        <w:tc>
          <w:tcPr>
            <w:tcW w:w="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3380EFBD">
            <w:pPr>
              <w:spacing w:line="300" w:lineRule="auto"/>
              <w:jc w:val="center"/>
              <w:rPr>
                <w:color w:val="000000"/>
                <w:sz w:val="21"/>
              </w:rPr>
            </w:pPr>
            <w:r>
              <w:rPr>
                <w:color w:val="000000"/>
                <w:kern w:val="0"/>
                <w:sz w:val="18"/>
                <w:szCs w:val="18"/>
              </w:rPr>
              <w:t>0.15</w:t>
            </w:r>
          </w:p>
        </w:tc>
        <w:tc>
          <w:tcPr>
            <w:tcW w:w="1537" w:type="dxa"/>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3CAB347A">
            <w:pPr>
              <w:jc w:val="center"/>
              <w:rPr>
                <w:color w:val="000000"/>
                <w:kern w:val="0"/>
                <w:sz w:val="18"/>
                <w:szCs w:val="18"/>
              </w:rPr>
            </w:pPr>
            <w:r>
              <w:rPr>
                <w:bCs/>
                <w:color w:val="000000"/>
                <w:sz w:val="18"/>
                <w:szCs w:val="18"/>
              </w:rPr>
              <w:t>0.03</w:t>
            </w:r>
          </w:p>
        </w:tc>
      </w:tr>
      <w:tr w14:paraId="41A2BF3D">
        <w:tblPrEx>
          <w:tblCellMar>
            <w:top w:w="0" w:type="dxa"/>
            <w:left w:w="0" w:type="dxa"/>
            <w:bottom w:w="0" w:type="dxa"/>
            <w:right w:w="0" w:type="dxa"/>
          </w:tblCellMar>
        </w:tblPrEx>
        <w:trPr>
          <w:trHeight w:val="276" w:hRule="atLeast"/>
        </w:trPr>
        <w:tc>
          <w:tcPr>
            <w:tcW w:w="457" w:type="pct"/>
            <w:tcBorders>
              <w:top w:val="single" w:color="auto" w:sz="4" w:space="0"/>
              <w:left w:val="single" w:color="auto" w:sz="4" w:space="0"/>
              <w:bottom w:val="single" w:color="auto" w:sz="4" w:space="0"/>
              <w:right w:val="single" w:color="auto" w:sz="4" w:space="0"/>
            </w:tcBorders>
            <w:noWrap/>
            <w:tcMar>
              <w:top w:w="12" w:type="dxa"/>
              <w:left w:w="12" w:type="dxa"/>
              <w:bottom w:w="0" w:type="dxa"/>
              <w:right w:w="12" w:type="dxa"/>
            </w:tcMar>
            <w:vAlign w:val="center"/>
          </w:tcPr>
          <w:p w14:paraId="03E48CA2">
            <w:pPr>
              <w:jc w:val="center"/>
              <w:textAlignment w:val="center"/>
              <w:rPr>
                <w:color w:val="000000"/>
                <w:kern w:val="0"/>
                <w:sz w:val="21"/>
              </w:rPr>
            </w:pPr>
            <w:r>
              <w:rPr>
                <w:color w:val="000000"/>
                <w:kern w:val="0"/>
                <w:sz w:val="21"/>
              </w:rPr>
              <w:t>15</w:t>
            </w:r>
          </w:p>
        </w:tc>
        <w:tc>
          <w:tcPr>
            <w:tcW w:w="1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7D2DF929">
            <w:pPr>
              <w:jc w:val="center"/>
              <w:rPr>
                <w:color w:val="000000"/>
                <w:kern w:val="0"/>
                <w:sz w:val="21"/>
              </w:rPr>
            </w:pPr>
            <w:r>
              <w:rPr>
                <w:bCs/>
                <w:color w:val="000000"/>
                <w:sz w:val="18"/>
                <w:szCs w:val="18"/>
              </w:rPr>
              <w:t>锰</w:t>
            </w:r>
          </w:p>
        </w:tc>
        <w:tc>
          <w:tcPr>
            <w:tcW w:w="772"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0A8F299A">
            <w:pPr>
              <w:jc w:val="center"/>
              <w:rPr>
                <w:color w:val="000000"/>
                <w:kern w:val="0"/>
                <w:sz w:val="21"/>
              </w:rPr>
            </w:pPr>
            <w:r>
              <w:rPr>
                <w:bCs/>
                <w:color w:val="000000"/>
                <w:sz w:val="18"/>
                <w:szCs w:val="18"/>
              </w:rPr>
              <w:t>mg/L</w:t>
            </w:r>
          </w:p>
        </w:tc>
        <w:tc>
          <w:tcPr>
            <w:tcW w:w="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7FCF63A0">
            <w:pPr>
              <w:spacing w:line="300" w:lineRule="auto"/>
              <w:jc w:val="center"/>
              <w:rPr>
                <w:color w:val="000000"/>
                <w:sz w:val="21"/>
              </w:rPr>
            </w:pPr>
            <w:r>
              <w:rPr>
                <w:color w:val="000000"/>
                <w:kern w:val="0"/>
                <w:sz w:val="18"/>
                <w:szCs w:val="18"/>
              </w:rPr>
              <w:t>0.01L</w:t>
            </w:r>
          </w:p>
        </w:tc>
        <w:tc>
          <w:tcPr>
            <w:tcW w:w="1537" w:type="dxa"/>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7621A6CB">
            <w:pPr>
              <w:jc w:val="center"/>
              <w:rPr>
                <w:color w:val="000000"/>
                <w:kern w:val="0"/>
                <w:sz w:val="18"/>
                <w:szCs w:val="18"/>
              </w:rPr>
            </w:pPr>
            <w:r>
              <w:rPr>
                <w:bCs/>
                <w:color w:val="000000"/>
                <w:sz w:val="18"/>
                <w:szCs w:val="18"/>
              </w:rPr>
              <w:t>0.01</w:t>
            </w:r>
          </w:p>
        </w:tc>
      </w:tr>
      <w:tr w14:paraId="3628CF4A">
        <w:tblPrEx>
          <w:tblCellMar>
            <w:top w:w="0" w:type="dxa"/>
            <w:left w:w="0" w:type="dxa"/>
            <w:bottom w:w="0" w:type="dxa"/>
            <w:right w:w="0" w:type="dxa"/>
          </w:tblCellMar>
        </w:tblPrEx>
        <w:trPr>
          <w:trHeight w:val="276" w:hRule="atLeast"/>
        </w:trPr>
        <w:tc>
          <w:tcPr>
            <w:tcW w:w="457" w:type="pct"/>
            <w:tcBorders>
              <w:top w:val="single" w:color="auto" w:sz="4" w:space="0"/>
              <w:left w:val="single" w:color="auto" w:sz="4" w:space="0"/>
              <w:bottom w:val="single" w:color="auto" w:sz="4" w:space="0"/>
              <w:right w:val="single" w:color="auto" w:sz="4" w:space="0"/>
            </w:tcBorders>
            <w:noWrap/>
            <w:tcMar>
              <w:top w:w="12" w:type="dxa"/>
              <w:left w:w="12" w:type="dxa"/>
              <w:bottom w:w="0" w:type="dxa"/>
              <w:right w:w="12" w:type="dxa"/>
            </w:tcMar>
            <w:vAlign w:val="center"/>
          </w:tcPr>
          <w:p w14:paraId="05ABE864">
            <w:pPr>
              <w:jc w:val="center"/>
              <w:textAlignment w:val="center"/>
              <w:rPr>
                <w:color w:val="000000"/>
                <w:kern w:val="0"/>
                <w:sz w:val="21"/>
              </w:rPr>
            </w:pPr>
            <w:r>
              <w:rPr>
                <w:color w:val="000000"/>
                <w:kern w:val="0"/>
                <w:sz w:val="21"/>
              </w:rPr>
              <w:t>16</w:t>
            </w:r>
          </w:p>
        </w:tc>
        <w:tc>
          <w:tcPr>
            <w:tcW w:w="1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0545607F">
            <w:pPr>
              <w:jc w:val="center"/>
              <w:rPr>
                <w:color w:val="000000"/>
                <w:kern w:val="0"/>
                <w:sz w:val="21"/>
              </w:rPr>
            </w:pPr>
            <w:r>
              <w:rPr>
                <w:bCs/>
                <w:color w:val="000000"/>
                <w:sz w:val="18"/>
                <w:szCs w:val="18"/>
              </w:rPr>
              <w:t>溶解性总固体</w:t>
            </w:r>
          </w:p>
        </w:tc>
        <w:tc>
          <w:tcPr>
            <w:tcW w:w="772"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48DCB3B1">
            <w:pPr>
              <w:jc w:val="center"/>
              <w:rPr>
                <w:color w:val="000000"/>
                <w:kern w:val="0"/>
                <w:sz w:val="21"/>
              </w:rPr>
            </w:pPr>
            <w:r>
              <w:rPr>
                <w:bCs/>
                <w:color w:val="000000"/>
                <w:sz w:val="18"/>
                <w:szCs w:val="18"/>
              </w:rPr>
              <w:t>mg/L</w:t>
            </w:r>
          </w:p>
        </w:tc>
        <w:tc>
          <w:tcPr>
            <w:tcW w:w="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5BD30E4E">
            <w:pPr>
              <w:spacing w:line="300" w:lineRule="auto"/>
              <w:jc w:val="center"/>
              <w:rPr>
                <w:color w:val="000000"/>
                <w:sz w:val="21"/>
              </w:rPr>
            </w:pPr>
            <w:r>
              <w:rPr>
                <w:color w:val="000000"/>
                <w:kern w:val="0"/>
                <w:sz w:val="18"/>
                <w:szCs w:val="18"/>
              </w:rPr>
              <w:t>67</w:t>
            </w:r>
          </w:p>
        </w:tc>
        <w:tc>
          <w:tcPr>
            <w:tcW w:w="1537" w:type="dxa"/>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55CC6648">
            <w:pPr>
              <w:jc w:val="center"/>
              <w:rPr>
                <w:color w:val="000000"/>
                <w:kern w:val="0"/>
                <w:sz w:val="18"/>
                <w:szCs w:val="18"/>
              </w:rPr>
            </w:pPr>
            <w:r>
              <w:rPr>
                <w:bCs/>
                <w:color w:val="000000"/>
                <w:sz w:val="18"/>
                <w:szCs w:val="18"/>
              </w:rPr>
              <w:t>4</w:t>
            </w:r>
          </w:p>
        </w:tc>
      </w:tr>
      <w:tr w14:paraId="2852ED80">
        <w:tblPrEx>
          <w:tblCellMar>
            <w:top w:w="0" w:type="dxa"/>
            <w:left w:w="0" w:type="dxa"/>
            <w:bottom w:w="0" w:type="dxa"/>
            <w:right w:w="0" w:type="dxa"/>
          </w:tblCellMar>
        </w:tblPrEx>
        <w:trPr>
          <w:trHeight w:val="276" w:hRule="atLeast"/>
        </w:trPr>
        <w:tc>
          <w:tcPr>
            <w:tcW w:w="457" w:type="pct"/>
            <w:tcBorders>
              <w:top w:val="single" w:color="auto" w:sz="4" w:space="0"/>
              <w:left w:val="single" w:color="auto" w:sz="4" w:space="0"/>
              <w:bottom w:val="single" w:color="auto" w:sz="4" w:space="0"/>
              <w:right w:val="single" w:color="auto" w:sz="4" w:space="0"/>
            </w:tcBorders>
            <w:noWrap/>
            <w:tcMar>
              <w:top w:w="12" w:type="dxa"/>
              <w:left w:w="12" w:type="dxa"/>
              <w:bottom w:w="0" w:type="dxa"/>
              <w:right w:w="12" w:type="dxa"/>
            </w:tcMar>
            <w:vAlign w:val="center"/>
          </w:tcPr>
          <w:p w14:paraId="23A72458">
            <w:pPr>
              <w:jc w:val="center"/>
              <w:textAlignment w:val="center"/>
              <w:rPr>
                <w:color w:val="000000"/>
                <w:kern w:val="0"/>
                <w:sz w:val="21"/>
              </w:rPr>
            </w:pPr>
            <w:r>
              <w:rPr>
                <w:color w:val="000000"/>
                <w:kern w:val="0"/>
                <w:sz w:val="21"/>
              </w:rPr>
              <w:t>17</w:t>
            </w:r>
          </w:p>
        </w:tc>
        <w:tc>
          <w:tcPr>
            <w:tcW w:w="1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6523E238">
            <w:pPr>
              <w:jc w:val="center"/>
              <w:rPr>
                <w:color w:val="000000"/>
                <w:kern w:val="0"/>
                <w:sz w:val="21"/>
              </w:rPr>
            </w:pPr>
            <w:r>
              <w:rPr>
                <w:color w:val="000000"/>
                <w:kern w:val="0"/>
                <w:sz w:val="18"/>
                <w:szCs w:val="18"/>
              </w:rPr>
              <w:t>高锰酸盐指数(耗氧量）</w:t>
            </w:r>
          </w:p>
        </w:tc>
        <w:tc>
          <w:tcPr>
            <w:tcW w:w="772"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231CDDF0">
            <w:pPr>
              <w:jc w:val="center"/>
              <w:rPr>
                <w:color w:val="000000"/>
                <w:kern w:val="0"/>
                <w:sz w:val="21"/>
              </w:rPr>
            </w:pPr>
            <w:r>
              <w:rPr>
                <w:color w:val="000000"/>
                <w:kern w:val="0"/>
                <w:sz w:val="18"/>
                <w:szCs w:val="18"/>
              </w:rPr>
              <w:t>mg/L</w:t>
            </w:r>
          </w:p>
        </w:tc>
        <w:tc>
          <w:tcPr>
            <w:tcW w:w="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2203CD6B">
            <w:pPr>
              <w:spacing w:line="300" w:lineRule="auto"/>
              <w:jc w:val="center"/>
              <w:rPr>
                <w:color w:val="000000"/>
                <w:sz w:val="21"/>
              </w:rPr>
            </w:pPr>
            <w:r>
              <w:rPr>
                <w:color w:val="000000"/>
                <w:kern w:val="0"/>
                <w:sz w:val="18"/>
                <w:szCs w:val="18"/>
              </w:rPr>
              <w:t>1.8</w:t>
            </w:r>
          </w:p>
        </w:tc>
        <w:tc>
          <w:tcPr>
            <w:tcW w:w="1537" w:type="dxa"/>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0B35BB27">
            <w:pPr>
              <w:jc w:val="center"/>
              <w:rPr>
                <w:color w:val="000000"/>
                <w:kern w:val="0"/>
                <w:sz w:val="18"/>
                <w:szCs w:val="18"/>
              </w:rPr>
            </w:pPr>
            <w:r>
              <w:rPr>
                <w:color w:val="000000"/>
                <w:kern w:val="0"/>
                <w:sz w:val="18"/>
                <w:szCs w:val="18"/>
              </w:rPr>
              <w:t>0.5</w:t>
            </w:r>
          </w:p>
        </w:tc>
      </w:tr>
      <w:tr w14:paraId="197A4F6A">
        <w:tblPrEx>
          <w:tblCellMar>
            <w:top w:w="0" w:type="dxa"/>
            <w:left w:w="0" w:type="dxa"/>
            <w:bottom w:w="0" w:type="dxa"/>
            <w:right w:w="0" w:type="dxa"/>
          </w:tblCellMar>
        </w:tblPrEx>
        <w:trPr>
          <w:trHeight w:val="276" w:hRule="atLeast"/>
        </w:trPr>
        <w:tc>
          <w:tcPr>
            <w:tcW w:w="457" w:type="pct"/>
            <w:tcBorders>
              <w:top w:val="single" w:color="auto" w:sz="4" w:space="0"/>
              <w:left w:val="single" w:color="auto" w:sz="4" w:space="0"/>
              <w:bottom w:val="single" w:color="auto" w:sz="4" w:space="0"/>
              <w:right w:val="single" w:color="auto" w:sz="4" w:space="0"/>
            </w:tcBorders>
            <w:noWrap/>
            <w:tcMar>
              <w:top w:w="12" w:type="dxa"/>
              <w:left w:w="12" w:type="dxa"/>
              <w:bottom w:w="0" w:type="dxa"/>
              <w:right w:w="12" w:type="dxa"/>
            </w:tcMar>
            <w:vAlign w:val="center"/>
          </w:tcPr>
          <w:p w14:paraId="26D4089B">
            <w:pPr>
              <w:jc w:val="center"/>
              <w:textAlignment w:val="center"/>
              <w:rPr>
                <w:color w:val="000000"/>
                <w:kern w:val="0"/>
                <w:sz w:val="21"/>
              </w:rPr>
            </w:pPr>
            <w:r>
              <w:rPr>
                <w:color w:val="000000"/>
                <w:kern w:val="0"/>
                <w:sz w:val="21"/>
              </w:rPr>
              <w:t>18</w:t>
            </w:r>
          </w:p>
        </w:tc>
        <w:tc>
          <w:tcPr>
            <w:tcW w:w="1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6E099AAA">
            <w:pPr>
              <w:jc w:val="center"/>
              <w:rPr>
                <w:color w:val="000000"/>
                <w:kern w:val="0"/>
                <w:sz w:val="21"/>
              </w:rPr>
            </w:pPr>
            <w:r>
              <w:rPr>
                <w:color w:val="000000"/>
                <w:kern w:val="0"/>
                <w:sz w:val="18"/>
                <w:szCs w:val="18"/>
              </w:rPr>
              <w:t>硫酸盐</w:t>
            </w:r>
          </w:p>
        </w:tc>
        <w:tc>
          <w:tcPr>
            <w:tcW w:w="772"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7FDA59FF">
            <w:pPr>
              <w:jc w:val="center"/>
              <w:rPr>
                <w:color w:val="000000"/>
                <w:kern w:val="0"/>
                <w:sz w:val="21"/>
              </w:rPr>
            </w:pPr>
            <w:r>
              <w:rPr>
                <w:color w:val="000000"/>
                <w:kern w:val="0"/>
                <w:sz w:val="18"/>
                <w:szCs w:val="18"/>
              </w:rPr>
              <w:t>mg/L</w:t>
            </w:r>
          </w:p>
        </w:tc>
        <w:tc>
          <w:tcPr>
            <w:tcW w:w="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2E5E4AF8">
            <w:pPr>
              <w:spacing w:line="300" w:lineRule="auto"/>
              <w:jc w:val="center"/>
              <w:rPr>
                <w:color w:val="000000"/>
                <w:sz w:val="21"/>
              </w:rPr>
            </w:pPr>
            <w:r>
              <w:rPr>
                <w:color w:val="000000"/>
                <w:kern w:val="0"/>
                <w:sz w:val="18"/>
                <w:szCs w:val="18"/>
              </w:rPr>
              <w:t>8L</w:t>
            </w:r>
          </w:p>
        </w:tc>
        <w:tc>
          <w:tcPr>
            <w:tcW w:w="1537" w:type="dxa"/>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6E1AE26C">
            <w:pPr>
              <w:jc w:val="center"/>
              <w:rPr>
                <w:color w:val="000000"/>
                <w:kern w:val="0"/>
                <w:sz w:val="18"/>
                <w:szCs w:val="18"/>
              </w:rPr>
            </w:pPr>
            <w:r>
              <w:rPr>
                <w:color w:val="000000"/>
                <w:kern w:val="0"/>
                <w:sz w:val="18"/>
                <w:szCs w:val="18"/>
              </w:rPr>
              <w:t>8</w:t>
            </w:r>
          </w:p>
        </w:tc>
      </w:tr>
      <w:tr w14:paraId="47617C06">
        <w:tblPrEx>
          <w:tblCellMar>
            <w:top w:w="0" w:type="dxa"/>
            <w:left w:w="0" w:type="dxa"/>
            <w:bottom w:w="0" w:type="dxa"/>
            <w:right w:w="0" w:type="dxa"/>
          </w:tblCellMar>
        </w:tblPrEx>
        <w:trPr>
          <w:trHeight w:val="276" w:hRule="atLeast"/>
        </w:trPr>
        <w:tc>
          <w:tcPr>
            <w:tcW w:w="457" w:type="pct"/>
            <w:tcBorders>
              <w:top w:val="single" w:color="auto" w:sz="4" w:space="0"/>
              <w:left w:val="single" w:color="auto" w:sz="4" w:space="0"/>
              <w:bottom w:val="single" w:color="auto" w:sz="4" w:space="0"/>
              <w:right w:val="single" w:color="auto" w:sz="4" w:space="0"/>
            </w:tcBorders>
            <w:noWrap/>
            <w:tcMar>
              <w:top w:w="12" w:type="dxa"/>
              <w:left w:w="12" w:type="dxa"/>
              <w:bottom w:w="0" w:type="dxa"/>
              <w:right w:w="12" w:type="dxa"/>
            </w:tcMar>
            <w:vAlign w:val="center"/>
          </w:tcPr>
          <w:p w14:paraId="148B3B89">
            <w:pPr>
              <w:jc w:val="center"/>
              <w:textAlignment w:val="center"/>
              <w:rPr>
                <w:color w:val="000000"/>
                <w:kern w:val="0"/>
                <w:sz w:val="21"/>
              </w:rPr>
            </w:pPr>
            <w:r>
              <w:rPr>
                <w:color w:val="000000"/>
                <w:kern w:val="0"/>
                <w:sz w:val="21"/>
              </w:rPr>
              <w:t>19</w:t>
            </w:r>
          </w:p>
        </w:tc>
        <w:tc>
          <w:tcPr>
            <w:tcW w:w="1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663306B4">
            <w:pPr>
              <w:pStyle w:val="131"/>
              <w:jc w:val="center"/>
              <w:rPr>
                <w:rFonts w:ascii="Times New Roman"/>
                <w:sz w:val="21"/>
              </w:rPr>
            </w:pPr>
            <w:r>
              <w:rPr>
                <w:rFonts w:ascii="Times New Roman"/>
                <w:sz w:val="18"/>
                <w:szCs w:val="18"/>
              </w:rPr>
              <w:t>氯化物</w:t>
            </w:r>
          </w:p>
        </w:tc>
        <w:tc>
          <w:tcPr>
            <w:tcW w:w="772"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77B0404C">
            <w:pPr>
              <w:jc w:val="center"/>
              <w:rPr>
                <w:color w:val="000000"/>
                <w:kern w:val="0"/>
                <w:sz w:val="21"/>
              </w:rPr>
            </w:pPr>
            <w:r>
              <w:rPr>
                <w:color w:val="000000"/>
                <w:kern w:val="0"/>
                <w:sz w:val="18"/>
                <w:szCs w:val="18"/>
              </w:rPr>
              <w:t>mg/L</w:t>
            </w:r>
          </w:p>
        </w:tc>
        <w:tc>
          <w:tcPr>
            <w:tcW w:w="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7171E850">
            <w:pPr>
              <w:spacing w:line="300" w:lineRule="auto"/>
              <w:jc w:val="center"/>
              <w:rPr>
                <w:color w:val="000000"/>
                <w:sz w:val="21"/>
              </w:rPr>
            </w:pPr>
            <w:r>
              <w:rPr>
                <w:color w:val="000000"/>
                <w:kern w:val="0"/>
                <w:sz w:val="18"/>
                <w:szCs w:val="18"/>
              </w:rPr>
              <w:t>4</w:t>
            </w:r>
          </w:p>
        </w:tc>
        <w:tc>
          <w:tcPr>
            <w:tcW w:w="1537" w:type="dxa"/>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6E70C785">
            <w:pPr>
              <w:jc w:val="center"/>
              <w:rPr>
                <w:color w:val="000000"/>
                <w:kern w:val="0"/>
                <w:sz w:val="18"/>
                <w:szCs w:val="18"/>
              </w:rPr>
            </w:pPr>
            <w:r>
              <w:rPr>
                <w:color w:val="000000"/>
                <w:kern w:val="0"/>
                <w:sz w:val="18"/>
                <w:szCs w:val="18"/>
              </w:rPr>
              <w:t>3</w:t>
            </w:r>
          </w:p>
        </w:tc>
      </w:tr>
      <w:tr w14:paraId="0B627834">
        <w:tblPrEx>
          <w:tblCellMar>
            <w:top w:w="0" w:type="dxa"/>
            <w:left w:w="0" w:type="dxa"/>
            <w:bottom w:w="0" w:type="dxa"/>
            <w:right w:w="0" w:type="dxa"/>
          </w:tblCellMar>
        </w:tblPrEx>
        <w:trPr>
          <w:trHeight w:val="276" w:hRule="atLeast"/>
        </w:trPr>
        <w:tc>
          <w:tcPr>
            <w:tcW w:w="457" w:type="pct"/>
            <w:tcBorders>
              <w:top w:val="single" w:color="auto" w:sz="4" w:space="0"/>
              <w:left w:val="single" w:color="auto" w:sz="4" w:space="0"/>
              <w:bottom w:val="single" w:color="auto" w:sz="4" w:space="0"/>
              <w:right w:val="single" w:color="auto" w:sz="4" w:space="0"/>
            </w:tcBorders>
            <w:noWrap/>
            <w:tcMar>
              <w:top w:w="12" w:type="dxa"/>
              <w:left w:w="12" w:type="dxa"/>
              <w:bottom w:w="0" w:type="dxa"/>
              <w:right w:w="12" w:type="dxa"/>
            </w:tcMar>
            <w:vAlign w:val="center"/>
          </w:tcPr>
          <w:p w14:paraId="513DA3D6">
            <w:pPr>
              <w:jc w:val="center"/>
              <w:textAlignment w:val="center"/>
              <w:rPr>
                <w:color w:val="000000"/>
                <w:kern w:val="0"/>
                <w:sz w:val="21"/>
              </w:rPr>
            </w:pPr>
            <w:r>
              <w:rPr>
                <w:color w:val="000000"/>
                <w:kern w:val="0"/>
                <w:sz w:val="21"/>
              </w:rPr>
              <w:t>20</w:t>
            </w:r>
          </w:p>
        </w:tc>
        <w:tc>
          <w:tcPr>
            <w:tcW w:w="1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5DE3FF8E">
            <w:pPr>
              <w:jc w:val="center"/>
              <w:rPr>
                <w:color w:val="000000"/>
                <w:kern w:val="0"/>
                <w:sz w:val="21"/>
              </w:rPr>
            </w:pPr>
            <w:r>
              <w:rPr>
                <w:bCs/>
                <w:color w:val="000000"/>
                <w:sz w:val="18"/>
                <w:szCs w:val="18"/>
              </w:rPr>
              <w:t>总大肠菌群</w:t>
            </w:r>
          </w:p>
        </w:tc>
        <w:tc>
          <w:tcPr>
            <w:tcW w:w="772"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1016E5B5">
            <w:pPr>
              <w:jc w:val="center"/>
              <w:rPr>
                <w:color w:val="000000"/>
                <w:kern w:val="0"/>
                <w:sz w:val="21"/>
              </w:rPr>
            </w:pPr>
            <w:r>
              <w:rPr>
                <w:color w:val="000000"/>
                <w:kern w:val="0"/>
                <w:sz w:val="18"/>
                <w:szCs w:val="18"/>
              </w:rPr>
              <w:t>MPN/100ml</w:t>
            </w:r>
          </w:p>
        </w:tc>
        <w:tc>
          <w:tcPr>
            <w:tcW w:w="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6C8EFA49">
            <w:pPr>
              <w:spacing w:line="300" w:lineRule="auto"/>
              <w:jc w:val="center"/>
              <w:rPr>
                <w:color w:val="000000"/>
                <w:sz w:val="21"/>
              </w:rPr>
            </w:pPr>
            <w:r>
              <w:rPr>
                <w:color w:val="000000"/>
                <w:kern w:val="0"/>
                <w:sz w:val="18"/>
                <w:szCs w:val="18"/>
              </w:rPr>
              <w:t>2L</w:t>
            </w:r>
          </w:p>
        </w:tc>
        <w:tc>
          <w:tcPr>
            <w:tcW w:w="1537" w:type="dxa"/>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5FD7D21F">
            <w:pPr>
              <w:jc w:val="center"/>
              <w:rPr>
                <w:color w:val="000000"/>
                <w:kern w:val="0"/>
                <w:sz w:val="18"/>
                <w:szCs w:val="18"/>
              </w:rPr>
            </w:pPr>
            <w:r>
              <w:rPr>
                <w:color w:val="000000"/>
                <w:kern w:val="0"/>
                <w:sz w:val="18"/>
                <w:szCs w:val="18"/>
              </w:rPr>
              <w:t>20</w:t>
            </w:r>
          </w:p>
        </w:tc>
      </w:tr>
      <w:tr w14:paraId="0D30FE9C">
        <w:tblPrEx>
          <w:tblCellMar>
            <w:top w:w="0" w:type="dxa"/>
            <w:left w:w="0" w:type="dxa"/>
            <w:bottom w:w="0" w:type="dxa"/>
            <w:right w:w="0" w:type="dxa"/>
          </w:tblCellMar>
        </w:tblPrEx>
        <w:trPr>
          <w:trHeight w:val="276" w:hRule="atLeast"/>
        </w:trPr>
        <w:tc>
          <w:tcPr>
            <w:tcW w:w="457" w:type="pct"/>
            <w:tcBorders>
              <w:top w:val="single" w:color="auto" w:sz="4" w:space="0"/>
              <w:left w:val="single" w:color="auto" w:sz="4" w:space="0"/>
              <w:bottom w:val="single" w:color="auto" w:sz="4" w:space="0"/>
              <w:right w:val="single" w:color="auto" w:sz="4" w:space="0"/>
            </w:tcBorders>
            <w:noWrap/>
            <w:tcMar>
              <w:top w:w="12" w:type="dxa"/>
              <w:left w:w="12" w:type="dxa"/>
              <w:bottom w:w="0" w:type="dxa"/>
              <w:right w:w="12" w:type="dxa"/>
            </w:tcMar>
            <w:vAlign w:val="center"/>
          </w:tcPr>
          <w:p w14:paraId="6DC8A3D3">
            <w:pPr>
              <w:jc w:val="center"/>
              <w:textAlignment w:val="center"/>
              <w:rPr>
                <w:color w:val="000000"/>
                <w:kern w:val="0"/>
                <w:sz w:val="21"/>
              </w:rPr>
            </w:pPr>
            <w:r>
              <w:rPr>
                <w:color w:val="000000"/>
                <w:kern w:val="0"/>
                <w:sz w:val="21"/>
              </w:rPr>
              <w:t>21</w:t>
            </w:r>
          </w:p>
        </w:tc>
        <w:tc>
          <w:tcPr>
            <w:tcW w:w="1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6E276F6B">
            <w:pPr>
              <w:jc w:val="center"/>
              <w:rPr>
                <w:color w:val="000000"/>
                <w:kern w:val="0"/>
                <w:sz w:val="21"/>
              </w:rPr>
            </w:pPr>
            <w:r>
              <w:rPr>
                <w:color w:val="000000"/>
                <w:sz w:val="18"/>
                <w:szCs w:val="18"/>
              </w:rPr>
              <w:t>细菌总数</w:t>
            </w:r>
          </w:p>
        </w:tc>
        <w:tc>
          <w:tcPr>
            <w:tcW w:w="772"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01D22B0A">
            <w:pPr>
              <w:jc w:val="center"/>
              <w:rPr>
                <w:color w:val="000000"/>
                <w:kern w:val="0"/>
                <w:sz w:val="21"/>
              </w:rPr>
            </w:pPr>
            <w:r>
              <w:rPr>
                <w:color w:val="000000"/>
                <w:sz w:val="18"/>
                <w:szCs w:val="18"/>
              </w:rPr>
              <w:t>CFU/ml</w:t>
            </w:r>
          </w:p>
        </w:tc>
        <w:tc>
          <w:tcPr>
            <w:tcW w:w="923" w:type="pct"/>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666045F6">
            <w:pPr>
              <w:spacing w:line="300" w:lineRule="auto"/>
              <w:jc w:val="center"/>
              <w:rPr>
                <w:color w:val="000000"/>
                <w:sz w:val="21"/>
              </w:rPr>
            </w:pPr>
            <w:r>
              <w:rPr>
                <w:color w:val="000000"/>
                <w:kern w:val="0"/>
                <w:sz w:val="18"/>
                <w:szCs w:val="18"/>
              </w:rPr>
              <w:t>88</w:t>
            </w:r>
          </w:p>
        </w:tc>
        <w:tc>
          <w:tcPr>
            <w:tcW w:w="1537" w:type="dxa"/>
            <w:tcBorders>
              <w:top w:val="single" w:color="auto" w:sz="4" w:space="0"/>
              <w:left w:val="nil"/>
              <w:bottom w:val="single" w:color="auto" w:sz="4" w:space="0"/>
              <w:right w:val="single" w:color="auto" w:sz="4" w:space="0"/>
            </w:tcBorders>
            <w:noWrap/>
            <w:tcMar>
              <w:top w:w="12" w:type="dxa"/>
              <w:left w:w="12" w:type="dxa"/>
              <w:bottom w:w="0" w:type="dxa"/>
              <w:right w:w="12" w:type="dxa"/>
            </w:tcMar>
            <w:vAlign w:val="center"/>
          </w:tcPr>
          <w:p w14:paraId="3A21D5EC">
            <w:pPr>
              <w:jc w:val="center"/>
              <w:rPr>
                <w:color w:val="000000"/>
                <w:kern w:val="0"/>
                <w:sz w:val="18"/>
                <w:szCs w:val="18"/>
              </w:rPr>
            </w:pPr>
            <w:r>
              <w:rPr>
                <w:color w:val="000000"/>
                <w:sz w:val="18"/>
                <w:szCs w:val="18"/>
              </w:rPr>
              <w:t>1</w:t>
            </w:r>
          </w:p>
        </w:tc>
      </w:tr>
    </w:tbl>
    <w:p w14:paraId="22E0F96C">
      <w:pPr>
        <w:rPr>
          <w:color w:val="000000"/>
        </w:rPr>
      </w:pPr>
      <w:r>
        <w:rPr>
          <w:b/>
          <w:bCs/>
          <w:color w:val="000000"/>
          <w:kern w:val="0"/>
          <w:sz w:val="18"/>
          <w:szCs w:val="18"/>
        </w:rPr>
        <w:t>备注：</w:t>
      </w:r>
      <w:r>
        <w:rPr>
          <w:color w:val="000000"/>
          <w:kern w:val="0"/>
          <w:sz w:val="18"/>
          <w:szCs w:val="18"/>
        </w:rPr>
        <w:t>当该项目监测结果低于方法检出限时，报所使用方法的检出限值，并加标志位L。</w:t>
      </w:r>
    </w:p>
    <w:p w14:paraId="1B5E2254">
      <w:pPr>
        <w:ind w:firstLine="480"/>
        <w:rPr>
          <w:color w:val="000000"/>
        </w:rPr>
      </w:pPr>
      <w:r>
        <w:rPr>
          <w:color w:val="000000"/>
        </w:rPr>
        <w:t>由上述监测结果可知，包气带表层土壤浸出液中各污染指标低于《污水综合排放标准》(GB8978-1996)中表4污染物排放浓度限值，说明该地块包气带受污染程度小。</w:t>
      </w:r>
    </w:p>
    <w:p w14:paraId="0EAF279F">
      <w:pPr>
        <w:pStyle w:val="771"/>
        <w:rPr>
          <w:color w:val="000000"/>
        </w:rPr>
      </w:pPr>
      <w:r>
        <w:rPr>
          <w:color w:val="000000"/>
        </w:rPr>
        <w:t>4.3.4 声环境质量现状评价</w:t>
      </w:r>
      <w:bookmarkEnd w:id="454"/>
      <w:bookmarkEnd w:id="455"/>
      <w:bookmarkEnd w:id="456"/>
      <w:bookmarkEnd w:id="457"/>
      <w:bookmarkEnd w:id="458"/>
      <w:bookmarkEnd w:id="459"/>
      <w:bookmarkEnd w:id="460"/>
      <w:bookmarkEnd w:id="461"/>
      <w:bookmarkEnd w:id="462"/>
    </w:p>
    <w:p w14:paraId="7F019054">
      <w:pPr>
        <w:tabs>
          <w:tab w:val="left" w:pos="993"/>
        </w:tabs>
        <w:ind w:firstLine="480"/>
        <w:rPr>
          <w:color w:val="000000"/>
        </w:rPr>
      </w:pPr>
      <w:r>
        <w:rPr>
          <w:color w:val="000000"/>
          <w:szCs w:val="20"/>
        </w:rPr>
        <w:t>本次评价委托</w:t>
      </w:r>
      <w:r>
        <w:rPr>
          <w:color w:val="000000"/>
        </w:rPr>
        <w:t>重庆智海科技有限责任公司对项目所在厂区周边的声环境质量现状进行了实测，监测情况如下：</w:t>
      </w:r>
    </w:p>
    <w:p w14:paraId="71AB4E20">
      <w:pPr>
        <w:tabs>
          <w:tab w:val="left" w:pos="993"/>
        </w:tabs>
        <w:ind w:firstLine="480"/>
        <w:rPr>
          <w:color w:val="000000"/>
        </w:rPr>
      </w:pPr>
      <w:r>
        <w:rPr>
          <w:color w:val="000000"/>
        </w:rPr>
        <w:t>（1）监测因子：昼、夜等效声级。</w:t>
      </w:r>
    </w:p>
    <w:p w14:paraId="2CC16D54">
      <w:pPr>
        <w:tabs>
          <w:tab w:val="left" w:pos="993"/>
        </w:tabs>
        <w:ind w:firstLine="480"/>
        <w:rPr>
          <w:color w:val="000000"/>
        </w:rPr>
      </w:pPr>
      <w:r>
        <w:rPr>
          <w:color w:val="000000"/>
        </w:rPr>
        <w:t>（2）监测布点：设2个监测点位，分别位于东北厂界1#、西北厂界2#，监测点位置详见附图3。</w:t>
      </w:r>
    </w:p>
    <w:p w14:paraId="6CA7A1CF">
      <w:pPr>
        <w:tabs>
          <w:tab w:val="left" w:pos="993"/>
        </w:tabs>
        <w:ind w:firstLine="480"/>
        <w:rPr>
          <w:color w:val="000000"/>
        </w:rPr>
      </w:pPr>
      <w:r>
        <w:rPr>
          <w:color w:val="000000"/>
        </w:rPr>
        <w:t>（3）监测时间和频次：2022年3月14日至15日连续监测2天，昼、夜各监测一次。</w:t>
      </w:r>
    </w:p>
    <w:p w14:paraId="37E4E1CC">
      <w:pPr>
        <w:tabs>
          <w:tab w:val="left" w:pos="993"/>
        </w:tabs>
        <w:ind w:firstLine="480"/>
        <w:rPr>
          <w:color w:val="000000"/>
        </w:rPr>
      </w:pPr>
      <w:r>
        <w:rPr>
          <w:color w:val="000000"/>
        </w:rPr>
        <w:t>（4）评价标准：项目所在区域（N1、N2）噪声现状评价执行《声环境质量标准》（GB3096-2008）中3类标准。</w:t>
      </w:r>
    </w:p>
    <w:p w14:paraId="459BC859">
      <w:pPr>
        <w:tabs>
          <w:tab w:val="left" w:pos="993"/>
        </w:tabs>
        <w:ind w:firstLine="480"/>
        <w:rPr>
          <w:color w:val="000000"/>
        </w:rPr>
      </w:pPr>
      <w:r>
        <w:rPr>
          <w:color w:val="000000"/>
        </w:rPr>
        <w:t>（5）监测结果</w:t>
      </w:r>
    </w:p>
    <w:p w14:paraId="39952568">
      <w:pPr>
        <w:tabs>
          <w:tab w:val="left" w:pos="993"/>
        </w:tabs>
        <w:ind w:firstLine="480"/>
        <w:rPr>
          <w:snapToGrid w:val="0"/>
          <w:color w:val="000000"/>
        </w:rPr>
      </w:pPr>
      <w:r>
        <w:rPr>
          <w:color w:val="000000"/>
        </w:rPr>
        <w:t>本</w:t>
      </w:r>
      <w:r>
        <w:rPr>
          <w:snapToGrid w:val="0"/>
          <w:color w:val="000000"/>
        </w:rPr>
        <w:t>项目区域声环境质量现状监测及评价结果见表4.3.4。</w:t>
      </w:r>
    </w:p>
    <w:p w14:paraId="7F1547FF">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4</w:t>
      </w:r>
      <w:r>
        <w:rPr>
          <w:rFonts w:ascii="Times New Roman" w:hAnsi="Times New Roman"/>
          <w:color w:val="000000"/>
        </w:rPr>
        <w:t>.3.4  环境噪声监测结果统计表</w:t>
      </w:r>
    </w:p>
    <w:tbl>
      <w:tblPr>
        <w:tblStyle w:val="73"/>
        <w:tblW w:w="50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89"/>
        <w:gridCol w:w="1593"/>
        <w:gridCol w:w="1593"/>
        <w:gridCol w:w="1004"/>
        <w:gridCol w:w="1006"/>
        <w:gridCol w:w="846"/>
        <w:gridCol w:w="850"/>
        <w:gridCol w:w="992"/>
      </w:tblGrid>
      <w:tr w14:paraId="0078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6" w:type="pct"/>
            <w:vMerge w:val="restart"/>
            <w:vAlign w:val="center"/>
          </w:tcPr>
          <w:p w14:paraId="5A9D8AF9">
            <w:pPr>
              <w:tabs>
                <w:tab w:val="left" w:pos="1693"/>
              </w:tabs>
              <w:spacing w:line="240" w:lineRule="auto"/>
              <w:jc w:val="center"/>
              <w:rPr>
                <w:color w:val="000000"/>
                <w:sz w:val="21"/>
              </w:rPr>
            </w:pPr>
            <w:r>
              <w:rPr>
                <w:color w:val="000000"/>
                <w:sz w:val="21"/>
              </w:rPr>
              <w:t>编号</w:t>
            </w:r>
          </w:p>
        </w:tc>
        <w:tc>
          <w:tcPr>
            <w:tcW w:w="887" w:type="pct"/>
            <w:vMerge w:val="restart"/>
            <w:vAlign w:val="center"/>
          </w:tcPr>
          <w:p w14:paraId="3A714193">
            <w:pPr>
              <w:tabs>
                <w:tab w:val="left" w:pos="1693"/>
              </w:tabs>
              <w:spacing w:line="240" w:lineRule="auto"/>
              <w:jc w:val="center"/>
              <w:rPr>
                <w:color w:val="000000"/>
                <w:sz w:val="21"/>
              </w:rPr>
            </w:pPr>
            <w:r>
              <w:rPr>
                <w:color w:val="000000"/>
                <w:sz w:val="21"/>
              </w:rPr>
              <w:t>监测点位置</w:t>
            </w:r>
          </w:p>
        </w:tc>
        <w:tc>
          <w:tcPr>
            <w:tcW w:w="887" w:type="pct"/>
            <w:vMerge w:val="restart"/>
            <w:vAlign w:val="center"/>
          </w:tcPr>
          <w:p w14:paraId="26E9F987">
            <w:pPr>
              <w:tabs>
                <w:tab w:val="left" w:pos="1693"/>
              </w:tabs>
              <w:spacing w:line="240" w:lineRule="auto"/>
              <w:jc w:val="center"/>
              <w:rPr>
                <w:color w:val="000000"/>
                <w:sz w:val="21"/>
              </w:rPr>
            </w:pPr>
            <w:r>
              <w:rPr>
                <w:color w:val="000000"/>
                <w:sz w:val="21"/>
              </w:rPr>
              <w:t>监测日期</w:t>
            </w:r>
          </w:p>
        </w:tc>
        <w:tc>
          <w:tcPr>
            <w:tcW w:w="1119" w:type="pct"/>
            <w:gridSpan w:val="2"/>
            <w:vAlign w:val="center"/>
          </w:tcPr>
          <w:p w14:paraId="7FC436CE">
            <w:pPr>
              <w:tabs>
                <w:tab w:val="left" w:pos="1693"/>
              </w:tabs>
              <w:spacing w:line="240" w:lineRule="auto"/>
              <w:jc w:val="center"/>
              <w:rPr>
                <w:color w:val="000000"/>
                <w:sz w:val="21"/>
              </w:rPr>
            </w:pPr>
            <w:r>
              <w:rPr>
                <w:color w:val="000000"/>
                <w:sz w:val="21"/>
              </w:rPr>
              <w:t>监测结果 dB（A）</w:t>
            </w:r>
          </w:p>
        </w:tc>
        <w:tc>
          <w:tcPr>
            <w:tcW w:w="944" w:type="pct"/>
            <w:gridSpan w:val="2"/>
            <w:vAlign w:val="center"/>
          </w:tcPr>
          <w:p w14:paraId="4BE75A32">
            <w:pPr>
              <w:tabs>
                <w:tab w:val="left" w:pos="1693"/>
              </w:tabs>
              <w:spacing w:line="240" w:lineRule="auto"/>
              <w:jc w:val="center"/>
              <w:rPr>
                <w:color w:val="000000"/>
                <w:sz w:val="21"/>
              </w:rPr>
            </w:pPr>
            <w:r>
              <w:rPr>
                <w:color w:val="000000"/>
                <w:sz w:val="21"/>
              </w:rPr>
              <w:t>标准值 dB（A）</w:t>
            </w:r>
          </w:p>
        </w:tc>
        <w:tc>
          <w:tcPr>
            <w:tcW w:w="552" w:type="pct"/>
            <w:vMerge w:val="restart"/>
            <w:vAlign w:val="center"/>
          </w:tcPr>
          <w:p w14:paraId="146C0CCC">
            <w:pPr>
              <w:tabs>
                <w:tab w:val="left" w:pos="1693"/>
              </w:tabs>
              <w:spacing w:line="240" w:lineRule="auto"/>
              <w:jc w:val="center"/>
              <w:rPr>
                <w:color w:val="000000"/>
                <w:sz w:val="21"/>
              </w:rPr>
            </w:pPr>
            <w:r>
              <w:rPr>
                <w:color w:val="000000"/>
                <w:sz w:val="21"/>
              </w:rPr>
              <w:t>达标情况</w:t>
            </w:r>
          </w:p>
        </w:tc>
      </w:tr>
      <w:tr w14:paraId="6B6C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6" w:type="pct"/>
            <w:vMerge w:val="continue"/>
            <w:vAlign w:val="center"/>
          </w:tcPr>
          <w:p w14:paraId="7F816F68">
            <w:pPr>
              <w:tabs>
                <w:tab w:val="left" w:pos="1693"/>
              </w:tabs>
              <w:spacing w:line="240" w:lineRule="auto"/>
              <w:jc w:val="center"/>
              <w:rPr>
                <w:color w:val="000000"/>
                <w:sz w:val="21"/>
              </w:rPr>
            </w:pPr>
          </w:p>
        </w:tc>
        <w:tc>
          <w:tcPr>
            <w:tcW w:w="887" w:type="pct"/>
            <w:vMerge w:val="continue"/>
            <w:vAlign w:val="center"/>
          </w:tcPr>
          <w:p w14:paraId="369FD3A0">
            <w:pPr>
              <w:tabs>
                <w:tab w:val="left" w:pos="1693"/>
              </w:tabs>
              <w:spacing w:line="240" w:lineRule="auto"/>
              <w:jc w:val="center"/>
              <w:rPr>
                <w:color w:val="000000"/>
                <w:sz w:val="21"/>
              </w:rPr>
            </w:pPr>
          </w:p>
        </w:tc>
        <w:tc>
          <w:tcPr>
            <w:tcW w:w="887" w:type="pct"/>
            <w:vMerge w:val="continue"/>
            <w:vAlign w:val="center"/>
          </w:tcPr>
          <w:p w14:paraId="19DA647F">
            <w:pPr>
              <w:tabs>
                <w:tab w:val="left" w:pos="1693"/>
              </w:tabs>
              <w:spacing w:line="240" w:lineRule="auto"/>
              <w:jc w:val="center"/>
              <w:rPr>
                <w:color w:val="000000"/>
                <w:sz w:val="21"/>
              </w:rPr>
            </w:pPr>
          </w:p>
        </w:tc>
        <w:tc>
          <w:tcPr>
            <w:tcW w:w="559" w:type="pct"/>
            <w:vAlign w:val="center"/>
          </w:tcPr>
          <w:p w14:paraId="4DB23E0D">
            <w:pPr>
              <w:tabs>
                <w:tab w:val="left" w:pos="1693"/>
              </w:tabs>
              <w:spacing w:line="240" w:lineRule="auto"/>
              <w:jc w:val="center"/>
              <w:rPr>
                <w:color w:val="000000"/>
                <w:sz w:val="21"/>
              </w:rPr>
            </w:pPr>
            <w:r>
              <w:rPr>
                <w:color w:val="000000"/>
                <w:sz w:val="21"/>
              </w:rPr>
              <w:t>昼间</w:t>
            </w:r>
          </w:p>
        </w:tc>
        <w:tc>
          <w:tcPr>
            <w:tcW w:w="560" w:type="pct"/>
            <w:vAlign w:val="center"/>
          </w:tcPr>
          <w:p w14:paraId="207FFB18">
            <w:pPr>
              <w:tabs>
                <w:tab w:val="left" w:pos="1693"/>
              </w:tabs>
              <w:spacing w:line="240" w:lineRule="auto"/>
              <w:jc w:val="center"/>
              <w:rPr>
                <w:color w:val="000000"/>
                <w:sz w:val="21"/>
              </w:rPr>
            </w:pPr>
            <w:r>
              <w:rPr>
                <w:color w:val="000000"/>
                <w:sz w:val="21"/>
              </w:rPr>
              <w:t>夜间</w:t>
            </w:r>
          </w:p>
        </w:tc>
        <w:tc>
          <w:tcPr>
            <w:tcW w:w="471" w:type="pct"/>
            <w:vAlign w:val="center"/>
          </w:tcPr>
          <w:p w14:paraId="3F56E241">
            <w:pPr>
              <w:tabs>
                <w:tab w:val="left" w:pos="1693"/>
              </w:tabs>
              <w:spacing w:line="240" w:lineRule="auto"/>
              <w:jc w:val="center"/>
              <w:rPr>
                <w:color w:val="000000"/>
                <w:sz w:val="21"/>
              </w:rPr>
            </w:pPr>
            <w:r>
              <w:rPr>
                <w:color w:val="000000"/>
                <w:sz w:val="21"/>
              </w:rPr>
              <w:t>昼间</w:t>
            </w:r>
          </w:p>
        </w:tc>
        <w:tc>
          <w:tcPr>
            <w:tcW w:w="473" w:type="pct"/>
            <w:vAlign w:val="center"/>
          </w:tcPr>
          <w:p w14:paraId="6C88484B">
            <w:pPr>
              <w:tabs>
                <w:tab w:val="left" w:pos="1693"/>
              </w:tabs>
              <w:spacing w:line="240" w:lineRule="auto"/>
              <w:jc w:val="center"/>
              <w:rPr>
                <w:color w:val="000000"/>
                <w:sz w:val="21"/>
              </w:rPr>
            </w:pPr>
            <w:r>
              <w:rPr>
                <w:color w:val="000000"/>
                <w:sz w:val="21"/>
              </w:rPr>
              <w:t>夜间</w:t>
            </w:r>
          </w:p>
        </w:tc>
        <w:tc>
          <w:tcPr>
            <w:tcW w:w="552" w:type="pct"/>
            <w:vMerge w:val="continue"/>
            <w:vAlign w:val="center"/>
          </w:tcPr>
          <w:p w14:paraId="587902CD">
            <w:pPr>
              <w:tabs>
                <w:tab w:val="left" w:pos="1693"/>
              </w:tabs>
              <w:spacing w:line="240" w:lineRule="auto"/>
              <w:jc w:val="center"/>
              <w:rPr>
                <w:color w:val="000000"/>
                <w:sz w:val="21"/>
              </w:rPr>
            </w:pPr>
          </w:p>
        </w:tc>
      </w:tr>
      <w:tr w14:paraId="5129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6" w:type="pct"/>
            <w:vMerge w:val="restart"/>
            <w:vAlign w:val="center"/>
          </w:tcPr>
          <w:p w14:paraId="43FEF64F">
            <w:pPr>
              <w:tabs>
                <w:tab w:val="left" w:pos="1693"/>
              </w:tabs>
              <w:spacing w:line="240" w:lineRule="auto"/>
              <w:jc w:val="center"/>
              <w:rPr>
                <w:color w:val="000000"/>
                <w:sz w:val="21"/>
              </w:rPr>
            </w:pPr>
            <w:r>
              <w:rPr>
                <w:color w:val="000000"/>
                <w:sz w:val="21"/>
              </w:rPr>
              <w:t>N1</w:t>
            </w:r>
          </w:p>
        </w:tc>
        <w:tc>
          <w:tcPr>
            <w:tcW w:w="887" w:type="pct"/>
            <w:vMerge w:val="restart"/>
            <w:vAlign w:val="center"/>
          </w:tcPr>
          <w:p w14:paraId="4F2B96F9">
            <w:pPr>
              <w:tabs>
                <w:tab w:val="left" w:pos="1693"/>
              </w:tabs>
              <w:spacing w:line="240" w:lineRule="auto"/>
              <w:jc w:val="center"/>
              <w:rPr>
                <w:color w:val="000000"/>
                <w:sz w:val="21"/>
              </w:rPr>
            </w:pPr>
            <w:r>
              <w:rPr>
                <w:color w:val="000000"/>
                <w:sz w:val="21"/>
              </w:rPr>
              <w:t>东北厂界</w:t>
            </w:r>
          </w:p>
        </w:tc>
        <w:tc>
          <w:tcPr>
            <w:tcW w:w="1592" w:type="dxa"/>
            <w:vAlign w:val="center"/>
          </w:tcPr>
          <w:p w14:paraId="29B70A6B">
            <w:pPr>
              <w:tabs>
                <w:tab w:val="left" w:pos="1693"/>
              </w:tabs>
              <w:spacing w:line="240" w:lineRule="auto"/>
              <w:jc w:val="center"/>
              <w:rPr>
                <w:color w:val="000000"/>
                <w:sz w:val="21"/>
              </w:rPr>
            </w:pPr>
            <w:r>
              <w:rPr>
                <w:color w:val="000000"/>
                <w:sz w:val="21"/>
              </w:rPr>
              <w:t>2022年3月14日</w:t>
            </w:r>
          </w:p>
        </w:tc>
        <w:tc>
          <w:tcPr>
            <w:tcW w:w="1003" w:type="dxa"/>
            <w:vAlign w:val="center"/>
          </w:tcPr>
          <w:p w14:paraId="7F377D6D">
            <w:pPr>
              <w:tabs>
                <w:tab w:val="left" w:pos="1693"/>
              </w:tabs>
              <w:spacing w:line="240" w:lineRule="auto"/>
              <w:jc w:val="center"/>
              <w:rPr>
                <w:color w:val="000000"/>
                <w:sz w:val="21"/>
              </w:rPr>
            </w:pPr>
            <w:r>
              <w:rPr>
                <w:color w:val="000000"/>
                <w:sz w:val="21"/>
              </w:rPr>
              <w:t>55</w:t>
            </w:r>
          </w:p>
        </w:tc>
        <w:tc>
          <w:tcPr>
            <w:tcW w:w="1005" w:type="dxa"/>
            <w:vAlign w:val="center"/>
          </w:tcPr>
          <w:p w14:paraId="1370925E">
            <w:pPr>
              <w:tabs>
                <w:tab w:val="left" w:pos="1693"/>
              </w:tabs>
              <w:spacing w:line="240" w:lineRule="auto"/>
              <w:jc w:val="center"/>
              <w:rPr>
                <w:color w:val="000000"/>
                <w:sz w:val="21"/>
              </w:rPr>
            </w:pPr>
            <w:r>
              <w:rPr>
                <w:color w:val="000000"/>
                <w:sz w:val="21"/>
              </w:rPr>
              <w:t>46</w:t>
            </w:r>
          </w:p>
        </w:tc>
        <w:tc>
          <w:tcPr>
            <w:tcW w:w="471" w:type="pct"/>
            <w:vMerge w:val="restart"/>
            <w:vAlign w:val="center"/>
          </w:tcPr>
          <w:p w14:paraId="6BFFA0CD">
            <w:pPr>
              <w:tabs>
                <w:tab w:val="left" w:pos="1693"/>
              </w:tabs>
              <w:spacing w:line="240" w:lineRule="auto"/>
              <w:jc w:val="center"/>
              <w:rPr>
                <w:color w:val="000000"/>
                <w:sz w:val="21"/>
              </w:rPr>
            </w:pPr>
            <w:r>
              <w:rPr>
                <w:color w:val="000000"/>
                <w:sz w:val="21"/>
              </w:rPr>
              <w:t>65</w:t>
            </w:r>
          </w:p>
        </w:tc>
        <w:tc>
          <w:tcPr>
            <w:tcW w:w="473" w:type="pct"/>
            <w:vMerge w:val="restart"/>
            <w:vAlign w:val="center"/>
          </w:tcPr>
          <w:p w14:paraId="4B001DF9">
            <w:pPr>
              <w:tabs>
                <w:tab w:val="left" w:pos="1693"/>
              </w:tabs>
              <w:spacing w:line="240" w:lineRule="auto"/>
              <w:jc w:val="center"/>
              <w:rPr>
                <w:color w:val="000000"/>
                <w:sz w:val="21"/>
              </w:rPr>
            </w:pPr>
            <w:r>
              <w:rPr>
                <w:color w:val="000000"/>
                <w:sz w:val="21"/>
              </w:rPr>
              <w:t>55</w:t>
            </w:r>
          </w:p>
        </w:tc>
        <w:tc>
          <w:tcPr>
            <w:tcW w:w="552" w:type="pct"/>
            <w:vAlign w:val="center"/>
          </w:tcPr>
          <w:p w14:paraId="59FBC1CE">
            <w:pPr>
              <w:tabs>
                <w:tab w:val="left" w:pos="1693"/>
              </w:tabs>
              <w:spacing w:line="240" w:lineRule="auto"/>
              <w:jc w:val="center"/>
              <w:rPr>
                <w:color w:val="000000"/>
                <w:sz w:val="21"/>
              </w:rPr>
            </w:pPr>
            <w:r>
              <w:rPr>
                <w:color w:val="000000"/>
                <w:sz w:val="21"/>
              </w:rPr>
              <w:t>达标</w:t>
            </w:r>
          </w:p>
        </w:tc>
      </w:tr>
      <w:tr w14:paraId="0A69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6" w:type="pct"/>
            <w:vMerge w:val="continue"/>
            <w:vAlign w:val="center"/>
          </w:tcPr>
          <w:p w14:paraId="17797F90">
            <w:pPr>
              <w:tabs>
                <w:tab w:val="left" w:pos="1693"/>
              </w:tabs>
              <w:spacing w:line="240" w:lineRule="auto"/>
              <w:jc w:val="center"/>
              <w:rPr>
                <w:color w:val="000000"/>
                <w:sz w:val="21"/>
              </w:rPr>
            </w:pPr>
          </w:p>
        </w:tc>
        <w:tc>
          <w:tcPr>
            <w:tcW w:w="887" w:type="pct"/>
            <w:vMerge w:val="continue"/>
            <w:vAlign w:val="center"/>
          </w:tcPr>
          <w:p w14:paraId="742BF16B">
            <w:pPr>
              <w:tabs>
                <w:tab w:val="left" w:pos="1693"/>
              </w:tabs>
              <w:spacing w:line="240" w:lineRule="auto"/>
              <w:jc w:val="center"/>
              <w:rPr>
                <w:color w:val="000000"/>
                <w:sz w:val="21"/>
              </w:rPr>
            </w:pPr>
          </w:p>
        </w:tc>
        <w:tc>
          <w:tcPr>
            <w:tcW w:w="1592" w:type="dxa"/>
            <w:vAlign w:val="center"/>
          </w:tcPr>
          <w:p w14:paraId="3C71FC7E">
            <w:pPr>
              <w:tabs>
                <w:tab w:val="left" w:pos="1693"/>
              </w:tabs>
              <w:spacing w:line="240" w:lineRule="auto"/>
              <w:jc w:val="center"/>
              <w:rPr>
                <w:color w:val="000000"/>
                <w:sz w:val="21"/>
              </w:rPr>
            </w:pPr>
            <w:r>
              <w:rPr>
                <w:color w:val="000000"/>
                <w:sz w:val="21"/>
              </w:rPr>
              <w:t>2022年3月15日</w:t>
            </w:r>
          </w:p>
        </w:tc>
        <w:tc>
          <w:tcPr>
            <w:tcW w:w="1003" w:type="dxa"/>
            <w:vAlign w:val="center"/>
          </w:tcPr>
          <w:p w14:paraId="5411BE33">
            <w:pPr>
              <w:tabs>
                <w:tab w:val="left" w:pos="1693"/>
              </w:tabs>
              <w:spacing w:line="240" w:lineRule="auto"/>
              <w:jc w:val="center"/>
              <w:rPr>
                <w:color w:val="000000"/>
                <w:sz w:val="21"/>
              </w:rPr>
            </w:pPr>
            <w:r>
              <w:rPr>
                <w:color w:val="000000"/>
                <w:sz w:val="21"/>
              </w:rPr>
              <w:t>56</w:t>
            </w:r>
          </w:p>
        </w:tc>
        <w:tc>
          <w:tcPr>
            <w:tcW w:w="1005" w:type="dxa"/>
            <w:vAlign w:val="center"/>
          </w:tcPr>
          <w:p w14:paraId="55C20C5F">
            <w:pPr>
              <w:tabs>
                <w:tab w:val="left" w:pos="1693"/>
              </w:tabs>
              <w:spacing w:line="240" w:lineRule="auto"/>
              <w:jc w:val="center"/>
              <w:rPr>
                <w:color w:val="000000"/>
                <w:sz w:val="21"/>
              </w:rPr>
            </w:pPr>
            <w:r>
              <w:rPr>
                <w:color w:val="000000"/>
                <w:sz w:val="21"/>
              </w:rPr>
              <w:t>47</w:t>
            </w:r>
          </w:p>
        </w:tc>
        <w:tc>
          <w:tcPr>
            <w:tcW w:w="471" w:type="pct"/>
            <w:vMerge w:val="continue"/>
            <w:vAlign w:val="center"/>
          </w:tcPr>
          <w:p w14:paraId="78274A12">
            <w:pPr>
              <w:tabs>
                <w:tab w:val="left" w:pos="1693"/>
              </w:tabs>
              <w:spacing w:line="240" w:lineRule="auto"/>
              <w:jc w:val="center"/>
              <w:rPr>
                <w:color w:val="000000"/>
                <w:sz w:val="21"/>
              </w:rPr>
            </w:pPr>
          </w:p>
        </w:tc>
        <w:tc>
          <w:tcPr>
            <w:tcW w:w="473" w:type="pct"/>
            <w:vMerge w:val="continue"/>
            <w:vAlign w:val="center"/>
          </w:tcPr>
          <w:p w14:paraId="0B32CFA0">
            <w:pPr>
              <w:tabs>
                <w:tab w:val="left" w:pos="1693"/>
              </w:tabs>
              <w:spacing w:line="240" w:lineRule="auto"/>
              <w:jc w:val="center"/>
              <w:rPr>
                <w:color w:val="000000"/>
                <w:sz w:val="21"/>
              </w:rPr>
            </w:pPr>
          </w:p>
        </w:tc>
        <w:tc>
          <w:tcPr>
            <w:tcW w:w="552" w:type="pct"/>
            <w:vAlign w:val="center"/>
          </w:tcPr>
          <w:p w14:paraId="132C6E94">
            <w:pPr>
              <w:tabs>
                <w:tab w:val="left" w:pos="1693"/>
              </w:tabs>
              <w:spacing w:line="240" w:lineRule="auto"/>
              <w:jc w:val="center"/>
              <w:rPr>
                <w:color w:val="000000"/>
                <w:sz w:val="21"/>
              </w:rPr>
            </w:pPr>
            <w:r>
              <w:rPr>
                <w:color w:val="000000"/>
                <w:sz w:val="21"/>
              </w:rPr>
              <w:t>达标</w:t>
            </w:r>
          </w:p>
        </w:tc>
      </w:tr>
      <w:tr w14:paraId="534D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 w:hRule="atLeast"/>
          <w:jc w:val="center"/>
        </w:trPr>
        <w:tc>
          <w:tcPr>
            <w:tcW w:w="606" w:type="pct"/>
            <w:vMerge w:val="restart"/>
            <w:vAlign w:val="center"/>
          </w:tcPr>
          <w:p w14:paraId="278890BC">
            <w:pPr>
              <w:tabs>
                <w:tab w:val="left" w:pos="1693"/>
              </w:tabs>
              <w:spacing w:line="240" w:lineRule="auto"/>
              <w:jc w:val="center"/>
              <w:rPr>
                <w:color w:val="000000"/>
                <w:sz w:val="21"/>
              </w:rPr>
            </w:pPr>
            <w:r>
              <w:rPr>
                <w:color w:val="000000"/>
                <w:sz w:val="21"/>
              </w:rPr>
              <w:t>N2</w:t>
            </w:r>
          </w:p>
        </w:tc>
        <w:tc>
          <w:tcPr>
            <w:tcW w:w="887" w:type="pct"/>
            <w:vMerge w:val="restart"/>
            <w:vAlign w:val="center"/>
          </w:tcPr>
          <w:p w14:paraId="15A781DF">
            <w:pPr>
              <w:tabs>
                <w:tab w:val="left" w:pos="1693"/>
              </w:tabs>
              <w:spacing w:line="240" w:lineRule="auto"/>
              <w:jc w:val="center"/>
              <w:rPr>
                <w:color w:val="000000"/>
                <w:sz w:val="21"/>
              </w:rPr>
            </w:pPr>
            <w:r>
              <w:rPr>
                <w:color w:val="000000"/>
                <w:sz w:val="21"/>
              </w:rPr>
              <w:t>西北厂界</w:t>
            </w:r>
          </w:p>
        </w:tc>
        <w:tc>
          <w:tcPr>
            <w:tcW w:w="1592" w:type="dxa"/>
            <w:vAlign w:val="center"/>
          </w:tcPr>
          <w:p w14:paraId="177CAB4A">
            <w:pPr>
              <w:tabs>
                <w:tab w:val="left" w:pos="1693"/>
              </w:tabs>
              <w:spacing w:line="240" w:lineRule="auto"/>
              <w:jc w:val="center"/>
              <w:rPr>
                <w:color w:val="000000"/>
                <w:sz w:val="21"/>
              </w:rPr>
            </w:pPr>
            <w:r>
              <w:rPr>
                <w:color w:val="000000"/>
                <w:sz w:val="21"/>
              </w:rPr>
              <w:t>2022年3月14日</w:t>
            </w:r>
          </w:p>
        </w:tc>
        <w:tc>
          <w:tcPr>
            <w:tcW w:w="1003" w:type="dxa"/>
            <w:vAlign w:val="center"/>
          </w:tcPr>
          <w:p w14:paraId="6928BFD3">
            <w:pPr>
              <w:tabs>
                <w:tab w:val="left" w:pos="1693"/>
              </w:tabs>
              <w:spacing w:line="240" w:lineRule="auto"/>
              <w:jc w:val="center"/>
              <w:rPr>
                <w:color w:val="000000"/>
                <w:sz w:val="21"/>
              </w:rPr>
            </w:pPr>
            <w:r>
              <w:rPr>
                <w:color w:val="000000"/>
                <w:sz w:val="21"/>
              </w:rPr>
              <w:t>61</w:t>
            </w:r>
          </w:p>
        </w:tc>
        <w:tc>
          <w:tcPr>
            <w:tcW w:w="1005" w:type="dxa"/>
            <w:vAlign w:val="center"/>
          </w:tcPr>
          <w:p w14:paraId="70235DAB">
            <w:pPr>
              <w:tabs>
                <w:tab w:val="left" w:pos="1693"/>
              </w:tabs>
              <w:spacing w:line="240" w:lineRule="auto"/>
              <w:jc w:val="center"/>
              <w:rPr>
                <w:color w:val="000000"/>
                <w:sz w:val="21"/>
              </w:rPr>
            </w:pPr>
            <w:r>
              <w:rPr>
                <w:color w:val="000000"/>
                <w:sz w:val="21"/>
              </w:rPr>
              <w:t>52</w:t>
            </w:r>
          </w:p>
        </w:tc>
        <w:tc>
          <w:tcPr>
            <w:tcW w:w="471" w:type="pct"/>
            <w:vMerge w:val="continue"/>
            <w:vAlign w:val="center"/>
          </w:tcPr>
          <w:p w14:paraId="76AD77E7">
            <w:pPr>
              <w:tabs>
                <w:tab w:val="left" w:pos="1693"/>
              </w:tabs>
              <w:spacing w:line="240" w:lineRule="auto"/>
              <w:jc w:val="center"/>
              <w:rPr>
                <w:color w:val="000000"/>
                <w:sz w:val="21"/>
              </w:rPr>
            </w:pPr>
          </w:p>
        </w:tc>
        <w:tc>
          <w:tcPr>
            <w:tcW w:w="473" w:type="pct"/>
            <w:vMerge w:val="continue"/>
            <w:vAlign w:val="center"/>
          </w:tcPr>
          <w:p w14:paraId="324F21B0">
            <w:pPr>
              <w:tabs>
                <w:tab w:val="left" w:pos="1693"/>
              </w:tabs>
              <w:spacing w:line="240" w:lineRule="auto"/>
              <w:jc w:val="center"/>
              <w:rPr>
                <w:color w:val="000000"/>
                <w:sz w:val="21"/>
              </w:rPr>
            </w:pPr>
          </w:p>
        </w:tc>
        <w:tc>
          <w:tcPr>
            <w:tcW w:w="552" w:type="pct"/>
            <w:vAlign w:val="center"/>
          </w:tcPr>
          <w:p w14:paraId="10814392">
            <w:pPr>
              <w:tabs>
                <w:tab w:val="left" w:pos="1693"/>
              </w:tabs>
              <w:spacing w:line="240" w:lineRule="auto"/>
              <w:jc w:val="center"/>
              <w:rPr>
                <w:color w:val="000000"/>
                <w:sz w:val="21"/>
              </w:rPr>
            </w:pPr>
            <w:r>
              <w:rPr>
                <w:color w:val="000000"/>
                <w:sz w:val="21"/>
              </w:rPr>
              <w:t>达标</w:t>
            </w:r>
          </w:p>
        </w:tc>
      </w:tr>
      <w:tr w14:paraId="30A5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06" w:type="pct"/>
            <w:vMerge w:val="continue"/>
            <w:vAlign w:val="center"/>
          </w:tcPr>
          <w:p w14:paraId="0C02D939">
            <w:pPr>
              <w:tabs>
                <w:tab w:val="left" w:pos="1693"/>
              </w:tabs>
              <w:spacing w:line="240" w:lineRule="auto"/>
              <w:jc w:val="center"/>
              <w:rPr>
                <w:color w:val="000000"/>
                <w:sz w:val="21"/>
              </w:rPr>
            </w:pPr>
          </w:p>
        </w:tc>
        <w:tc>
          <w:tcPr>
            <w:tcW w:w="887" w:type="pct"/>
            <w:vMerge w:val="continue"/>
            <w:vAlign w:val="center"/>
          </w:tcPr>
          <w:p w14:paraId="089CE331">
            <w:pPr>
              <w:tabs>
                <w:tab w:val="left" w:pos="1693"/>
              </w:tabs>
              <w:spacing w:line="240" w:lineRule="auto"/>
              <w:jc w:val="center"/>
              <w:rPr>
                <w:color w:val="000000"/>
                <w:sz w:val="21"/>
              </w:rPr>
            </w:pPr>
          </w:p>
        </w:tc>
        <w:tc>
          <w:tcPr>
            <w:tcW w:w="1592" w:type="dxa"/>
            <w:vAlign w:val="center"/>
          </w:tcPr>
          <w:p w14:paraId="150438E8">
            <w:pPr>
              <w:tabs>
                <w:tab w:val="left" w:pos="1693"/>
              </w:tabs>
              <w:spacing w:line="240" w:lineRule="auto"/>
              <w:jc w:val="center"/>
              <w:rPr>
                <w:color w:val="000000"/>
                <w:sz w:val="21"/>
              </w:rPr>
            </w:pPr>
            <w:r>
              <w:rPr>
                <w:color w:val="000000"/>
                <w:sz w:val="21"/>
              </w:rPr>
              <w:t>2022年3月15日</w:t>
            </w:r>
          </w:p>
        </w:tc>
        <w:tc>
          <w:tcPr>
            <w:tcW w:w="1003" w:type="dxa"/>
            <w:vAlign w:val="center"/>
          </w:tcPr>
          <w:p w14:paraId="48192E52">
            <w:pPr>
              <w:tabs>
                <w:tab w:val="left" w:pos="1693"/>
              </w:tabs>
              <w:spacing w:line="240" w:lineRule="auto"/>
              <w:jc w:val="center"/>
              <w:rPr>
                <w:color w:val="000000"/>
                <w:sz w:val="21"/>
              </w:rPr>
            </w:pPr>
            <w:r>
              <w:rPr>
                <w:color w:val="000000"/>
                <w:sz w:val="21"/>
              </w:rPr>
              <w:t>62</w:t>
            </w:r>
          </w:p>
        </w:tc>
        <w:tc>
          <w:tcPr>
            <w:tcW w:w="1005" w:type="dxa"/>
            <w:vAlign w:val="center"/>
          </w:tcPr>
          <w:p w14:paraId="08BEDF4A">
            <w:pPr>
              <w:tabs>
                <w:tab w:val="left" w:pos="1693"/>
              </w:tabs>
              <w:spacing w:line="240" w:lineRule="auto"/>
              <w:jc w:val="center"/>
              <w:rPr>
                <w:color w:val="000000"/>
                <w:sz w:val="21"/>
              </w:rPr>
            </w:pPr>
            <w:r>
              <w:rPr>
                <w:color w:val="000000"/>
                <w:sz w:val="21"/>
              </w:rPr>
              <w:t>51</w:t>
            </w:r>
          </w:p>
        </w:tc>
        <w:tc>
          <w:tcPr>
            <w:tcW w:w="471" w:type="pct"/>
            <w:vMerge w:val="continue"/>
            <w:vAlign w:val="center"/>
          </w:tcPr>
          <w:p w14:paraId="0EE5A549">
            <w:pPr>
              <w:tabs>
                <w:tab w:val="left" w:pos="1693"/>
              </w:tabs>
              <w:spacing w:line="240" w:lineRule="auto"/>
              <w:jc w:val="center"/>
              <w:rPr>
                <w:color w:val="000000"/>
                <w:sz w:val="21"/>
              </w:rPr>
            </w:pPr>
          </w:p>
        </w:tc>
        <w:tc>
          <w:tcPr>
            <w:tcW w:w="473" w:type="pct"/>
            <w:vMerge w:val="continue"/>
            <w:vAlign w:val="center"/>
          </w:tcPr>
          <w:p w14:paraId="0204E987">
            <w:pPr>
              <w:tabs>
                <w:tab w:val="left" w:pos="1693"/>
              </w:tabs>
              <w:spacing w:line="240" w:lineRule="auto"/>
              <w:jc w:val="center"/>
              <w:rPr>
                <w:color w:val="000000"/>
                <w:sz w:val="21"/>
              </w:rPr>
            </w:pPr>
          </w:p>
        </w:tc>
        <w:tc>
          <w:tcPr>
            <w:tcW w:w="552" w:type="pct"/>
            <w:vAlign w:val="center"/>
          </w:tcPr>
          <w:p w14:paraId="321F6AAB">
            <w:pPr>
              <w:tabs>
                <w:tab w:val="left" w:pos="1693"/>
              </w:tabs>
              <w:spacing w:line="240" w:lineRule="auto"/>
              <w:jc w:val="center"/>
              <w:rPr>
                <w:color w:val="000000"/>
                <w:sz w:val="21"/>
              </w:rPr>
            </w:pPr>
            <w:r>
              <w:rPr>
                <w:color w:val="000000"/>
                <w:sz w:val="21"/>
              </w:rPr>
              <w:t>达标</w:t>
            </w:r>
          </w:p>
        </w:tc>
      </w:tr>
    </w:tbl>
    <w:p w14:paraId="797F3CF8">
      <w:pPr>
        <w:tabs>
          <w:tab w:val="left" w:pos="993"/>
        </w:tabs>
        <w:ind w:firstLine="480"/>
        <w:rPr>
          <w:snapToGrid w:val="0"/>
          <w:color w:val="000000"/>
        </w:rPr>
      </w:pPr>
    </w:p>
    <w:p w14:paraId="57AF13D0">
      <w:pPr>
        <w:tabs>
          <w:tab w:val="left" w:pos="993"/>
        </w:tabs>
        <w:ind w:firstLine="480"/>
        <w:rPr>
          <w:snapToGrid w:val="0"/>
          <w:color w:val="000000"/>
        </w:rPr>
      </w:pPr>
      <w:r>
        <w:rPr>
          <w:snapToGrid w:val="0"/>
          <w:color w:val="000000"/>
        </w:rPr>
        <w:t>由表3.3.4中的统计结果可知，本项目区域声环境质量现状昼、夜间等效声级均能满足《声环境质量标准（GB3096-2008）》3类标准要求，区域声环境现状较好。</w:t>
      </w:r>
    </w:p>
    <w:p w14:paraId="1DFDD5D0">
      <w:pPr>
        <w:pStyle w:val="771"/>
        <w:rPr>
          <w:color w:val="000000"/>
        </w:rPr>
      </w:pPr>
      <w:bookmarkStart w:id="463" w:name="_Toc15499334"/>
      <w:bookmarkStart w:id="464" w:name="_Toc15499574"/>
      <w:bookmarkStart w:id="465" w:name="_Toc21961451"/>
      <w:r>
        <w:rPr>
          <w:color w:val="000000"/>
        </w:rPr>
        <w:t>4.3.5 土壤环境质量现状评价</w:t>
      </w:r>
      <w:bookmarkEnd w:id="463"/>
      <w:bookmarkEnd w:id="464"/>
      <w:bookmarkEnd w:id="465"/>
    </w:p>
    <w:p w14:paraId="3A3BAD16">
      <w:pPr>
        <w:tabs>
          <w:tab w:val="left" w:pos="993"/>
        </w:tabs>
        <w:ind w:firstLine="480"/>
        <w:rPr>
          <w:color w:val="000000"/>
        </w:rPr>
      </w:pPr>
      <w:r>
        <w:rPr>
          <w:color w:val="000000"/>
        </w:rPr>
        <w:t>本次评价委托重庆智海科技有限责任公司对项目占地范围内的土壤环境质量进行了监测，同时引用天航（监）字【2020】第QTPJ0197号中的 T4、T14土壤监测点监测数据进行评价。</w:t>
      </w:r>
    </w:p>
    <w:p w14:paraId="05E72DF8">
      <w:pPr>
        <w:tabs>
          <w:tab w:val="left" w:pos="993"/>
        </w:tabs>
        <w:ind w:firstLine="480"/>
        <w:rPr>
          <w:color w:val="000000"/>
        </w:rPr>
      </w:pPr>
      <w:r>
        <w:rPr>
          <w:color w:val="000000"/>
        </w:rPr>
        <w:t>（1）监测情况</w:t>
      </w:r>
    </w:p>
    <w:p w14:paraId="00E22787">
      <w:pPr>
        <w:pStyle w:val="175"/>
        <w:rPr>
          <w:color w:val="000000"/>
        </w:rPr>
      </w:pPr>
      <w:r>
        <w:rPr>
          <w:color w:val="000000"/>
        </w:rPr>
        <w:t>本项目土壤现状调查点位布设情况详见表4.3.5-1；周边土壤环境质量调查点位情况详见表4.3.5-2。</w:t>
      </w:r>
    </w:p>
    <w:p w14:paraId="24CFE665">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4</w:t>
      </w:r>
      <w:r>
        <w:rPr>
          <w:rFonts w:ascii="Times New Roman" w:hAnsi="Times New Roman"/>
          <w:color w:val="000000"/>
        </w:rPr>
        <w:t>.3.5-</w:t>
      </w:r>
      <w:r>
        <w:rPr>
          <w:rFonts w:ascii="Times New Roman" w:hAnsi="Times New Roman"/>
          <w:color w:val="000000"/>
          <w:lang w:val="en-US"/>
        </w:rPr>
        <w:t>1</w:t>
      </w:r>
      <w:r>
        <w:rPr>
          <w:rFonts w:ascii="Times New Roman" w:hAnsi="Times New Roman"/>
          <w:color w:val="000000"/>
        </w:rPr>
        <w:t xml:space="preserve">  土壤环境质量现状</w:t>
      </w:r>
      <w:r>
        <w:rPr>
          <w:rFonts w:ascii="Times New Roman" w:hAnsi="Times New Roman"/>
          <w:color w:val="000000"/>
          <w:lang w:val="en-US"/>
        </w:rPr>
        <w:t>监测</w:t>
      </w:r>
      <w:r>
        <w:rPr>
          <w:rFonts w:ascii="Times New Roman" w:hAnsi="Times New Roman"/>
          <w:color w:val="000000"/>
        </w:rPr>
        <w:t>情况</w:t>
      </w:r>
    </w:p>
    <w:tbl>
      <w:tblPr>
        <w:tblStyle w:val="7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805"/>
        <w:gridCol w:w="1171"/>
        <w:gridCol w:w="989"/>
        <w:gridCol w:w="1045"/>
        <w:gridCol w:w="875"/>
        <w:gridCol w:w="876"/>
        <w:gridCol w:w="1063"/>
        <w:gridCol w:w="1706"/>
      </w:tblGrid>
      <w:tr w14:paraId="0C60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89" w:type="pct"/>
            <w:vMerge w:val="restart"/>
            <w:vAlign w:val="center"/>
          </w:tcPr>
          <w:p w14:paraId="6A1D42E0">
            <w:pPr>
              <w:pStyle w:val="12"/>
              <w:widowControl w:val="0"/>
              <w:tabs>
                <w:tab w:val="left" w:pos="993"/>
              </w:tabs>
              <w:spacing w:line="240" w:lineRule="auto"/>
              <w:textAlignment w:val="baseline"/>
              <w:rPr>
                <w:color w:val="000000"/>
                <w:sz w:val="18"/>
                <w:szCs w:val="18"/>
              </w:rPr>
            </w:pPr>
            <w:r>
              <w:rPr>
                <w:color w:val="000000"/>
                <w:sz w:val="18"/>
                <w:szCs w:val="18"/>
              </w:rPr>
              <w:t>编号</w:t>
            </w:r>
          </w:p>
        </w:tc>
        <w:tc>
          <w:tcPr>
            <w:tcW w:w="444" w:type="pct"/>
            <w:vMerge w:val="restart"/>
            <w:vAlign w:val="center"/>
          </w:tcPr>
          <w:p w14:paraId="258F57D3">
            <w:pPr>
              <w:pStyle w:val="12"/>
              <w:widowControl w:val="0"/>
              <w:tabs>
                <w:tab w:val="left" w:pos="993"/>
              </w:tabs>
              <w:spacing w:line="240" w:lineRule="auto"/>
              <w:textAlignment w:val="baseline"/>
              <w:rPr>
                <w:color w:val="000000"/>
                <w:sz w:val="18"/>
                <w:szCs w:val="18"/>
              </w:rPr>
            </w:pPr>
            <w:r>
              <w:rPr>
                <w:color w:val="000000"/>
                <w:sz w:val="18"/>
                <w:szCs w:val="18"/>
              </w:rPr>
              <w:t>采样时间</w:t>
            </w:r>
          </w:p>
        </w:tc>
        <w:tc>
          <w:tcPr>
            <w:tcW w:w="1191" w:type="pct"/>
            <w:gridSpan w:val="2"/>
            <w:vAlign w:val="center"/>
          </w:tcPr>
          <w:p w14:paraId="30CF64BB">
            <w:pPr>
              <w:pStyle w:val="12"/>
              <w:widowControl w:val="0"/>
              <w:tabs>
                <w:tab w:val="left" w:pos="993"/>
              </w:tabs>
              <w:spacing w:line="240" w:lineRule="auto"/>
              <w:textAlignment w:val="baseline"/>
              <w:rPr>
                <w:color w:val="000000"/>
                <w:sz w:val="18"/>
                <w:szCs w:val="18"/>
              </w:rPr>
            </w:pPr>
            <w:r>
              <w:rPr>
                <w:color w:val="000000"/>
                <w:sz w:val="18"/>
                <w:szCs w:val="18"/>
              </w:rPr>
              <w:t>监测点坐标</w:t>
            </w:r>
          </w:p>
        </w:tc>
        <w:tc>
          <w:tcPr>
            <w:tcW w:w="577" w:type="pct"/>
            <w:vMerge w:val="restart"/>
            <w:vAlign w:val="center"/>
          </w:tcPr>
          <w:p w14:paraId="05F4D631">
            <w:pPr>
              <w:pStyle w:val="12"/>
              <w:widowControl w:val="0"/>
              <w:tabs>
                <w:tab w:val="left" w:pos="993"/>
              </w:tabs>
              <w:spacing w:line="240" w:lineRule="auto"/>
              <w:textAlignment w:val="baseline"/>
              <w:rPr>
                <w:color w:val="000000"/>
                <w:sz w:val="18"/>
                <w:szCs w:val="18"/>
              </w:rPr>
            </w:pPr>
            <w:r>
              <w:rPr>
                <w:color w:val="000000"/>
                <w:sz w:val="18"/>
                <w:szCs w:val="18"/>
              </w:rPr>
              <w:t>监测点类型</w:t>
            </w:r>
          </w:p>
        </w:tc>
        <w:tc>
          <w:tcPr>
            <w:tcW w:w="483" w:type="pct"/>
            <w:vMerge w:val="restart"/>
            <w:vAlign w:val="center"/>
          </w:tcPr>
          <w:p w14:paraId="21F272E6">
            <w:pPr>
              <w:pStyle w:val="12"/>
              <w:widowControl w:val="0"/>
              <w:tabs>
                <w:tab w:val="left" w:pos="993"/>
              </w:tabs>
              <w:spacing w:line="240" w:lineRule="auto"/>
              <w:textAlignment w:val="baseline"/>
              <w:rPr>
                <w:color w:val="000000"/>
                <w:sz w:val="18"/>
                <w:szCs w:val="18"/>
              </w:rPr>
            </w:pPr>
            <w:r>
              <w:rPr>
                <w:color w:val="000000"/>
                <w:sz w:val="18"/>
                <w:szCs w:val="18"/>
              </w:rPr>
              <w:t>样品编号</w:t>
            </w:r>
          </w:p>
        </w:tc>
        <w:tc>
          <w:tcPr>
            <w:tcW w:w="484" w:type="pct"/>
            <w:vMerge w:val="restart"/>
            <w:vAlign w:val="center"/>
          </w:tcPr>
          <w:p w14:paraId="7D0A7112">
            <w:pPr>
              <w:pStyle w:val="12"/>
              <w:widowControl w:val="0"/>
              <w:tabs>
                <w:tab w:val="left" w:pos="993"/>
              </w:tabs>
              <w:spacing w:line="240" w:lineRule="auto"/>
              <w:textAlignment w:val="baseline"/>
              <w:rPr>
                <w:color w:val="000000"/>
                <w:sz w:val="18"/>
                <w:szCs w:val="18"/>
              </w:rPr>
            </w:pPr>
            <w:r>
              <w:rPr>
                <w:color w:val="000000"/>
                <w:sz w:val="18"/>
                <w:szCs w:val="18"/>
              </w:rPr>
              <w:t>土壤类型</w:t>
            </w:r>
          </w:p>
        </w:tc>
        <w:tc>
          <w:tcPr>
            <w:tcW w:w="587" w:type="pct"/>
            <w:vMerge w:val="restart"/>
            <w:vAlign w:val="center"/>
          </w:tcPr>
          <w:p w14:paraId="2D8A5358">
            <w:pPr>
              <w:pStyle w:val="12"/>
              <w:widowControl w:val="0"/>
              <w:tabs>
                <w:tab w:val="left" w:pos="993"/>
              </w:tabs>
              <w:spacing w:line="240" w:lineRule="auto"/>
              <w:textAlignment w:val="baseline"/>
              <w:rPr>
                <w:color w:val="000000"/>
                <w:sz w:val="18"/>
                <w:szCs w:val="18"/>
              </w:rPr>
            </w:pPr>
            <w:r>
              <w:rPr>
                <w:color w:val="000000"/>
                <w:sz w:val="18"/>
                <w:szCs w:val="18"/>
              </w:rPr>
              <w:t>采样深度（m）</w:t>
            </w:r>
          </w:p>
        </w:tc>
        <w:tc>
          <w:tcPr>
            <w:tcW w:w="941" w:type="pct"/>
            <w:vMerge w:val="restart"/>
            <w:vAlign w:val="center"/>
          </w:tcPr>
          <w:p w14:paraId="483FA5C2">
            <w:pPr>
              <w:pStyle w:val="12"/>
              <w:widowControl w:val="0"/>
              <w:tabs>
                <w:tab w:val="left" w:pos="993"/>
              </w:tabs>
              <w:spacing w:line="240" w:lineRule="auto"/>
              <w:textAlignment w:val="baseline"/>
              <w:rPr>
                <w:color w:val="000000"/>
                <w:sz w:val="18"/>
                <w:szCs w:val="18"/>
              </w:rPr>
            </w:pPr>
            <w:r>
              <w:rPr>
                <w:color w:val="000000"/>
                <w:sz w:val="18"/>
                <w:szCs w:val="18"/>
              </w:rPr>
              <w:t>监测因子</w:t>
            </w:r>
          </w:p>
        </w:tc>
      </w:tr>
      <w:tr w14:paraId="6E26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89" w:type="pct"/>
            <w:vMerge w:val="continue"/>
            <w:vAlign w:val="center"/>
          </w:tcPr>
          <w:p w14:paraId="75C031C9">
            <w:pPr>
              <w:pStyle w:val="12"/>
              <w:widowControl w:val="0"/>
              <w:tabs>
                <w:tab w:val="left" w:pos="993"/>
              </w:tabs>
              <w:spacing w:line="240" w:lineRule="auto"/>
              <w:textAlignment w:val="baseline"/>
              <w:rPr>
                <w:color w:val="000000"/>
                <w:sz w:val="18"/>
                <w:szCs w:val="18"/>
              </w:rPr>
            </w:pPr>
          </w:p>
        </w:tc>
        <w:tc>
          <w:tcPr>
            <w:tcW w:w="444" w:type="pct"/>
            <w:vMerge w:val="continue"/>
            <w:vAlign w:val="center"/>
          </w:tcPr>
          <w:p w14:paraId="59FDD874">
            <w:pPr>
              <w:pStyle w:val="12"/>
              <w:widowControl w:val="0"/>
              <w:tabs>
                <w:tab w:val="left" w:pos="993"/>
              </w:tabs>
              <w:spacing w:line="240" w:lineRule="auto"/>
              <w:textAlignment w:val="baseline"/>
              <w:rPr>
                <w:color w:val="000000"/>
                <w:sz w:val="18"/>
                <w:szCs w:val="18"/>
              </w:rPr>
            </w:pPr>
          </w:p>
        </w:tc>
        <w:tc>
          <w:tcPr>
            <w:tcW w:w="645" w:type="pct"/>
            <w:vAlign w:val="center"/>
          </w:tcPr>
          <w:p w14:paraId="20250500">
            <w:pPr>
              <w:pStyle w:val="12"/>
              <w:widowControl w:val="0"/>
              <w:tabs>
                <w:tab w:val="left" w:pos="993"/>
              </w:tabs>
              <w:spacing w:line="240" w:lineRule="auto"/>
              <w:textAlignment w:val="baseline"/>
              <w:rPr>
                <w:color w:val="000000"/>
                <w:sz w:val="18"/>
                <w:szCs w:val="18"/>
              </w:rPr>
            </w:pPr>
            <w:r>
              <w:rPr>
                <w:color w:val="000000"/>
                <w:sz w:val="18"/>
                <w:szCs w:val="18"/>
              </w:rPr>
              <w:t>北纬</w:t>
            </w:r>
          </w:p>
        </w:tc>
        <w:tc>
          <w:tcPr>
            <w:tcW w:w="545" w:type="pct"/>
            <w:vAlign w:val="center"/>
          </w:tcPr>
          <w:p w14:paraId="77CF088E">
            <w:pPr>
              <w:pStyle w:val="12"/>
              <w:widowControl w:val="0"/>
              <w:tabs>
                <w:tab w:val="left" w:pos="993"/>
              </w:tabs>
              <w:spacing w:line="240" w:lineRule="auto"/>
              <w:textAlignment w:val="baseline"/>
              <w:rPr>
                <w:color w:val="000000"/>
                <w:sz w:val="18"/>
                <w:szCs w:val="18"/>
              </w:rPr>
            </w:pPr>
            <w:r>
              <w:rPr>
                <w:color w:val="000000"/>
                <w:sz w:val="18"/>
                <w:szCs w:val="18"/>
              </w:rPr>
              <w:t>东经</w:t>
            </w:r>
          </w:p>
        </w:tc>
        <w:tc>
          <w:tcPr>
            <w:tcW w:w="577" w:type="pct"/>
            <w:vMerge w:val="continue"/>
            <w:vAlign w:val="center"/>
          </w:tcPr>
          <w:p w14:paraId="3555DBE5">
            <w:pPr>
              <w:pStyle w:val="12"/>
              <w:widowControl w:val="0"/>
              <w:tabs>
                <w:tab w:val="left" w:pos="993"/>
              </w:tabs>
              <w:spacing w:line="240" w:lineRule="auto"/>
              <w:textAlignment w:val="baseline"/>
              <w:rPr>
                <w:color w:val="000000"/>
                <w:sz w:val="18"/>
                <w:szCs w:val="18"/>
              </w:rPr>
            </w:pPr>
          </w:p>
        </w:tc>
        <w:tc>
          <w:tcPr>
            <w:tcW w:w="483" w:type="pct"/>
            <w:vMerge w:val="continue"/>
            <w:vAlign w:val="center"/>
          </w:tcPr>
          <w:p w14:paraId="35984E88">
            <w:pPr>
              <w:pStyle w:val="12"/>
              <w:widowControl w:val="0"/>
              <w:tabs>
                <w:tab w:val="left" w:pos="993"/>
              </w:tabs>
              <w:spacing w:line="240" w:lineRule="auto"/>
              <w:textAlignment w:val="baseline"/>
              <w:rPr>
                <w:color w:val="000000"/>
                <w:sz w:val="18"/>
                <w:szCs w:val="18"/>
              </w:rPr>
            </w:pPr>
          </w:p>
        </w:tc>
        <w:tc>
          <w:tcPr>
            <w:tcW w:w="484" w:type="pct"/>
            <w:vMerge w:val="continue"/>
            <w:vAlign w:val="center"/>
          </w:tcPr>
          <w:p w14:paraId="7ACF5010">
            <w:pPr>
              <w:pStyle w:val="12"/>
              <w:widowControl w:val="0"/>
              <w:tabs>
                <w:tab w:val="left" w:pos="993"/>
              </w:tabs>
              <w:spacing w:line="240" w:lineRule="auto"/>
              <w:textAlignment w:val="baseline"/>
              <w:rPr>
                <w:color w:val="000000"/>
                <w:sz w:val="18"/>
                <w:szCs w:val="18"/>
              </w:rPr>
            </w:pPr>
          </w:p>
        </w:tc>
        <w:tc>
          <w:tcPr>
            <w:tcW w:w="587" w:type="pct"/>
            <w:vMerge w:val="continue"/>
            <w:vAlign w:val="center"/>
          </w:tcPr>
          <w:p w14:paraId="33DE52E6">
            <w:pPr>
              <w:pStyle w:val="12"/>
              <w:widowControl w:val="0"/>
              <w:tabs>
                <w:tab w:val="left" w:pos="993"/>
              </w:tabs>
              <w:spacing w:line="240" w:lineRule="auto"/>
              <w:textAlignment w:val="baseline"/>
              <w:rPr>
                <w:color w:val="000000"/>
                <w:sz w:val="18"/>
                <w:szCs w:val="18"/>
              </w:rPr>
            </w:pPr>
          </w:p>
        </w:tc>
        <w:tc>
          <w:tcPr>
            <w:tcW w:w="941" w:type="pct"/>
            <w:vMerge w:val="continue"/>
            <w:vAlign w:val="center"/>
          </w:tcPr>
          <w:p w14:paraId="733DBD6F">
            <w:pPr>
              <w:pStyle w:val="12"/>
              <w:widowControl w:val="0"/>
              <w:tabs>
                <w:tab w:val="left" w:pos="993"/>
              </w:tabs>
              <w:spacing w:line="240" w:lineRule="auto"/>
              <w:textAlignment w:val="baseline"/>
              <w:rPr>
                <w:color w:val="000000"/>
                <w:sz w:val="18"/>
                <w:szCs w:val="18"/>
              </w:rPr>
            </w:pPr>
          </w:p>
        </w:tc>
      </w:tr>
      <w:tr w14:paraId="3078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restart"/>
            <w:vAlign w:val="center"/>
          </w:tcPr>
          <w:p w14:paraId="677D38B6">
            <w:pPr>
              <w:pStyle w:val="12"/>
              <w:widowControl w:val="0"/>
              <w:tabs>
                <w:tab w:val="left" w:pos="993"/>
              </w:tabs>
              <w:spacing w:line="240" w:lineRule="auto"/>
              <w:textAlignment w:val="baseline"/>
              <w:rPr>
                <w:color w:val="000000"/>
                <w:sz w:val="18"/>
                <w:szCs w:val="18"/>
              </w:rPr>
            </w:pPr>
            <w:r>
              <w:rPr>
                <w:color w:val="000000"/>
                <w:sz w:val="18"/>
                <w:szCs w:val="18"/>
              </w:rPr>
              <w:t>1#</w:t>
            </w:r>
          </w:p>
        </w:tc>
        <w:tc>
          <w:tcPr>
            <w:tcW w:w="444" w:type="pct"/>
            <w:vMerge w:val="restart"/>
            <w:vAlign w:val="center"/>
          </w:tcPr>
          <w:p w14:paraId="478FD36D">
            <w:pPr>
              <w:pStyle w:val="12"/>
              <w:widowControl w:val="0"/>
              <w:tabs>
                <w:tab w:val="left" w:pos="993"/>
              </w:tabs>
              <w:spacing w:line="240" w:lineRule="auto"/>
              <w:textAlignment w:val="baseline"/>
              <w:rPr>
                <w:color w:val="000000"/>
                <w:sz w:val="18"/>
                <w:szCs w:val="18"/>
              </w:rPr>
            </w:pPr>
            <w:r>
              <w:rPr>
                <w:color w:val="000000"/>
                <w:sz w:val="18"/>
                <w:szCs w:val="18"/>
              </w:rPr>
              <w:t>2022.3.14</w:t>
            </w:r>
          </w:p>
        </w:tc>
        <w:tc>
          <w:tcPr>
            <w:tcW w:w="645" w:type="pct"/>
            <w:vMerge w:val="restart"/>
            <w:vAlign w:val="center"/>
          </w:tcPr>
          <w:p w14:paraId="54BB447A">
            <w:pPr>
              <w:pStyle w:val="12"/>
              <w:widowControl w:val="0"/>
              <w:tabs>
                <w:tab w:val="left" w:pos="993"/>
              </w:tabs>
              <w:spacing w:line="240" w:lineRule="auto"/>
              <w:textAlignment w:val="baseline"/>
              <w:rPr>
                <w:color w:val="000000"/>
                <w:sz w:val="18"/>
                <w:szCs w:val="18"/>
              </w:rPr>
            </w:pPr>
            <w:r>
              <w:rPr>
                <w:color w:val="000000"/>
                <w:sz w:val="18"/>
                <w:szCs w:val="18"/>
              </w:rPr>
              <w:t>29°35ʹ44.95″</w:t>
            </w:r>
          </w:p>
        </w:tc>
        <w:tc>
          <w:tcPr>
            <w:tcW w:w="545" w:type="pct"/>
            <w:vMerge w:val="restart"/>
            <w:vAlign w:val="center"/>
          </w:tcPr>
          <w:p w14:paraId="4B4E571C">
            <w:pPr>
              <w:pStyle w:val="12"/>
              <w:widowControl w:val="0"/>
              <w:tabs>
                <w:tab w:val="left" w:pos="993"/>
              </w:tabs>
              <w:spacing w:line="240" w:lineRule="auto"/>
              <w:textAlignment w:val="baseline"/>
              <w:rPr>
                <w:color w:val="000000"/>
                <w:sz w:val="18"/>
                <w:szCs w:val="18"/>
              </w:rPr>
            </w:pPr>
            <w:r>
              <w:rPr>
                <w:color w:val="000000"/>
                <w:sz w:val="18"/>
                <w:szCs w:val="18"/>
              </w:rPr>
              <w:t>107º32ʹ37.07″</w:t>
            </w:r>
          </w:p>
        </w:tc>
        <w:tc>
          <w:tcPr>
            <w:tcW w:w="577" w:type="pct"/>
            <w:vMerge w:val="restart"/>
            <w:vAlign w:val="center"/>
          </w:tcPr>
          <w:p w14:paraId="36BEAAF1">
            <w:pPr>
              <w:pStyle w:val="12"/>
              <w:widowControl w:val="0"/>
              <w:tabs>
                <w:tab w:val="left" w:pos="993"/>
              </w:tabs>
              <w:spacing w:line="240" w:lineRule="auto"/>
              <w:textAlignment w:val="baseline"/>
              <w:rPr>
                <w:color w:val="000000"/>
                <w:sz w:val="18"/>
                <w:szCs w:val="18"/>
              </w:rPr>
            </w:pPr>
            <w:r>
              <w:rPr>
                <w:color w:val="000000"/>
                <w:sz w:val="18"/>
                <w:szCs w:val="18"/>
              </w:rPr>
              <w:t>占地范围内、柱状样点</w:t>
            </w:r>
          </w:p>
        </w:tc>
        <w:tc>
          <w:tcPr>
            <w:tcW w:w="483" w:type="pct"/>
            <w:vAlign w:val="center"/>
          </w:tcPr>
          <w:p w14:paraId="0078D768">
            <w:pPr>
              <w:widowControl w:val="0"/>
              <w:jc w:val="center"/>
              <w:rPr>
                <w:color w:val="000000"/>
                <w:sz w:val="18"/>
                <w:szCs w:val="18"/>
              </w:rPr>
            </w:pPr>
            <w:r>
              <w:rPr>
                <w:color w:val="000000"/>
                <w:sz w:val="18"/>
                <w:szCs w:val="18"/>
              </w:rPr>
              <w:t>1# 0.5m</w:t>
            </w:r>
          </w:p>
        </w:tc>
        <w:tc>
          <w:tcPr>
            <w:tcW w:w="484" w:type="pct"/>
            <w:vAlign w:val="center"/>
          </w:tcPr>
          <w:p w14:paraId="50920637">
            <w:pPr>
              <w:widowControl w:val="0"/>
              <w:spacing w:line="300" w:lineRule="exact"/>
              <w:jc w:val="center"/>
              <w:rPr>
                <w:color w:val="000000"/>
                <w:sz w:val="18"/>
                <w:szCs w:val="18"/>
              </w:rPr>
            </w:pPr>
            <w:r>
              <w:rPr>
                <w:color w:val="000000"/>
                <w:kern w:val="0"/>
                <w:sz w:val="18"/>
                <w:szCs w:val="18"/>
              </w:rPr>
              <w:t>砂土</w:t>
            </w:r>
          </w:p>
        </w:tc>
        <w:tc>
          <w:tcPr>
            <w:tcW w:w="587" w:type="pct"/>
            <w:vAlign w:val="center"/>
          </w:tcPr>
          <w:p w14:paraId="54052541">
            <w:pPr>
              <w:jc w:val="center"/>
              <w:rPr>
                <w:color w:val="000000"/>
                <w:sz w:val="18"/>
                <w:szCs w:val="18"/>
              </w:rPr>
            </w:pPr>
            <w:r>
              <w:rPr>
                <w:color w:val="000000"/>
                <w:kern w:val="0"/>
                <w:sz w:val="18"/>
                <w:szCs w:val="18"/>
              </w:rPr>
              <w:t>0.5m</w:t>
            </w:r>
          </w:p>
        </w:tc>
        <w:tc>
          <w:tcPr>
            <w:tcW w:w="941" w:type="pct"/>
            <w:vMerge w:val="restart"/>
            <w:vAlign w:val="center"/>
          </w:tcPr>
          <w:p w14:paraId="5ABD09AE">
            <w:pPr>
              <w:pStyle w:val="12"/>
              <w:widowControl w:val="0"/>
              <w:tabs>
                <w:tab w:val="left" w:pos="993"/>
              </w:tabs>
              <w:spacing w:line="240" w:lineRule="auto"/>
              <w:textAlignment w:val="baseline"/>
              <w:rPr>
                <w:color w:val="000000"/>
                <w:sz w:val="18"/>
                <w:szCs w:val="18"/>
              </w:rPr>
            </w:pPr>
            <w:r>
              <w:rPr>
                <w:color w:val="000000"/>
                <w:sz w:val="18"/>
                <w:szCs w:val="18"/>
              </w:rPr>
              <w:t>PH；GB36600表1基本项目：重金属和无机物7项（砷、镉、铬（六价）、铜、铅、汞、镍）、挥发性有机物27项、半挥发性有机物11项；表2特征因子石油烃（C</w:t>
            </w:r>
            <w:r>
              <w:rPr>
                <w:color w:val="000000"/>
                <w:sz w:val="18"/>
                <w:szCs w:val="18"/>
                <w:vertAlign w:val="subscript"/>
              </w:rPr>
              <w:t>10</w:t>
            </w:r>
            <w:r>
              <w:rPr>
                <w:color w:val="000000"/>
                <w:sz w:val="18"/>
                <w:szCs w:val="18"/>
              </w:rPr>
              <w:t>~C</w:t>
            </w:r>
            <w:r>
              <w:rPr>
                <w:color w:val="000000"/>
                <w:sz w:val="18"/>
                <w:szCs w:val="18"/>
                <w:vertAlign w:val="subscript"/>
              </w:rPr>
              <w:t>40</w:t>
            </w:r>
            <w:r>
              <w:rPr>
                <w:color w:val="000000"/>
                <w:sz w:val="18"/>
                <w:szCs w:val="18"/>
              </w:rPr>
              <w:t>）；共计47项</w:t>
            </w:r>
          </w:p>
        </w:tc>
      </w:tr>
      <w:tr w14:paraId="0EF4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vAlign w:val="center"/>
          </w:tcPr>
          <w:p w14:paraId="06BC0892">
            <w:pPr>
              <w:pStyle w:val="12"/>
              <w:widowControl w:val="0"/>
              <w:tabs>
                <w:tab w:val="left" w:pos="993"/>
              </w:tabs>
              <w:spacing w:line="240" w:lineRule="auto"/>
              <w:textAlignment w:val="baseline"/>
              <w:rPr>
                <w:color w:val="000000"/>
                <w:sz w:val="18"/>
                <w:szCs w:val="18"/>
              </w:rPr>
            </w:pPr>
          </w:p>
        </w:tc>
        <w:tc>
          <w:tcPr>
            <w:tcW w:w="444" w:type="pct"/>
            <w:vMerge w:val="continue"/>
            <w:vAlign w:val="center"/>
          </w:tcPr>
          <w:p w14:paraId="378808C8">
            <w:pPr>
              <w:pStyle w:val="12"/>
              <w:widowControl w:val="0"/>
              <w:tabs>
                <w:tab w:val="left" w:pos="993"/>
              </w:tabs>
              <w:spacing w:line="240" w:lineRule="auto"/>
              <w:textAlignment w:val="baseline"/>
              <w:rPr>
                <w:color w:val="000000"/>
                <w:sz w:val="18"/>
                <w:szCs w:val="18"/>
              </w:rPr>
            </w:pPr>
          </w:p>
        </w:tc>
        <w:tc>
          <w:tcPr>
            <w:tcW w:w="645" w:type="pct"/>
            <w:vMerge w:val="continue"/>
            <w:vAlign w:val="center"/>
          </w:tcPr>
          <w:p w14:paraId="5CDD6C03">
            <w:pPr>
              <w:pStyle w:val="12"/>
              <w:widowControl w:val="0"/>
              <w:tabs>
                <w:tab w:val="left" w:pos="993"/>
              </w:tabs>
              <w:spacing w:line="240" w:lineRule="auto"/>
              <w:textAlignment w:val="baseline"/>
              <w:rPr>
                <w:color w:val="000000"/>
                <w:sz w:val="18"/>
                <w:szCs w:val="18"/>
              </w:rPr>
            </w:pPr>
          </w:p>
        </w:tc>
        <w:tc>
          <w:tcPr>
            <w:tcW w:w="545" w:type="pct"/>
            <w:vMerge w:val="continue"/>
            <w:vAlign w:val="center"/>
          </w:tcPr>
          <w:p w14:paraId="0ABAF8E7">
            <w:pPr>
              <w:pStyle w:val="12"/>
              <w:widowControl w:val="0"/>
              <w:tabs>
                <w:tab w:val="left" w:pos="993"/>
              </w:tabs>
              <w:spacing w:line="240" w:lineRule="auto"/>
              <w:textAlignment w:val="baseline"/>
              <w:rPr>
                <w:color w:val="000000"/>
                <w:sz w:val="18"/>
                <w:szCs w:val="18"/>
              </w:rPr>
            </w:pPr>
          </w:p>
        </w:tc>
        <w:tc>
          <w:tcPr>
            <w:tcW w:w="577" w:type="pct"/>
            <w:vMerge w:val="continue"/>
            <w:vAlign w:val="center"/>
          </w:tcPr>
          <w:p w14:paraId="6BF2395C">
            <w:pPr>
              <w:pStyle w:val="12"/>
              <w:widowControl w:val="0"/>
              <w:tabs>
                <w:tab w:val="left" w:pos="993"/>
              </w:tabs>
              <w:spacing w:line="240" w:lineRule="auto"/>
              <w:textAlignment w:val="baseline"/>
              <w:rPr>
                <w:color w:val="000000"/>
                <w:sz w:val="18"/>
                <w:szCs w:val="18"/>
              </w:rPr>
            </w:pPr>
          </w:p>
        </w:tc>
        <w:tc>
          <w:tcPr>
            <w:tcW w:w="483" w:type="pct"/>
            <w:vAlign w:val="center"/>
          </w:tcPr>
          <w:p w14:paraId="7323EFA0">
            <w:pPr>
              <w:widowControl w:val="0"/>
              <w:jc w:val="center"/>
              <w:rPr>
                <w:color w:val="000000"/>
                <w:sz w:val="18"/>
                <w:szCs w:val="18"/>
              </w:rPr>
            </w:pPr>
            <w:r>
              <w:rPr>
                <w:color w:val="000000"/>
                <w:sz w:val="18"/>
                <w:szCs w:val="18"/>
              </w:rPr>
              <w:t>1# 1.5m</w:t>
            </w:r>
          </w:p>
        </w:tc>
        <w:tc>
          <w:tcPr>
            <w:tcW w:w="484" w:type="pct"/>
            <w:vAlign w:val="center"/>
          </w:tcPr>
          <w:p w14:paraId="26C6BA58">
            <w:pPr>
              <w:widowControl w:val="0"/>
              <w:spacing w:line="300" w:lineRule="exact"/>
              <w:jc w:val="center"/>
              <w:rPr>
                <w:color w:val="000000"/>
                <w:sz w:val="18"/>
                <w:szCs w:val="18"/>
              </w:rPr>
            </w:pPr>
            <w:r>
              <w:rPr>
                <w:color w:val="000000"/>
                <w:kern w:val="0"/>
                <w:sz w:val="18"/>
                <w:szCs w:val="18"/>
              </w:rPr>
              <w:t>砂土</w:t>
            </w:r>
          </w:p>
        </w:tc>
        <w:tc>
          <w:tcPr>
            <w:tcW w:w="587" w:type="pct"/>
            <w:vAlign w:val="center"/>
          </w:tcPr>
          <w:p w14:paraId="63DB4EDD">
            <w:pPr>
              <w:jc w:val="center"/>
              <w:rPr>
                <w:color w:val="000000"/>
                <w:sz w:val="18"/>
                <w:szCs w:val="18"/>
              </w:rPr>
            </w:pPr>
            <w:r>
              <w:rPr>
                <w:color w:val="000000"/>
                <w:kern w:val="0"/>
                <w:sz w:val="18"/>
                <w:szCs w:val="18"/>
              </w:rPr>
              <w:t>1.5m</w:t>
            </w:r>
          </w:p>
        </w:tc>
        <w:tc>
          <w:tcPr>
            <w:tcW w:w="941" w:type="pct"/>
            <w:vMerge w:val="continue"/>
            <w:vAlign w:val="center"/>
          </w:tcPr>
          <w:p w14:paraId="1799BD87">
            <w:pPr>
              <w:pStyle w:val="12"/>
              <w:widowControl w:val="0"/>
              <w:tabs>
                <w:tab w:val="left" w:pos="993"/>
              </w:tabs>
              <w:spacing w:line="240" w:lineRule="auto"/>
              <w:textAlignment w:val="baseline"/>
              <w:rPr>
                <w:color w:val="000000"/>
                <w:sz w:val="18"/>
                <w:szCs w:val="18"/>
              </w:rPr>
            </w:pPr>
          </w:p>
        </w:tc>
      </w:tr>
      <w:tr w14:paraId="6FDC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 w:type="pct"/>
            <w:vMerge w:val="continue"/>
            <w:vAlign w:val="center"/>
          </w:tcPr>
          <w:p w14:paraId="209C1EFF">
            <w:pPr>
              <w:pStyle w:val="12"/>
              <w:widowControl w:val="0"/>
              <w:tabs>
                <w:tab w:val="left" w:pos="993"/>
              </w:tabs>
              <w:spacing w:line="240" w:lineRule="auto"/>
              <w:textAlignment w:val="baseline"/>
              <w:rPr>
                <w:color w:val="000000"/>
                <w:sz w:val="18"/>
                <w:szCs w:val="18"/>
              </w:rPr>
            </w:pPr>
          </w:p>
        </w:tc>
        <w:tc>
          <w:tcPr>
            <w:tcW w:w="444" w:type="pct"/>
            <w:vMerge w:val="continue"/>
            <w:vAlign w:val="center"/>
          </w:tcPr>
          <w:p w14:paraId="096D8598">
            <w:pPr>
              <w:pStyle w:val="12"/>
              <w:widowControl w:val="0"/>
              <w:tabs>
                <w:tab w:val="left" w:pos="993"/>
              </w:tabs>
              <w:spacing w:line="240" w:lineRule="auto"/>
              <w:textAlignment w:val="baseline"/>
              <w:rPr>
                <w:color w:val="000000"/>
                <w:sz w:val="18"/>
                <w:szCs w:val="18"/>
              </w:rPr>
            </w:pPr>
          </w:p>
        </w:tc>
        <w:tc>
          <w:tcPr>
            <w:tcW w:w="645" w:type="pct"/>
            <w:vMerge w:val="continue"/>
            <w:vAlign w:val="center"/>
          </w:tcPr>
          <w:p w14:paraId="0FB839CE">
            <w:pPr>
              <w:pStyle w:val="12"/>
              <w:widowControl w:val="0"/>
              <w:tabs>
                <w:tab w:val="left" w:pos="993"/>
              </w:tabs>
              <w:spacing w:line="240" w:lineRule="auto"/>
              <w:textAlignment w:val="baseline"/>
              <w:rPr>
                <w:color w:val="000000"/>
                <w:sz w:val="18"/>
                <w:szCs w:val="18"/>
              </w:rPr>
            </w:pPr>
          </w:p>
        </w:tc>
        <w:tc>
          <w:tcPr>
            <w:tcW w:w="545" w:type="pct"/>
            <w:vMerge w:val="continue"/>
            <w:vAlign w:val="center"/>
          </w:tcPr>
          <w:p w14:paraId="08E221A5">
            <w:pPr>
              <w:pStyle w:val="12"/>
              <w:widowControl w:val="0"/>
              <w:tabs>
                <w:tab w:val="left" w:pos="993"/>
              </w:tabs>
              <w:spacing w:line="240" w:lineRule="auto"/>
              <w:textAlignment w:val="baseline"/>
              <w:rPr>
                <w:color w:val="000000"/>
                <w:sz w:val="18"/>
                <w:szCs w:val="18"/>
              </w:rPr>
            </w:pPr>
          </w:p>
        </w:tc>
        <w:tc>
          <w:tcPr>
            <w:tcW w:w="577" w:type="pct"/>
            <w:vMerge w:val="continue"/>
            <w:vAlign w:val="center"/>
          </w:tcPr>
          <w:p w14:paraId="4478EC4D">
            <w:pPr>
              <w:pStyle w:val="12"/>
              <w:widowControl w:val="0"/>
              <w:tabs>
                <w:tab w:val="left" w:pos="993"/>
              </w:tabs>
              <w:spacing w:line="240" w:lineRule="auto"/>
              <w:textAlignment w:val="baseline"/>
              <w:rPr>
                <w:color w:val="000000"/>
                <w:sz w:val="18"/>
                <w:szCs w:val="18"/>
              </w:rPr>
            </w:pPr>
          </w:p>
        </w:tc>
        <w:tc>
          <w:tcPr>
            <w:tcW w:w="483" w:type="pct"/>
            <w:vAlign w:val="center"/>
          </w:tcPr>
          <w:p w14:paraId="48E289A9">
            <w:pPr>
              <w:widowControl w:val="0"/>
              <w:jc w:val="center"/>
              <w:rPr>
                <w:color w:val="000000"/>
                <w:sz w:val="18"/>
                <w:szCs w:val="18"/>
              </w:rPr>
            </w:pPr>
            <w:r>
              <w:rPr>
                <w:color w:val="000000"/>
                <w:sz w:val="18"/>
                <w:szCs w:val="18"/>
              </w:rPr>
              <w:t>1# 3.0m</w:t>
            </w:r>
          </w:p>
        </w:tc>
        <w:tc>
          <w:tcPr>
            <w:tcW w:w="484" w:type="pct"/>
            <w:vAlign w:val="center"/>
          </w:tcPr>
          <w:p w14:paraId="33350001">
            <w:pPr>
              <w:widowControl w:val="0"/>
              <w:spacing w:line="300" w:lineRule="exact"/>
              <w:jc w:val="center"/>
              <w:rPr>
                <w:color w:val="000000"/>
                <w:sz w:val="18"/>
                <w:szCs w:val="18"/>
              </w:rPr>
            </w:pPr>
            <w:r>
              <w:rPr>
                <w:color w:val="000000"/>
                <w:kern w:val="0"/>
                <w:sz w:val="18"/>
                <w:szCs w:val="18"/>
              </w:rPr>
              <w:t>砂土</w:t>
            </w:r>
          </w:p>
        </w:tc>
        <w:tc>
          <w:tcPr>
            <w:tcW w:w="587" w:type="pct"/>
            <w:vAlign w:val="center"/>
          </w:tcPr>
          <w:p w14:paraId="120E8BBF">
            <w:pPr>
              <w:jc w:val="center"/>
              <w:rPr>
                <w:color w:val="000000"/>
                <w:sz w:val="18"/>
                <w:szCs w:val="18"/>
              </w:rPr>
            </w:pPr>
            <w:r>
              <w:rPr>
                <w:color w:val="000000"/>
                <w:kern w:val="0"/>
                <w:sz w:val="18"/>
                <w:szCs w:val="18"/>
              </w:rPr>
              <w:t>3.0m</w:t>
            </w:r>
          </w:p>
        </w:tc>
        <w:tc>
          <w:tcPr>
            <w:tcW w:w="941" w:type="pct"/>
            <w:vMerge w:val="continue"/>
            <w:vAlign w:val="center"/>
          </w:tcPr>
          <w:p w14:paraId="0D057D46">
            <w:pPr>
              <w:pStyle w:val="12"/>
              <w:widowControl w:val="0"/>
              <w:tabs>
                <w:tab w:val="left" w:pos="993"/>
              </w:tabs>
              <w:spacing w:line="240" w:lineRule="auto"/>
              <w:textAlignment w:val="baseline"/>
              <w:rPr>
                <w:color w:val="000000"/>
                <w:sz w:val="18"/>
                <w:szCs w:val="18"/>
              </w:rPr>
            </w:pPr>
          </w:p>
        </w:tc>
      </w:tr>
      <w:tr w14:paraId="6038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restart"/>
            <w:vAlign w:val="center"/>
          </w:tcPr>
          <w:p w14:paraId="18DA9A73">
            <w:pPr>
              <w:pStyle w:val="12"/>
              <w:widowControl w:val="0"/>
              <w:tabs>
                <w:tab w:val="left" w:pos="993"/>
              </w:tabs>
              <w:spacing w:line="240" w:lineRule="auto"/>
              <w:textAlignment w:val="baseline"/>
              <w:rPr>
                <w:color w:val="000000"/>
                <w:sz w:val="18"/>
                <w:szCs w:val="18"/>
              </w:rPr>
            </w:pPr>
            <w:r>
              <w:rPr>
                <w:color w:val="000000"/>
                <w:sz w:val="18"/>
                <w:szCs w:val="18"/>
              </w:rPr>
              <w:t>2#</w:t>
            </w:r>
          </w:p>
        </w:tc>
        <w:tc>
          <w:tcPr>
            <w:tcW w:w="444" w:type="pct"/>
            <w:vMerge w:val="restart"/>
            <w:vAlign w:val="center"/>
          </w:tcPr>
          <w:p w14:paraId="5E4D02A2">
            <w:pPr>
              <w:pStyle w:val="12"/>
              <w:widowControl w:val="0"/>
              <w:tabs>
                <w:tab w:val="left" w:pos="993"/>
              </w:tabs>
              <w:spacing w:line="240" w:lineRule="auto"/>
              <w:textAlignment w:val="baseline"/>
              <w:rPr>
                <w:color w:val="000000"/>
                <w:sz w:val="18"/>
                <w:szCs w:val="18"/>
              </w:rPr>
            </w:pPr>
            <w:r>
              <w:rPr>
                <w:color w:val="000000"/>
                <w:sz w:val="18"/>
                <w:szCs w:val="18"/>
              </w:rPr>
              <w:t>2022.3.14</w:t>
            </w:r>
          </w:p>
        </w:tc>
        <w:tc>
          <w:tcPr>
            <w:tcW w:w="645" w:type="pct"/>
            <w:vMerge w:val="restart"/>
            <w:vAlign w:val="center"/>
          </w:tcPr>
          <w:p w14:paraId="32DD34E4">
            <w:pPr>
              <w:pStyle w:val="12"/>
              <w:widowControl w:val="0"/>
              <w:tabs>
                <w:tab w:val="left" w:pos="993"/>
              </w:tabs>
              <w:spacing w:line="240" w:lineRule="auto"/>
              <w:textAlignment w:val="baseline"/>
              <w:rPr>
                <w:color w:val="000000"/>
                <w:sz w:val="18"/>
                <w:szCs w:val="18"/>
              </w:rPr>
            </w:pPr>
            <w:r>
              <w:rPr>
                <w:color w:val="000000"/>
                <w:sz w:val="18"/>
                <w:szCs w:val="18"/>
              </w:rPr>
              <w:t>29°35ʹ43.57″</w:t>
            </w:r>
          </w:p>
        </w:tc>
        <w:tc>
          <w:tcPr>
            <w:tcW w:w="545" w:type="pct"/>
            <w:vMerge w:val="restart"/>
            <w:vAlign w:val="center"/>
          </w:tcPr>
          <w:p w14:paraId="6704FF6F">
            <w:pPr>
              <w:pStyle w:val="12"/>
              <w:widowControl w:val="0"/>
              <w:tabs>
                <w:tab w:val="left" w:pos="993"/>
              </w:tabs>
              <w:spacing w:line="240" w:lineRule="auto"/>
              <w:textAlignment w:val="baseline"/>
              <w:rPr>
                <w:color w:val="000000"/>
                <w:sz w:val="18"/>
                <w:szCs w:val="18"/>
              </w:rPr>
            </w:pPr>
            <w:r>
              <w:rPr>
                <w:color w:val="000000"/>
                <w:sz w:val="18"/>
                <w:szCs w:val="18"/>
              </w:rPr>
              <w:t>107º32ʹ38.09″</w:t>
            </w:r>
          </w:p>
        </w:tc>
        <w:tc>
          <w:tcPr>
            <w:tcW w:w="577" w:type="pct"/>
            <w:vMerge w:val="restart"/>
            <w:vAlign w:val="center"/>
          </w:tcPr>
          <w:p w14:paraId="6659829B">
            <w:pPr>
              <w:pStyle w:val="12"/>
              <w:widowControl w:val="0"/>
              <w:tabs>
                <w:tab w:val="left" w:pos="993"/>
              </w:tabs>
              <w:spacing w:line="240" w:lineRule="auto"/>
              <w:textAlignment w:val="baseline"/>
              <w:rPr>
                <w:color w:val="000000"/>
                <w:sz w:val="18"/>
                <w:szCs w:val="18"/>
              </w:rPr>
            </w:pPr>
            <w:r>
              <w:rPr>
                <w:color w:val="000000"/>
                <w:sz w:val="18"/>
                <w:szCs w:val="18"/>
              </w:rPr>
              <w:t>占地范围内、柱状样点</w:t>
            </w:r>
          </w:p>
        </w:tc>
        <w:tc>
          <w:tcPr>
            <w:tcW w:w="483" w:type="pct"/>
            <w:vAlign w:val="center"/>
          </w:tcPr>
          <w:p w14:paraId="5578E64E">
            <w:pPr>
              <w:widowControl w:val="0"/>
              <w:jc w:val="center"/>
              <w:rPr>
                <w:color w:val="000000"/>
                <w:sz w:val="18"/>
                <w:szCs w:val="18"/>
              </w:rPr>
            </w:pPr>
            <w:r>
              <w:rPr>
                <w:color w:val="000000"/>
                <w:sz w:val="18"/>
                <w:szCs w:val="18"/>
              </w:rPr>
              <w:t>2# 0.5m</w:t>
            </w:r>
          </w:p>
        </w:tc>
        <w:tc>
          <w:tcPr>
            <w:tcW w:w="484" w:type="pct"/>
            <w:vAlign w:val="center"/>
          </w:tcPr>
          <w:p w14:paraId="719FB00B">
            <w:pPr>
              <w:widowControl w:val="0"/>
              <w:spacing w:line="300" w:lineRule="exact"/>
              <w:jc w:val="center"/>
              <w:rPr>
                <w:color w:val="000000"/>
                <w:sz w:val="18"/>
                <w:szCs w:val="18"/>
              </w:rPr>
            </w:pPr>
            <w:r>
              <w:rPr>
                <w:color w:val="000000"/>
                <w:kern w:val="0"/>
                <w:sz w:val="18"/>
                <w:szCs w:val="18"/>
              </w:rPr>
              <w:t>壤土</w:t>
            </w:r>
          </w:p>
        </w:tc>
        <w:tc>
          <w:tcPr>
            <w:tcW w:w="587" w:type="pct"/>
            <w:vAlign w:val="center"/>
          </w:tcPr>
          <w:p w14:paraId="635AF119">
            <w:pPr>
              <w:jc w:val="center"/>
              <w:rPr>
                <w:color w:val="000000"/>
                <w:sz w:val="18"/>
                <w:szCs w:val="18"/>
              </w:rPr>
            </w:pPr>
            <w:r>
              <w:rPr>
                <w:color w:val="000000"/>
                <w:kern w:val="0"/>
                <w:sz w:val="18"/>
                <w:szCs w:val="18"/>
              </w:rPr>
              <w:t>0.5m</w:t>
            </w:r>
          </w:p>
        </w:tc>
        <w:tc>
          <w:tcPr>
            <w:tcW w:w="941" w:type="pct"/>
            <w:vMerge w:val="continue"/>
            <w:vAlign w:val="center"/>
          </w:tcPr>
          <w:p w14:paraId="21D6AE6A">
            <w:pPr>
              <w:pStyle w:val="12"/>
              <w:widowControl w:val="0"/>
              <w:tabs>
                <w:tab w:val="left" w:pos="993"/>
              </w:tabs>
              <w:spacing w:line="240" w:lineRule="auto"/>
              <w:textAlignment w:val="baseline"/>
              <w:rPr>
                <w:color w:val="000000"/>
                <w:sz w:val="18"/>
                <w:szCs w:val="18"/>
              </w:rPr>
            </w:pPr>
          </w:p>
        </w:tc>
      </w:tr>
      <w:tr w14:paraId="7AF3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vAlign w:val="center"/>
          </w:tcPr>
          <w:p w14:paraId="0269C80F">
            <w:pPr>
              <w:pStyle w:val="12"/>
              <w:widowControl w:val="0"/>
              <w:tabs>
                <w:tab w:val="left" w:pos="993"/>
              </w:tabs>
              <w:spacing w:line="240" w:lineRule="auto"/>
              <w:textAlignment w:val="baseline"/>
              <w:rPr>
                <w:color w:val="000000"/>
                <w:sz w:val="18"/>
                <w:szCs w:val="18"/>
              </w:rPr>
            </w:pPr>
          </w:p>
        </w:tc>
        <w:tc>
          <w:tcPr>
            <w:tcW w:w="444" w:type="pct"/>
            <w:vMerge w:val="continue"/>
            <w:vAlign w:val="center"/>
          </w:tcPr>
          <w:p w14:paraId="01C42F38">
            <w:pPr>
              <w:pStyle w:val="12"/>
              <w:widowControl w:val="0"/>
              <w:tabs>
                <w:tab w:val="left" w:pos="993"/>
              </w:tabs>
              <w:spacing w:line="240" w:lineRule="auto"/>
              <w:textAlignment w:val="baseline"/>
              <w:rPr>
                <w:color w:val="000000"/>
                <w:sz w:val="18"/>
                <w:szCs w:val="18"/>
              </w:rPr>
            </w:pPr>
          </w:p>
        </w:tc>
        <w:tc>
          <w:tcPr>
            <w:tcW w:w="645" w:type="pct"/>
            <w:vMerge w:val="continue"/>
            <w:vAlign w:val="center"/>
          </w:tcPr>
          <w:p w14:paraId="3AF2F342">
            <w:pPr>
              <w:pStyle w:val="12"/>
              <w:widowControl w:val="0"/>
              <w:tabs>
                <w:tab w:val="left" w:pos="993"/>
              </w:tabs>
              <w:spacing w:line="240" w:lineRule="auto"/>
              <w:textAlignment w:val="baseline"/>
              <w:rPr>
                <w:color w:val="000000"/>
                <w:sz w:val="18"/>
                <w:szCs w:val="18"/>
              </w:rPr>
            </w:pPr>
          </w:p>
        </w:tc>
        <w:tc>
          <w:tcPr>
            <w:tcW w:w="545" w:type="pct"/>
            <w:vMerge w:val="continue"/>
            <w:vAlign w:val="center"/>
          </w:tcPr>
          <w:p w14:paraId="526DC0A6">
            <w:pPr>
              <w:pStyle w:val="12"/>
              <w:widowControl w:val="0"/>
              <w:tabs>
                <w:tab w:val="left" w:pos="993"/>
              </w:tabs>
              <w:spacing w:line="240" w:lineRule="auto"/>
              <w:textAlignment w:val="baseline"/>
              <w:rPr>
                <w:color w:val="000000"/>
                <w:sz w:val="18"/>
                <w:szCs w:val="18"/>
              </w:rPr>
            </w:pPr>
          </w:p>
        </w:tc>
        <w:tc>
          <w:tcPr>
            <w:tcW w:w="577" w:type="pct"/>
            <w:vMerge w:val="continue"/>
            <w:vAlign w:val="center"/>
          </w:tcPr>
          <w:p w14:paraId="18015D80">
            <w:pPr>
              <w:pStyle w:val="12"/>
              <w:widowControl w:val="0"/>
              <w:tabs>
                <w:tab w:val="left" w:pos="993"/>
              </w:tabs>
              <w:spacing w:line="240" w:lineRule="auto"/>
              <w:textAlignment w:val="baseline"/>
              <w:rPr>
                <w:color w:val="000000"/>
                <w:sz w:val="18"/>
                <w:szCs w:val="18"/>
              </w:rPr>
            </w:pPr>
          </w:p>
        </w:tc>
        <w:tc>
          <w:tcPr>
            <w:tcW w:w="483" w:type="pct"/>
            <w:vAlign w:val="center"/>
          </w:tcPr>
          <w:p w14:paraId="59BA4C6B">
            <w:pPr>
              <w:widowControl w:val="0"/>
              <w:jc w:val="center"/>
              <w:rPr>
                <w:color w:val="000000"/>
                <w:sz w:val="18"/>
                <w:szCs w:val="18"/>
              </w:rPr>
            </w:pPr>
            <w:r>
              <w:rPr>
                <w:color w:val="000000"/>
                <w:sz w:val="18"/>
                <w:szCs w:val="18"/>
              </w:rPr>
              <w:t>2# 1.5m</w:t>
            </w:r>
          </w:p>
        </w:tc>
        <w:tc>
          <w:tcPr>
            <w:tcW w:w="484" w:type="pct"/>
            <w:vAlign w:val="center"/>
          </w:tcPr>
          <w:p w14:paraId="1007D781">
            <w:pPr>
              <w:widowControl w:val="0"/>
              <w:spacing w:line="300" w:lineRule="exact"/>
              <w:jc w:val="center"/>
              <w:rPr>
                <w:color w:val="000000"/>
                <w:sz w:val="18"/>
                <w:szCs w:val="18"/>
              </w:rPr>
            </w:pPr>
            <w:r>
              <w:rPr>
                <w:color w:val="000000"/>
                <w:kern w:val="0"/>
                <w:sz w:val="18"/>
                <w:szCs w:val="18"/>
              </w:rPr>
              <w:t>壤土</w:t>
            </w:r>
          </w:p>
        </w:tc>
        <w:tc>
          <w:tcPr>
            <w:tcW w:w="587" w:type="pct"/>
            <w:vAlign w:val="center"/>
          </w:tcPr>
          <w:p w14:paraId="527C1361">
            <w:pPr>
              <w:jc w:val="center"/>
              <w:rPr>
                <w:color w:val="000000"/>
                <w:sz w:val="18"/>
                <w:szCs w:val="18"/>
              </w:rPr>
            </w:pPr>
            <w:r>
              <w:rPr>
                <w:color w:val="000000"/>
                <w:kern w:val="0"/>
                <w:sz w:val="18"/>
                <w:szCs w:val="18"/>
              </w:rPr>
              <w:t>1.5m</w:t>
            </w:r>
          </w:p>
        </w:tc>
        <w:tc>
          <w:tcPr>
            <w:tcW w:w="941" w:type="pct"/>
            <w:vMerge w:val="continue"/>
            <w:vAlign w:val="center"/>
          </w:tcPr>
          <w:p w14:paraId="6E3630CC">
            <w:pPr>
              <w:pStyle w:val="12"/>
              <w:widowControl w:val="0"/>
              <w:tabs>
                <w:tab w:val="left" w:pos="993"/>
              </w:tabs>
              <w:spacing w:line="240" w:lineRule="auto"/>
              <w:textAlignment w:val="baseline"/>
              <w:rPr>
                <w:color w:val="000000"/>
                <w:sz w:val="18"/>
                <w:szCs w:val="18"/>
              </w:rPr>
            </w:pPr>
          </w:p>
        </w:tc>
      </w:tr>
      <w:tr w14:paraId="228D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vAlign w:val="center"/>
          </w:tcPr>
          <w:p w14:paraId="3FA0560E">
            <w:pPr>
              <w:pStyle w:val="12"/>
              <w:widowControl w:val="0"/>
              <w:tabs>
                <w:tab w:val="left" w:pos="993"/>
              </w:tabs>
              <w:spacing w:line="240" w:lineRule="auto"/>
              <w:textAlignment w:val="baseline"/>
              <w:rPr>
                <w:color w:val="000000"/>
                <w:sz w:val="18"/>
                <w:szCs w:val="18"/>
              </w:rPr>
            </w:pPr>
          </w:p>
        </w:tc>
        <w:tc>
          <w:tcPr>
            <w:tcW w:w="444" w:type="pct"/>
            <w:vMerge w:val="continue"/>
            <w:vAlign w:val="center"/>
          </w:tcPr>
          <w:p w14:paraId="6F84FD87">
            <w:pPr>
              <w:pStyle w:val="12"/>
              <w:widowControl w:val="0"/>
              <w:tabs>
                <w:tab w:val="left" w:pos="993"/>
              </w:tabs>
              <w:spacing w:line="240" w:lineRule="auto"/>
              <w:textAlignment w:val="baseline"/>
              <w:rPr>
                <w:color w:val="000000"/>
                <w:sz w:val="18"/>
                <w:szCs w:val="18"/>
              </w:rPr>
            </w:pPr>
          </w:p>
        </w:tc>
        <w:tc>
          <w:tcPr>
            <w:tcW w:w="645" w:type="pct"/>
            <w:vMerge w:val="continue"/>
            <w:vAlign w:val="center"/>
          </w:tcPr>
          <w:p w14:paraId="2B7E4253">
            <w:pPr>
              <w:pStyle w:val="12"/>
              <w:widowControl w:val="0"/>
              <w:tabs>
                <w:tab w:val="left" w:pos="993"/>
              </w:tabs>
              <w:spacing w:line="240" w:lineRule="auto"/>
              <w:textAlignment w:val="baseline"/>
              <w:rPr>
                <w:color w:val="000000"/>
                <w:sz w:val="18"/>
                <w:szCs w:val="18"/>
              </w:rPr>
            </w:pPr>
          </w:p>
        </w:tc>
        <w:tc>
          <w:tcPr>
            <w:tcW w:w="545" w:type="pct"/>
            <w:vMerge w:val="continue"/>
            <w:vAlign w:val="center"/>
          </w:tcPr>
          <w:p w14:paraId="61755058">
            <w:pPr>
              <w:pStyle w:val="12"/>
              <w:widowControl w:val="0"/>
              <w:tabs>
                <w:tab w:val="left" w:pos="993"/>
              </w:tabs>
              <w:spacing w:line="240" w:lineRule="auto"/>
              <w:textAlignment w:val="baseline"/>
              <w:rPr>
                <w:color w:val="000000"/>
                <w:sz w:val="18"/>
                <w:szCs w:val="18"/>
              </w:rPr>
            </w:pPr>
          </w:p>
        </w:tc>
        <w:tc>
          <w:tcPr>
            <w:tcW w:w="577" w:type="pct"/>
            <w:vMerge w:val="continue"/>
            <w:vAlign w:val="center"/>
          </w:tcPr>
          <w:p w14:paraId="2FC37540">
            <w:pPr>
              <w:pStyle w:val="12"/>
              <w:widowControl w:val="0"/>
              <w:tabs>
                <w:tab w:val="left" w:pos="993"/>
              </w:tabs>
              <w:spacing w:line="240" w:lineRule="auto"/>
              <w:textAlignment w:val="baseline"/>
              <w:rPr>
                <w:color w:val="000000"/>
                <w:sz w:val="18"/>
                <w:szCs w:val="18"/>
              </w:rPr>
            </w:pPr>
          </w:p>
        </w:tc>
        <w:tc>
          <w:tcPr>
            <w:tcW w:w="483" w:type="pct"/>
            <w:vAlign w:val="center"/>
          </w:tcPr>
          <w:p w14:paraId="0AFF5275">
            <w:pPr>
              <w:widowControl w:val="0"/>
              <w:jc w:val="center"/>
              <w:rPr>
                <w:color w:val="000000"/>
                <w:sz w:val="18"/>
                <w:szCs w:val="18"/>
              </w:rPr>
            </w:pPr>
            <w:r>
              <w:rPr>
                <w:color w:val="000000"/>
                <w:sz w:val="18"/>
                <w:szCs w:val="18"/>
              </w:rPr>
              <w:t>2# 3.0m</w:t>
            </w:r>
          </w:p>
        </w:tc>
        <w:tc>
          <w:tcPr>
            <w:tcW w:w="484" w:type="pct"/>
            <w:vAlign w:val="center"/>
          </w:tcPr>
          <w:p w14:paraId="564DEBA9">
            <w:pPr>
              <w:widowControl w:val="0"/>
              <w:spacing w:line="300" w:lineRule="exact"/>
              <w:jc w:val="center"/>
              <w:rPr>
                <w:color w:val="000000"/>
                <w:sz w:val="18"/>
                <w:szCs w:val="18"/>
              </w:rPr>
            </w:pPr>
            <w:r>
              <w:rPr>
                <w:color w:val="000000"/>
                <w:kern w:val="0"/>
                <w:sz w:val="18"/>
                <w:szCs w:val="18"/>
              </w:rPr>
              <w:t>壤土</w:t>
            </w:r>
          </w:p>
        </w:tc>
        <w:tc>
          <w:tcPr>
            <w:tcW w:w="587" w:type="pct"/>
            <w:vAlign w:val="center"/>
          </w:tcPr>
          <w:p w14:paraId="08D6D310">
            <w:pPr>
              <w:jc w:val="center"/>
              <w:rPr>
                <w:color w:val="000000"/>
                <w:sz w:val="18"/>
                <w:szCs w:val="18"/>
              </w:rPr>
            </w:pPr>
            <w:r>
              <w:rPr>
                <w:color w:val="000000"/>
                <w:kern w:val="0"/>
                <w:sz w:val="18"/>
                <w:szCs w:val="18"/>
              </w:rPr>
              <w:t>3.0m</w:t>
            </w:r>
          </w:p>
        </w:tc>
        <w:tc>
          <w:tcPr>
            <w:tcW w:w="941" w:type="pct"/>
            <w:vMerge w:val="continue"/>
            <w:vAlign w:val="center"/>
          </w:tcPr>
          <w:p w14:paraId="5D53661F">
            <w:pPr>
              <w:pStyle w:val="12"/>
              <w:widowControl w:val="0"/>
              <w:tabs>
                <w:tab w:val="left" w:pos="993"/>
              </w:tabs>
              <w:spacing w:line="240" w:lineRule="auto"/>
              <w:textAlignment w:val="baseline"/>
              <w:rPr>
                <w:color w:val="000000"/>
                <w:sz w:val="18"/>
                <w:szCs w:val="18"/>
              </w:rPr>
            </w:pPr>
          </w:p>
        </w:tc>
      </w:tr>
      <w:tr w14:paraId="650A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restart"/>
            <w:vAlign w:val="center"/>
          </w:tcPr>
          <w:p w14:paraId="02088E92">
            <w:pPr>
              <w:pStyle w:val="12"/>
              <w:widowControl w:val="0"/>
              <w:tabs>
                <w:tab w:val="left" w:pos="993"/>
              </w:tabs>
              <w:spacing w:line="240" w:lineRule="auto"/>
              <w:textAlignment w:val="baseline"/>
              <w:rPr>
                <w:color w:val="000000"/>
                <w:sz w:val="18"/>
                <w:szCs w:val="18"/>
              </w:rPr>
            </w:pPr>
            <w:r>
              <w:rPr>
                <w:color w:val="000000"/>
                <w:sz w:val="18"/>
                <w:szCs w:val="18"/>
              </w:rPr>
              <w:t>3#</w:t>
            </w:r>
          </w:p>
        </w:tc>
        <w:tc>
          <w:tcPr>
            <w:tcW w:w="444" w:type="pct"/>
            <w:vMerge w:val="restart"/>
            <w:vAlign w:val="center"/>
          </w:tcPr>
          <w:p w14:paraId="2F5038D0">
            <w:pPr>
              <w:pStyle w:val="12"/>
              <w:widowControl w:val="0"/>
              <w:tabs>
                <w:tab w:val="left" w:pos="993"/>
              </w:tabs>
              <w:spacing w:line="240" w:lineRule="auto"/>
              <w:textAlignment w:val="baseline"/>
              <w:rPr>
                <w:color w:val="000000"/>
                <w:sz w:val="18"/>
                <w:szCs w:val="18"/>
              </w:rPr>
            </w:pPr>
            <w:r>
              <w:rPr>
                <w:color w:val="000000"/>
                <w:sz w:val="18"/>
                <w:szCs w:val="18"/>
              </w:rPr>
              <w:t>2022.3.14</w:t>
            </w:r>
          </w:p>
        </w:tc>
        <w:tc>
          <w:tcPr>
            <w:tcW w:w="645" w:type="pct"/>
            <w:vMerge w:val="restart"/>
            <w:vAlign w:val="center"/>
          </w:tcPr>
          <w:p w14:paraId="6F447B2B">
            <w:pPr>
              <w:pStyle w:val="12"/>
              <w:widowControl w:val="0"/>
              <w:tabs>
                <w:tab w:val="left" w:pos="993"/>
              </w:tabs>
              <w:spacing w:line="240" w:lineRule="auto"/>
              <w:textAlignment w:val="baseline"/>
              <w:rPr>
                <w:color w:val="000000"/>
                <w:sz w:val="18"/>
                <w:szCs w:val="18"/>
              </w:rPr>
            </w:pPr>
            <w:r>
              <w:rPr>
                <w:color w:val="000000"/>
                <w:sz w:val="18"/>
                <w:szCs w:val="18"/>
              </w:rPr>
              <w:t>29°35ʹ46.91″</w:t>
            </w:r>
          </w:p>
        </w:tc>
        <w:tc>
          <w:tcPr>
            <w:tcW w:w="545" w:type="pct"/>
            <w:vMerge w:val="restart"/>
            <w:vAlign w:val="center"/>
          </w:tcPr>
          <w:p w14:paraId="5656C414">
            <w:pPr>
              <w:pStyle w:val="12"/>
              <w:widowControl w:val="0"/>
              <w:tabs>
                <w:tab w:val="left" w:pos="993"/>
              </w:tabs>
              <w:spacing w:line="240" w:lineRule="auto"/>
              <w:textAlignment w:val="baseline"/>
              <w:rPr>
                <w:color w:val="000000"/>
                <w:sz w:val="18"/>
                <w:szCs w:val="18"/>
              </w:rPr>
            </w:pPr>
            <w:r>
              <w:rPr>
                <w:color w:val="000000"/>
                <w:sz w:val="18"/>
                <w:szCs w:val="18"/>
              </w:rPr>
              <w:t>107º32ʹ37.86″</w:t>
            </w:r>
          </w:p>
        </w:tc>
        <w:tc>
          <w:tcPr>
            <w:tcW w:w="577" w:type="pct"/>
            <w:vMerge w:val="restart"/>
            <w:vAlign w:val="center"/>
          </w:tcPr>
          <w:p w14:paraId="7D78AD56">
            <w:pPr>
              <w:pStyle w:val="12"/>
              <w:widowControl w:val="0"/>
              <w:tabs>
                <w:tab w:val="left" w:pos="993"/>
              </w:tabs>
              <w:spacing w:line="240" w:lineRule="auto"/>
              <w:textAlignment w:val="baseline"/>
              <w:rPr>
                <w:color w:val="000000"/>
                <w:sz w:val="18"/>
                <w:szCs w:val="18"/>
              </w:rPr>
            </w:pPr>
            <w:r>
              <w:rPr>
                <w:color w:val="000000"/>
                <w:sz w:val="18"/>
                <w:szCs w:val="18"/>
              </w:rPr>
              <w:t>占地范围内、柱状样点</w:t>
            </w:r>
          </w:p>
        </w:tc>
        <w:tc>
          <w:tcPr>
            <w:tcW w:w="483" w:type="pct"/>
            <w:vAlign w:val="center"/>
          </w:tcPr>
          <w:p w14:paraId="5A32BB26">
            <w:pPr>
              <w:widowControl w:val="0"/>
              <w:jc w:val="center"/>
              <w:rPr>
                <w:color w:val="000000"/>
                <w:sz w:val="18"/>
                <w:szCs w:val="18"/>
              </w:rPr>
            </w:pPr>
            <w:r>
              <w:rPr>
                <w:color w:val="000000"/>
                <w:sz w:val="18"/>
                <w:szCs w:val="18"/>
              </w:rPr>
              <w:t>3# 0.5m</w:t>
            </w:r>
          </w:p>
        </w:tc>
        <w:tc>
          <w:tcPr>
            <w:tcW w:w="484" w:type="pct"/>
            <w:vAlign w:val="center"/>
          </w:tcPr>
          <w:p w14:paraId="35C63BA1">
            <w:pPr>
              <w:widowControl w:val="0"/>
              <w:spacing w:line="300" w:lineRule="exact"/>
              <w:jc w:val="center"/>
              <w:rPr>
                <w:color w:val="000000"/>
                <w:sz w:val="18"/>
                <w:szCs w:val="18"/>
              </w:rPr>
            </w:pPr>
            <w:r>
              <w:rPr>
                <w:color w:val="000000"/>
                <w:kern w:val="0"/>
                <w:sz w:val="18"/>
                <w:szCs w:val="18"/>
              </w:rPr>
              <w:t>砂土</w:t>
            </w:r>
          </w:p>
        </w:tc>
        <w:tc>
          <w:tcPr>
            <w:tcW w:w="587" w:type="pct"/>
            <w:vAlign w:val="center"/>
          </w:tcPr>
          <w:p w14:paraId="40D7CE21">
            <w:pPr>
              <w:jc w:val="center"/>
              <w:rPr>
                <w:color w:val="000000"/>
                <w:sz w:val="18"/>
                <w:szCs w:val="18"/>
              </w:rPr>
            </w:pPr>
            <w:r>
              <w:rPr>
                <w:color w:val="000000"/>
                <w:kern w:val="0"/>
                <w:sz w:val="18"/>
                <w:szCs w:val="18"/>
              </w:rPr>
              <w:t>0.5m</w:t>
            </w:r>
          </w:p>
        </w:tc>
        <w:tc>
          <w:tcPr>
            <w:tcW w:w="941" w:type="pct"/>
            <w:vMerge w:val="restart"/>
            <w:vAlign w:val="center"/>
          </w:tcPr>
          <w:p w14:paraId="0027BEED">
            <w:pPr>
              <w:pStyle w:val="12"/>
              <w:widowControl w:val="0"/>
              <w:tabs>
                <w:tab w:val="left" w:pos="993"/>
              </w:tabs>
              <w:spacing w:line="240" w:lineRule="auto"/>
              <w:textAlignment w:val="baseline"/>
              <w:rPr>
                <w:color w:val="000000"/>
                <w:sz w:val="18"/>
                <w:szCs w:val="18"/>
              </w:rPr>
            </w:pPr>
            <w:r>
              <w:rPr>
                <w:color w:val="000000"/>
                <w:sz w:val="18"/>
                <w:szCs w:val="18"/>
              </w:rPr>
              <w:t>pH、石油烃（C</w:t>
            </w:r>
            <w:r>
              <w:rPr>
                <w:color w:val="000000"/>
                <w:sz w:val="18"/>
                <w:szCs w:val="18"/>
                <w:vertAlign w:val="subscript"/>
              </w:rPr>
              <w:t>10</w:t>
            </w:r>
            <w:r>
              <w:rPr>
                <w:color w:val="000000"/>
                <w:sz w:val="18"/>
                <w:szCs w:val="18"/>
              </w:rPr>
              <w:t>~C</w:t>
            </w:r>
            <w:r>
              <w:rPr>
                <w:color w:val="000000"/>
                <w:sz w:val="18"/>
                <w:szCs w:val="18"/>
                <w:vertAlign w:val="subscript"/>
              </w:rPr>
              <w:t>40</w:t>
            </w:r>
            <w:r>
              <w:rPr>
                <w:color w:val="000000"/>
                <w:sz w:val="18"/>
                <w:szCs w:val="18"/>
              </w:rPr>
              <w:t>）、铜</w:t>
            </w:r>
            <w:r>
              <w:rPr>
                <w:color w:val="000000"/>
                <w:spacing w:val="-5"/>
                <w:sz w:val="18"/>
                <w:szCs w:val="18"/>
              </w:rPr>
              <w:t>共3项</w:t>
            </w:r>
          </w:p>
        </w:tc>
      </w:tr>
      <w:tr w14:paraId="5736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89" w:type="pct"/>
            <w:vMerge w:val="continue"/>
            <w:vAlign w:val="center"/>
          </w:tcPr>
          <w:p w14:paraId="61A1ABC9">
            <w:pPr>
              <w:pStyle w:val="12"/>
              <w:widowControl w:val="0"/>
              <w:tabs>
                <w:tab w:val="left" w:pos="993"/>
              </w:tabs>
              <w:spacing w:line="240" w:lineRule="auto"/>
              <w:textAlignment w:val="baseline"/>
              <w:rPr>
                <w:color w:val="000000"/>
                <w:sz w:val="18"/>
                <w:szCs w:val="18"/>
              </w:rPr>
            </w:pPr>
          </w:p>
        </w:tc>
        <w:tc>
          <w:tcPr>
            <w:tcW w:w="444" w:type="pct"/>
            <w:vMerge w:val="continue"/>
            <w:vAlign w:val="center"/>
          </w:tcPr>
          <w:p w14:paraId="6A123F00">
            <w:pPr>
              <w:pStyle w:val="12"/>
              <w:widowControl w:val="0"/>
              <w:tabs>
                <w:tab w:val="left" w:pos="993"/>
              </w:tabs>
              <w:spacing w:line="240" w:lineRule="auto"/>
              <w:textAlignment w:val="baseline"/>
              <w:rPr>
                <w:color w:val="000000"/>
                <w:sz w:val="18"/>
                <w:szCs w:val="18"/>
              </w:rPr>
            </w:pPr>
          </w:p>
        </w:tc>
        <w:tc>
          <w:tcPr>
            <w:tcW w:w="645" w:type="pct"/>
            <w:vMerge w:val="continue"/>
            <w:vAlign w:val="center"/>
          </w:tcPr>
          <w:p w14:paraId="5B268CF6">
            <w:pPr>
              <w:pStyle w:val="12"/>
              <w:widowControl w:val="0"/>
              <w:tabs>
                <w:tab w:val="left" w:pos="993"/>
              </w:tabs>
              <w:spacing w:line="240" w:lineRule="auto"/>
              <w:textAlignment w:val="baseline"/>
              <w:rPr>
                <w:color w:val="000000"/>
                <w:sz w:val="18"/>
                <w:szCs w:val="18"/>
              </w:rPr>
            </w:pPr>
          </w:p>
        </w:tc>
        <w:tc>
          <w:tcPr>
            <w:tcW w:w="545" w:type="pct"/>
            <w:vMerge w:val="continue"/>
            <w:vAlign w:val="center"/>
          </w:tcPr>
          <w:p w14:paraId="2DC34BBD">
            <w:pPr>
              <w:pStyle w:val="12"/>
              <w:widowControl w:val="0"/>
              <w:tabs>
                <w:tab w:val="left" w:pos="993"/>
              </w:tabs>
              <w:spacing w:line="240" w:lineRule="auto"/>
              <w:textAlignment w:val="baseline"/>
              <w:rPr>
                <w:color w:val="000000"/>
                <w:sz w:val="18"/>
                <w:szCs w:val="18"/>
              </w:rPr>
            </w:pPr>
          </w:p>
        </w:tc>
        <w:tc>
          <w:tcPr>
            <w:tcW w:w="577" w:type="pct"/>
            <w:vMerge w:val="continue"/>
            <w:vAlign w:val="center"/>
          </w:tcPr>
          <w:p w14:paraId="3FE61D6C">
            <w:pPr>
              <w:pStyle w:val="12"/>
              <w:widowControl w:val="0"/>
              <w:tabs>
                <w:tab w:val="left" w:pos="993"/>
              </w:tabs>
              <w:spacing w:line="240" w:lineRule="auto"/>
              <w:textAlignment w:val="baseline"/>
              <w:rPr>
                <w:color w:val="000000"/>
                <w:sz w:val="18"/>
                <w:szCs w:val="18"/>
              </w:rPr>
            </w:pPr>
          </w:p>
        </w:tc>
        <w:tc>
          <w:tcPr>
            <w:tcW w:w="483" w:type="pct"/>
            <w:vAlign w:val="center"/>
          </w:tcPr>
          <w:p w14:paraId="18E5157D">
            <w:pPr>
              <w:widowControl w:val="0"/>
              <w:jc w:val="center"/>
              <w:rPr>
                <w:color w:val="000000"/>
                <w:sz w:val="18"/>
                <w:szCs w:val="18"/>
              </w:rPr>
            </w:pPr>
            <w:r>
              <w:rPr>
                <w:color w:val="000000"/>
                <w:sz w:val="18"/>
                <w:szCs w:val="18"/>
              </w:rPr>
              <w:t>3# 1.5m</w:t>
            </w:r>
          </w:p>
        </w:tc>
        <w:tc>
          <w:tcPr>
            <w:tcW w:w="484" w:type="pct"/>
            <w:vAlign w:val="center"/>
          </w:tcPr>
          <w:p w14:paraId="36A1549D">
            <w:pPr>
              <w:widowControl w:val="0"/>
              <w:spacing w:line="300" w:lineRule="exact"/>
              <w:jc w:val="center"/>
              <w:rPr>
                <w:color w:val="000000"/>
                <w:sz w:val="18"/>
                <w:szCs w:val="18"/>
              </w:rPr>
            </w:pPr>
            <w:r>
              <w:rPr>
                <w:color w:val="000000"/>
                <w:kern w:val="0"/>
                <w:sz w:val="18"/>
                <w:szCs w:val="18"/>
              </w:rPr>
              <w:t>砂土</w:t>
            </w:r>
          </w:p>
        </w:tc>
        <w:tc>
          <w:tcPr>
            <w:tcW w:w="587" w:type="pct"/>
            <w:vAlign w:val="center"/>
          </w:tcPr>
          <w:p w14:paraId="490F4057">
            <w:pPr>
              <w:jc w:val="center"/>
              <w:rPr>
                <w:color w:val="000000"/>
                <w:sz w:val="18"/>
                <w:szCs w:val="18"/>
              </w:rPr>
            </w:pPr>
            <w:r>
              <w:rPr>
                <w:color w:val="000000"/>
                <w:kern w:val="0"/>
                <w:sz w:val="18"/>
                <w:szCs w:val="18"/>
              </w:rPr>
              <w:t>1.5m</w:t>
            </w:r>
          </w:p>
        </w:tc>
        <w:tc>
          <w:tcPr>
            <w:tcW w:w="941" w:type="pct"/>
            <w:vMerge w:val="continue"/>
            <w:vAlign w:val="center"/>
          </w:tcPr>
          <w:p w14:paraId="1BD832F4">
            <w:pPr>
              <w:pStyle w:val="12"/>
              <w:widowControl w:val="0"/>
              <w:tabs>
                <w:tab w:val="left" w:pos="993"/>
              </w:tabs>
              <w:ind w:firstLine="360" w:firstLineChars="200"/>
              <w:textAlignment w:val="baseline"/>
              <w:rPr>
                <w:color w:val="000000"/>
                <w:sz w:val="18"/>
                <w:szCs w:val="18"/>
              </w:rPr>
            </w:pPr>
          </w:p>
        </w:tc>
      </w:tr>
      <w:tr w14:paraId="75ED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89" w:type="pct"/>
            <w:vMerge w:val="continue"/>
            <w:vAlign w:val="center"/>
          </w:tcPr>
          <w:p w14:paraId="65DECC2A">
            <w:pPr>
              <w:pStyle w:val="12"/>
              <w:widowControl w:val="0"/>
              <w:tabs>
                <w:tab w:val="left" w:pos="993"/>
              </w:tabs>
              <w:spacing w:line="240" w:lineRule="auto"/>
              <w:textAlignment w:val="baseline"/>
              <w:rPr>
                <w:color w:val="000000"/>
                <w:sz w:val="18"/>
                <w:szCs w:val="18"/>
              </w:rPr>
            </w:pPr>
          </w:p>
        </w:tc>
        <w:tc>
          <w:tcPr>
            <w:tcW w:w="444" w:type="pct"/>
            <w:vMerge w:val="continue"/>
            <w:vAlign w:val="center"/>
          </w:tcPr>
          <w:p w14:paraId="5228645E">
            <w:pPr>
              <w:pStyle w:val="12"/>
              <w:widowControl w:val="0"/>
              <w:tabs>
                <w:tab w:val="left" w:pos="993"/>
              </w:tabs>
              <w:spacing w:line="240" w:lineRule="auto"/>
              <w:textAlignment w:val="baseline"/>
              <w:rPr>
                <w:color w:val="000000"/>
                <w:sz w:val="18"/>
                <w:szCs w:val="18"/>
              </w:rPr>
            </w:pPr>
          </w:p>
        </w:tc>
        <w:tc>
          <w:tcPr>
            <w:tcW w:w="645" w:type="pct"/>
            <w:vMerge w:val="continue"/>
            <w:vAlign w:val="center"/>
          </w:tcPr>
          <w:p w14:paraId="45CCD21E">
            <w:pPr>
              <w:pStyle w:val="12"/>
              <w:widowControl w:val="0"/>
              <w:tabs>
                <w:tab w:val="left" w:pos="993"/>
              </w:tabs>
              <w:spacing w:line="240" w:lineRule="auto"/>
              <w:textAlignment w:val="baseline"/>
              <w:rPr>
                <w:color w:val="000000"/>
                <w:sz w:val="18"/>
                <w:szCs w:val="18"/>
              </w:rPr>
            </w:pPr>
          </w:p>
        </w:tc>
        <w:tc>
          <w:tcPr>
            <w:tcW w:w="545" w:type="pct"/>
            <w:vMerge w:val="continue"/>
            <w:vAlign w:val="center"/>
          </w:tcPr>
          <w:p w14:paraId="28699B32">
            <w:pPr>
              <w:pStyle w:val="12"/>
              <w:widowControl w:val="0"/>
              <w:tabs>
                <w:tab w:val="left" w:pos="993"/>
              </w:tabs>
              <w:spacing w:line="240" w:lineRule="auto"/>
              <w:textAlignment w:val="baseline"/>
              <w:rPr>
                <w:color w:val="000000"/>
                <w:sz w:val="18"/>
                <w:szCs w:val="18"/>
              </w:rPr>
            </w:pPr>
          </w:p>
        </w:tc>
        <w:tc>
          <w:tcPr>
            <w:tcW w:w="577" w:type="pct"/>
            <w:vMerge w:val="continue"/>
            <w:vAlign w:val="center"/>
          </w:tcPr>
          <w:p w14:paraId="26B02B84">
            <w:pPr>
              <w:pStyle w:val="12"/>
              <w:widowControl w:val="0"/>
              <w:tabs>
                <w:tab w:val="left" w:pos="993"/>
              </w:tabs>
              <w:spacing w:line="240" w:lineRule="auto"/>
              <w:textAlignment w:val="baseline"/>
              <w:rPr>
                <w:color w:val="000000"/>
                <w:sz w:val="18"/>
                <w:szCs w:val="18"/>
              </w:rPr>
            </w:pPr>
          </w:p>
        </w:tc>
        <w:tc>
          <w:tcPr>
            <w:tcW w:w="483" w:type="pct"/>
            <w:vAlign w:val="center"/>
          </w:tcPr>
          <w:p w14:paraId="13D72F4D">
            <w:pPr>
              <w:widowControl w:val="0"/>
              <w:jc w:val="center"/>
              <w:rPr>
                <w:color w:val="000000"/>
                <w:sz w:val="18"/>
                <w:szCs w:val="18"/>
              </w:rPr>
            </w:pPr>
            <w:r>
              <w:rPr>
                <w:color w:val="000000"/>
                <w:sz w:val="18"/>
                <w:szCs w:val="18"/>
              </w:rPr>
              <w:t>3# 3.0m</w:t>
            </w:r>
          </w:p>
        </w:tc>
        <w:tc>
          <w:tcPr>
            <w:tcW w:w="484" w:type="pct"/>
            <w:vAlign w:val="center"/>
          </w:tcPr>
          <w:p w14:paraId="7B8A30A7">
            <w:pPr>
              <w:widowControl w:val="0"/>
              <w:spacing w:line="300" w:lineRule="exact"/>
              <w:jc w:val="center"/>
              <w:rPr>
                <w:color w:val="000000"/>
                <w:sz w:val="18"/>
                <w:szCs w:val="18"/>
              </w:rPr>
            </w:pPr>
            <w:r>
              <w:rPr>
                <w:color w:val="000000"/>
                <w:kern w:val="0"/>
                <w:sz w:val="18"/>
                <w:szCs w:val="18"/>
              </w:rPr>
              <w:t>砂土</w:t>
            </w:r>
          </w:p>
        </w:tc>
        <w:tc>
          <w:tcPr>
            <w:tcW w:w="587" w:type="pct"/>
            <w:vAlign w:val="center"/>
          </w:tcPr>
          <w:p w14:paraId="442ED773">
            <w:pPr>
              <w:jc w:val="center"/>
              <w:rPr>
                <w:color w:val="000000"/>
                <w:sz w:val="18"/>
                <w:szCs w:val="18"/>
              </w:rPr>
            </w:pPr>
            <w:r>
              <w:rPr>
                <w:color w:val="000000"/>
                <w:kern w:val="0"/>
                <w:sz w:val="18"/>
                <w:szCs w:val="18"/>
              </w:rPr>
              <w:t>3.0m</w:t>
            </w:r>
          </w:p>
        </w:tc>
        <w:tc>
          <w:tcPr>
            <w:tcW w:w="941" w:type="pct"/>
            <w:vMerge w:val="continue"/>
            <w:vAlign w:val="center"/>
          </w:tcPr>
          <w:p w14:paraId="3DB67433">
            <w:pPr>
              <w:pStyle w:val="12"/>
              <w:widowControl w:val="0"/>
              <w:tabs>
                <w:tab w:val="left" w:pos="993"/>
              </w:tabs>
              <w:ind w:firstLine="360" w:firstLineChars="200"/>
              <w:textAlignment w:val="baseline"/>
              <w:rPr>
                <w:color w:val="000000"/>
                <w:sz w:val="18"/>
                <w:szCs w:val="18"/>
              </w:rPr>
            </w:pPr>
          </w:p>
        </w:tc>
      </w:tr>
      <w:tr w14:paraId="6E8B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89" w:type="pct"/>
            <w:vAlign w:val="center"/>
          </w:tcPr>
          <w:p w14:paraId="1CFAD17C">
            <w:pPr>
              <w:pStyle w:val="12"/>
              <w:widowControl w:val="0"/>
              <w:tabs>
                <w:tab w:val="left" w:pos="993"/>
              </w:tabs>
              <w:spacing w:line="240" w:lineRule="auto"/>
              <w:textAlignment w:val="baseline"/>
              <w:rPr>
                <w:color w:val="000000"/>
                <w:sz w:val="18"/>
                <w:szCs w:val="18"/>
              </w:rPr>
            </w:pPr>
            <w:r>
              <w:rPr>
                <w:color w:val="000000"/>
                <w:sz w:val="18"/>
                <w:szCs w:val="18"/>
              </w:rPr>
              <w:t>4#</w:t>
            </w:r>
          </w:p>
        </w:tc>
        <w:tc>
          <w:tcPr>
            <w:tcW w:w="444" w:type="pct"/>
            <w:vAlign w:val="center"/>
          </w:tcPr>
          <w:p w14:paraId="74D4A4F3">
            <w:pPr>
              <w:pStyle w:val="12"/>
              <w:widowControl w:val="0"/>
              <w:tabs>
                <w:tab w:val="left" w:pos="993"/>
              </w:tabs>
              <w:spacing w:line="240" w:lineRule="auto"/>
              <w:textAlignment w:val="baseline"/>
              <w:rPr>
                <w:color w:val="000000"/>
                <w:sz w:val="18"/>
                <w:szCs w:val="18"/>
              </w:rPr>
            </w:pPr>
            <w:r>
              <w:rPr>
                <w:color w:val="000000"/>
                <w:sz w:val="18"/>
                <w:szCs w:val="18"/>
              </w:rPr>
              <w:t>2022.3.14</w:t>
            </w:r>
          </w:p>
        </w:tc>
        <w:tc>
          <w:tcPr>
            <w:tcW w:w="645" w:type="pct"/>
            <w:vAlign w:val="center"/>
          </w:tcPr>
          <w:p w14:paraId="02907BAE">
            <w:pPr>
              <w:pStyle w:val="12"/>
              <w:widowControl w:val="0"/>
              <w:tabs>
                <w:tab w:val="left" w:pos="993"/>
              </w:tabs>
              <w:spacing w:line="240" w:lineRule="auto"/>
              <w:textAlignment w:val="baseline"/>
              <w:rPr>
                <w:color w:val="000000"/>
                <w:sz w:val="18"/>
                <w:szCs w:val="18"/>
              </w:rPr>
            </w:pPr>
            <w:r>
              <w:rPr>
                <w:color w:val="000000"/>
                <w:sz w:val="18"/>
                <w:szCs w:val="18"/>
              </w:rPr>
              <w:t>29°35ʹ46.33″</w:t>
            </w:r>
          </w:p>
        </w:tc>
        <w:tc>
          <w:tcPr>
            <w:tcW w:w="545" w:type="pct"/>
            <w:vAlign w:val="center"/>
          </w:tcPr>
          <w:p w14:paraId="05F1A0BA">
            <w:pPr>
              <w:pStyle w:val="12"/>
              <w:widowControl w:val="0"/>
              <w:tabs>
                <w:tab w:val="left" w:pos="993"/>
              </w:tabs>
              <w:spacing w:line="240" w:lineRule="auto"/>
              <w:textAlignment w:val="baseline"/>
              <w:rPr>
                <w:color w:val="000000"/>
                <w:sz w:val="18"/>
                <w:szCs w:val="18"/>
              </w:rPr>
            </w:pPr>
            <w:r>
              <w:rPr>
                <w:color w:val="000000"/>
                <w:sz w:val="18"/>
                <w:szCs w:val="18"/>
              </w:rPr>
              <w:t>107º32ʹ38.32″</w:t>
            </w:r>
          </w:p>
        </w:tc>
        <w:tc>
          <w:tcPr>
            <w:tcW w:w="577" w:type="pct"/>
            <w:vAlign w:val="center"/>
          </w:tcPr>
          <w:p w14:paraId="74E2094A">
            <w:pPr>
              <w:pStyle w:val="12"/>
              <w:widowControl w:val="0"/>
              <w:tabs>
                <w:tab w:val="left" w:pos="993"/>
              </w:tabs>
              <w:spacing w:line="240" w:lineRule="auto"/>
              <w:textAlignment w:val="baseline"/>
              <w:rPr>
                <w:color w:val="000000"/>
                <w:sz w:val="18"/>
                <w:szCs w:val="18"/>
              </w:rPr>
            </w:pPr>
            <w:r>
              <w:rPr>
                <w:color w:val="000000"/>
                <w:sz w:val="18"/>
                <w:szCs w:val="18"/>
              </w:rPr>
              <w:t>占地范围内、表层样点</w:t>
            </w:r>
          </w:p>
        </w:tc>
        <w:tc>
          <w:tcPr>
            <w:tcW w:w="483" w:type="pct"/>
            <w:vAlign w:val="center"/>
          </w:tcPr>
          <w:p w14:paraId="31954C18">
            <w:pPr>
              <w:widowControl w:val="0"/>
              <w:jc w:val="center"/>
              <w:rPr>
                <w:color w:val="000000"/>
                <w:sz w:val="18"/>
                <w:szCs w:val="18"/>
              </w:rPr>
            </w:pPr>
            <w:r>
              <w:rPr>
                <w:color w:val="000000"/>
                <w:sz w:val="18"/>
                <w:szCs w:val="18"/>
              </w:rPr>
              <w:t>4# 0.2m</w:t>
            </w:r>
          </w:p>
        </w:tc>
        <w:tc>
          <w:tcPr>
            <w:tcW w:w="484" w:type="pct"/>
            <w:vAlign w:val="center"/>
          </w:tcPr>
          <w:p w14:paraId="618F880A">
            <w:pPr>
              <w:widowControl w:val="0"/>
              <w:spacing w:line="300" w:lineRule="exact"/>
              <w:jc w:val="center"/>
              <w:rPr>
                <w:color w:val="000000"/>
                <w:sz w:val="18"/>
                <w:szCs w:val="18"/>
              </w:rPr>
            </w:pPr>
            <w:r>
              <w:rPr>
                <w:color w:val="000000"/>
                <w:kern w:val="0"/>
                <w:sz w:val="18"/>
                <w:szCs w:val="18"/>
              </w:rPr>
              <w:t>砂土</w:t>
            </w:r>
          </w:p>
        </w:tc>
        <w:tc>
          <w:tcPr>
            <w:tcW w:w="587" w:type="pct"/>
            <w:vAlign w:val="center"/>
          </w:tcPr>
          <w:p w14:paraId="06AF25E6">
            <w:pPr>
              <w:jc w:val="center"/>
              <w:rPr>
                <w:color w:val="000000"/>
                <w:sz w:val="18"/>
                <w:szCs w:val="18"/>
              </w:rPr>
            </w:pPr>
            <w:r>
              <w:rPr>
                <w:color w:val="000000"/>
                <w:kern w:val="0"/>
                <w:sz w:val="18"/>
                <w:szCs w:val="18"/>
              </w:rPr>
              <w:t>0.2m</w:t>
            </w:r>
          </w:p>
        </w:tc>
        <w:tc>
          <w:tcPr>
            <w:tcW w:w="941" w:type="pct"/>
            <w:vMerge w:val="continue"/>
            <w:vAlign w:val="center"/>
          </w:tcPr>
          <w:p w14:paraId="4CA82D44">
            <w:pPr>
              <w:pStyle w:val="12"/>
              <w:widowControl w:val="0"/>
              <w:tabs>
                <w:tab w:val="left" w:pos="993"/>
              </w:tabs>
              <w:ind w:firstLine="360" w:firstLineChars="200"/>
              <w:textAlignment w:val="baseline"/>
              <w:rPr>
                <w:color w:val="000000"/>
                <w:sz w:val="18"/>
                <w:szCs w:val="18"/>
              </w:rPr>
            </w:pPr>
          </w:p>
        </w:tc>
      </w:tr>
    </w:tbl>
    <w:p w14:paraId="663945CE">
      <w:pPr>
        <w:rPr>
          <w:color w:val="000000"/>
        </w:rPr>
      </w:pPr>
    </w:p>
    <w:p w14:paraId="22E735A7">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4</w:t>
      </w:r>
      <w:r>
        <w:rPr>
          <w:rFonts w:ascii="Times New Roman" w:hAnsi="Times New Roman"/>
          <w:color w:val="000000"/>
        </w:rPr>
        <w:t>.3.5-</w:t>
      </w:r>
      <w:r>
        <w:rPr>
          <w:rFonts w:ascii="Times New Roman" w:hAnsi="Times New Roman"/>
          <w:color w:val="000000"/>
          <w:lang w:val="en-US"/>
        </w:rPr>
        <w:t>2</w:t>
      </w:r>
      <w:r>
        <w:rPr>
          <w:rFonts w:ascii="Times New Roman" w:hAnsi="Times New Roman"/>
          <w:color w:val="000000"/>
        </w:rPr>
        <w:t xml:space="preserve">  土壤环境质量现状调查引用资料情况</w:t>
      </w:r>
    </w:p>
    <w:tbl>
      <w:tblPr>
        <w:tblStyle w:val="7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386"/>
        <w:gridCol w:w="1763"/>
        <w:gridCol w:w="1459"/>
        <w:gridCol w:w="1013"/>
        <w:gridCol w:w="2425"/>
      </w:tblGrid>
      <w:tr w14:paraId="6922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vAlign w:val="center"/>
          </w:tcPr>
          <w:p w14:paraId="0CB766AC">
            <w:pPr>
              <w:widowControl w:val="0"/>
              <w:tabs>
                <w:tab w:val="left" w:pos="1693"/>
              </w:tabs>
              <w:spacing w:line="240" w:lineRule="auto"/>
              <w:jc w:val="center"/>
              <w:rPr>
                <w:color w:val="000000"/>
                <w:sz w:val="20"/>
                <w:szCs w:val="20"/>
              </w:rPr>
            </w:pPr>
            <w:r>
              <w:rPr>
                <w:color w:val="000000"/>
                <w:sz w:val="20"/>
                <w:szCs w:val="20"/>
              </w:rPr>
              <w:t>编号</w:t>
            </w:r>
          </w:p>
        </w:tc>
        <w:tc>
          <w:tcPr>
            <w:tcW w:w="765" w:type="pct"/>
            <w:vAlign w:val="center"/>
          </w:tcPr>
          <w:p w14:paraId="45F809B3">
            <w:pPr>
              <w:widowControl w:val="0"/>
              <w:tabs>
                <w:tab w:val="left" w:pos="1693"/>
              </w:tabs>
              <w:spacing w:line="240" w:lineRule="auto"/>
              <w:jc w:val="center"/>
              <w:rPr>
                <w:color w:val="000000"/>
                <w:sz w:val="20"/>
                <w:szCs w:val="20"/>
              </w:rPr>
            </w:pPr>
            <w:r>
              <w:rPr>
                <w:color w:val="000000"/>
                <w:sz w:val="20"/>
                <w:szCs w:val="20"/>
              </w:rPr>
              <w:t>采样时间</w:t>
            </w:r>
          </w:p>
        </w:tc>
        <w:tc>
          <w:tcPr>
            <w:tcW w:w="973" w:type="pct"/>
            <w:vAlign w:val="center"/>
          </w:tcPr>
          <w:p w14:paraId="6C4D4C60">
            <w:pPr>
              <w:widowControl w:val="0"/>
              <w:tabs>
                <w:tab w:val="left" w:pos="1693"/>
              </w:tabs>
              <w:spacing w:line="240" w:lineRule="auto"/>
              <w:jc w:val="center"/>
              <w:rPr>
                <w:color w:val="000000"/>
                <w:sz w:val="20"/>
                <w:szCs w:val="20"/>
              </w:rPr>
            </w:pPr>
            <w:r>
              <w:rPr>
                <w:color w:val="000000"/>
                <w:sz w:val="20"/>
                <w:szCs w:val="20"/>
              </w:rPr>
              <w:t>监测点位</w:t>
            </w:r>
          </w:p>
        </w:tc>
        <w:tc>
          <w:tcPr>
            <w:tcW w:w="805" w:type="pct"/>
            <w:vAlign w:val="center"/>
          </w:tcPr>
          <w:p w14:paraId="3383C638">
            <w:pPr>
              <w:widowControl w:val="0"/>
              <w:tabs>
                <w:tab w:val="left" w:pos="1693"/>
              </w:tabs>
              <w:spacing w:line="240" w:lineRule="auto"/>
              <w:jc w:val="center"/>
              <w:rPr>
                <w:color w:val="000000"/>
                <w:sz w:val="20"/>
                <w:szCs w:val="20"/>
              </w:rPr>
            </w:pPr>
            <w:r>
              <w:rPr>
                <w:color w:val="000000"/>
                <w:sz w:val="20"/>
                <w:szCs w:val="20"/>
              </w:rPr>
              <w:t>与本项目位置关系</w:t>
            </w:r>
          </w:p>
        </w:tc>
        <w:tc>
          <w:tcPr>
            <w:tcW w:w="559" w:type="pct"/>
            <w:vAlign w:val="center"/>
          </w:tcPr>
          <w:p w14:paraId="11090924">
            <w:pPr>
              <w:widowControl w:val="0"/>
              <w:tabs>
                <w:tab w:val="left" w:pos="1693"/>
              </w:tabs>
              <w:spacing w:line="240" w:lineRule="auto"/>
              <w:jc w:val="center"/>
              <w:rPr>
                <w:color w:val="000000"/>
                <w:sz w:val="20"/>
                <w:szCs w:val="20"/>
              </w:rPr>
            </w:pPr>
            <w:r>
              <w:rPr>
                <w:color w:val="000000"/>
                <w:sz w:val="20"/>
                <w:szCs w:val="20"/>
              </w:rPr>
              <w:t>采样深度</w:t>
            </w:r>
          </w:p>
        </w:tc>
        <w:tc>
          <w:tcPr>
            <w:tcW w:w="1338" w:type="pct"/>
            <w:vAlign w:val="center"/>
          </w:tcPr>
          <w:p w14:paraId="7A432608">
            <w:pPr>
              <w:widowControl w:val="0"/>
              <w:tabs>
                <w:tab w:val="left" w:pos="1693"/>
              </w:tabs>
              <w:spacing w:line="240" w:lineRule="auto"/>
              <w:jc w:val="center"/>
              <w:rPr>
                <w:color w:val="000000"/>
                <w:sz w:val="20"/>
                <w:szCs w:val="20"/>
              </w:rPr>
            </w:pPr>
            <w:r>
              <w:rPr>
                <w:color w:val="000000"/>
                <w:sz w:val="20"/>
                <w:szCs w:val="20"/>
              </w:rPr>
              <w:t>监测因子</w:t>
            </w:r>
          </w:p>
        </w:tc>
      </w:tr>
      <w:tr w14:paraId="4A7E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vAlign w:val="center"/>
          </w:tcPr>
          <w:p w14:paraId="4408EAE0">
            <w:pPr>
              <w:pStyle w:val="12"/>
              <w:widowControl w:val="0"/>
              <w:tabs>
                <w:tab w:val="left" w:pos="993"/>
              </w:tabs>
              <w:spacing w:line="240" w:lineRule="auto"/>
              <w:textAlignment w:val="auto"/>
              <w:rPr>
                <w:color w:val="000000"/>
              </w:rPr>
            </w:pPr>
            <w:r>
              <w:rPr>
                <w:color w:val="000000"/>
              </w:rPr>
              <w:t>T4</w:t>
            </w:r>
          </w:p>
        </w:tc>
        <w:tc>
          <w:tcPr>
            <w:tcW w:w="765" w:type="pct"/>
            <w:vAlign w:val="center"/>
          </w:tcPr>
          <w:p w14:paraId="61C6C3FE">
            <w:pPr>
              <w:widowControl w:val="0"/>
              <w:tabs>
                <w:tab w:val="left" w:pos="1693"/>
              </w:tabs>
              <w:spacing w:line="240" w:lineRule="auto"/>
              <w:jc w:val="center"/>
              <w:rPr>
                <w:color w:val="000000"/>
                <w:sz w:val="20"/>
                <w:szCs w:val="20"/>
              </w:rPr>
            </w:pPr>
            <w:r>
              <w:rPr>
                <w:color w:val="000000"/>
                <w:sz w:val="20"/>
                <w:szCs w:val="20"/>
              </w:rPr>
              <w:t>2020.9.9</w:t>
            </w:r>
          </w:p>
        </w:tc>
        <w:tc>
          <w:tcPr>
            <w:tcW w:w="973" w:type="pct"/>
            <w:vAlign w:val="center"/>
          </w:tcPr>
          <w:p w14:paraId="4DF0B51C">
            <w:pPr>
              <w:pStyle w:val="12"/>
              <w:widowControl w:val="0"/>
              <w:tabs>
                <w:tab w:val="left" w:pos="993"/>
              </w:tabs>
              <w:spacing w:line="240" w:lineRule="auto"/>
              <w:textAlignment w:val="auto"/>
              <w:rPr>
                <w:color w:val="000000"/>
              </w:rPr>
            </w:pPr>
            <w:r>
              <w:rPr>
                <w:color w:val="000000"/>
                <w:kern w:val="0"/>
                <w:sz w:val="21"/>
                <w:szCs w:val="21"/>
                <w:lang w:bidi="en-US"/>
              </w:rPr>
              <w:t>华峰聚酰胺监测点</w:t>
            </w:r>
          </w:p>
        </w:tc>
        <w:tc>
          <w:tcPr>
            <w:tcW w:w="805" w:type="pct"/>
            <w:vAlign w:val="center"/>
          </w:tcPr>
          <w:p w14:paraId="7DDBD156">
            <w:pPr>
              <w:pStyle w:val="12"/>
              <w:widowControl w:val="0"/>
              <w:tabs>
                <w:tab w:val="left" w:pos="993"/>
              </w:tabs>
              <w:spacing w:line="240" w:lineRule="auto"/>
              <w:textAlignment w:val="auto"/>
              <w:rPr>
                <w:color w:val="000000"/>
              </w:rPr>
            </w:pPr>
            <w:r>
              <w:rPr>
                <w:color w:val="000000"/>
              </w:rPr>
              <w:t>项目占地范围外北侧</w:t>
            </w:r>
          </w:p>
        </w:tc>
        <w:tc>
          <w:tcPr>
            <w:tcW w:w="559" w:type="pct"/>
            <w:vAlign w:val="center"/>
          </w:tcPr>
          <w:p w14:paraId="5E98B341">
            <w:pPr>
              <w:widowControl w:val="0"/>
              <w:spacing w:line="240" w:lineRule="auto"/>
              <w:jc w:val="center"/>
              <w:rPr>
                <w:color w:val="000000"/>
                <w:sz w:val="20"/>
                <w:szCs w:val="20"/>
              </w:rPr>
            </w:pPr>
            <w:r>
              <w:rPr>
                <w:color w:val="000000"/>
                <w:kern w:val="0"/>
                <w:sz w:val="21"/>
                <w:lang w:bidi="en-US"/>
              </w:rPr>
              <w:t>表层样</w:t>
            </w:r>
          </w:p>
        </w:tc>
        <w:tc>
          <w:tcPr>
            <w:tcW w:w="1338" w:type="pct"/>
            <w:vMerge w:val="restart"/>
            <w:vAlign w:val="center"/>
          </w:tcPr>
          <w:p w14:paraId="36AED10B">
            <w:pPr>
              <w:widowControl w:val="0"/>
              <w:tabs>
                <w:tab w:val="left" w:pos="1693"/>
              </w:tabs>
              <w:spacing w:line="240" w:lineRule="auto"/>
              <w:jc w:val="center"/>
              <w:rPr>
                <w:color w:val="000000"/>
                <w:sz w:val="20"/>
                <w:szCs w:val="20"/>
              </w:rPr>
            </w:pPr>
            <w:r>
              <w:rPr>
                <w:color w:val="000000"/>
                <w:sz w:val="20"/>
                <w:szCs w:val="20"/>
              </w:rPr>
              <w:t>GB36600表1基本项目：重金属和无机物7项（砷、镉、铬（六价）、铜、铅、汞、镍）、挥发性有机物27项、半挥发性有机物11项；</w:t>
            </w:r>
          </w:p>
        </w:tc>
      </w:tr>
      <w:tr w14:paraId="02E4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vAlign w:val="center"/>
          </w:tcPr>
          <w:p w14:paraId="62922181">
            <w:pPr>
              <w:pStyle w:val="12"/>
              <w:widowControl w:val="0"/>
              <w:tabs>
                <w:tab w:val="left" w:pos="993"/>
              </w:tabs>
              <w:spacing w:line="240" w:lineRule="auto"/>
              <w:textAlignment w:val="auto"/>
              <w:rPr>
                <w:color w:val="000000"/>
              </w:rPr>
            </w:pPr>
            <w:r>
              <w:rPr>
                <w:color w:val="000000"/>
              </w:rPr>
              <w:t>T14</w:t>
            </w:r>
          </w:p>
        </w:tc>
        <w:tc>
          <w:tcPr>
            <w:tcW w:w="765" w:type="pct"/>
            <w:vAlign w:val="center"/>
          </w:tcPr>
          <w:p w14:paraId="5B7812A4">
            <w:pPr>
              <w:widowControl w:val="0"/>
              <w:tabs>
                <w:tab w:val="left" w:pos="1693"/>
              </w:tabs>
              <w:spacing w:line="240" w:lineRule="auto"/>
              <w:jc w:val="center"/>
              <w:rPr>
                <w:color w:val="000000"/>
                <w:sz w:val="20"/>
                <w:szCs w:val="20"/>
              </w:rPr>
            </w:pPr>
            <w:r>
              <w:rPr>
                <w:color w:val="000000"/>
                <w:sz w:val="20"/>
                <w:szCs w:val="20"/>
              </w:rPr>
              <w:t>2020.9.9</w:t>
            </w:r>
          </w:p>
        </w:tc>
        <w:tc>
          <w:tcPr>
            <w:tcW w:w="973" w:type="pct"/>
            <w:vAlign w:val="center"/>
          </w:tcPr>
          <w:p w14:paraId="4A991D9B">
            <w:pPr>
              <w:pStyle w:val="12"/>
              <w:widowControl w:val="0"/>
              <w:tabs>
                <w:tab w:val="left" w:pos="993"/>
              </w:tabs>
              <w:spacing w:line="240" w:lineRule="auto"/>
              <w:textAlignment w:val="auto"/>
              <w:rPr>
                <w:color w:val="000000"/>
              </w:rPr>
            </w:pPr>
            <w:r>
              <w:rPr>
                <w:color w:val="000000"/>
                <w:kern w:val="0"/>
                <w:sz w:val="21"/>
                <w:szCs w:val="21"/>
                <w:lang w:bidi="en-US"/>
              </w:rPr>
              <w:t>华峰聚酰胺监测点</w:t>
            </w:r>
          </w:p>
        </w:tc>
        <w:tc>
          <w:tcPr>
            <w:tcW w:w="805" w:type="pct"/>
            <w:vAlign w:val="center"/>
          </w:tcPr>
          <w:p w14:paraId="6BDB6DED">
            <w:pPr>
              <w:widowControl w:val="0"/>
              <w:tabs>
                <w:tab w:val="left" w:pos="1693"/>
              </w:tabs>
              <w:spacing w:line="240" w:lineRule="auto"/>
              <w:jc w:val="center"/>
              <w:rPr>
                <w:color w:val="000000"/>
                <w:sz w:val="20"/>
                <w:szCs w:val="20"/>
              </w:rPr>
            </w:pPr>
            <w:r>
              <w:rPr>
                <w:color w:val="000000"/>
                <w:sz w:val="20"/>
                <w:szCs w:val="20"/>
              </w:rPr>
              <w:t>项目占地范围外东侧</w:t>
            </w:r>
          </w:p>
        </w:tc>
        <w:tc>
          <w:tcPr>
            <w:tcW w:w="559" w:type="pct"/>
            <w:vAlign w:val="center"/>
          </w:tcPr>
          <w:p w14:paraId="29EC6EE7">
            <w:pPr>
              <w:widowControl w:val="0"/>
              <w:spacing w:line="240" w:lineRule="auto"/>
              <w:jc w:val="center"/>
              <w:rPr>
                <w:color w:val="000000"/>
                <w:sz w:val="20"/>
                <w:szCs w:val="20"/>
              </w:rPr>
            </w:pPr>
            <w:r>
              <w:rPr>
                <w:color w:val="000000"/>
                <w:kern w:val="0"/>
                <w:sz w:val="21"/>
                <w:lang w:bidi="en-US"/>
              </w:rPr>
              <w:t>表层样</w:t>
            </w:r>
          </w:p>
        </w:tc>
        <w:tc>
          <w:tcPr>
            <w:tcW w:w="1338" w:type="pct"/>
            <w:vMerge w:val="continue"/>
            <w:vAlign w:val="center"/>
          </w:tcPr>
          <w:p w14:paraId="281FDEA9">
            <w:pPr>
              <w:widowControl w:val="0"/>
              <w:tabs>
                <w:tab w:val="left" w:pos="1693"/>
              </w:tabs>
              <w:spacing w:line="240" w:lineRule="auto"/>
              <w:jc w:val="center"/>
              <w:rPr>
                <w:color w:val="000000"/>
                <w:sz w:val="20"/>
                <w:szCs w:val="20"/>
              </w:rPr>
            </w:pPr>
          </w:p>
        </w:tc>
      </w:tr>
    </w:tbl>
    <w:p w14:paraId="4B3816CF">
      <w:pPr>
        <w:tabs>
          <w:tab w:val="left" w:pos="993"/>
        </w:tabs>
        <w:ind w:firstLine="480"/>
        <w:rPr>
          <w:color w:val="000000"/>
        </w:rPr>
      </w:pPr>
    </w:p>
    <w:p w14:paraId="7AEB25EF">
      <w:pPr>
        <w:tabs>
          <w:tab w:val="left" w:pos="993"/>
        </w:tabs>
        <w:ind w:firstLine="480"/>
        <w:rPr>
          <w:color w:val="000000"/>
        </w:rPr>
      </w:pPr>
      <w:r>
        <w:rPr>
          <w:color w:val="000000"/>
        </w:rPr>
        <w:t>（2）监测结果及评价</w:t>
      </w:r>
    </w:p>
    <w:p w14:paraId="4EFFBC39">
      <w:pPr>
        <w:tabs>
          <w:tab w:val="left" w:pos="993"/>
        </w:tabs>
        <w:ind w:firstLine="480"/>
        <w:rPr>
          <w:color w:val="000000"/>
        </w:rPr>
      </w:pPr>
      <w:r>
        <w:rPr>
          <w:color w:val="000000"/>
        </w:rPr>
        <w:t>土壤环境质量采用对比法进行评价，现状监测结果统计情况详见表4.3.5-3。</w:t>
      </w:r>
    </w:p>
    <w:p w14:paraId="5E0D2EA9">
      <w:pPr>
        <w:tabs>
          <w:tab w:val="left" w:pos="993"/>
        </w:tabs>
        <w:ind w:firstLine="480"/>
        <w:rPr>
          <w:color w:val="000000"/>
        </w:rPr>
      </w:pPr>
      <w:r>
        <w:rPr>
          <w:color w:val="000000"/>
        </w:rPr>
        <w:t>本项目评价范围用地性质属于建设用地，从监测及评价结果可见，对照《土壤环境质量 建设用地土壤污染风险管控标准（试行）》（GB36600-2018），评价范围内的各监测点各项监测指标均能达到第二类用地筛选值标准，土壤环境质量现状较好。</w:t>
      </w:r>
    </w:p>
    <w:p w14:paraId="1670ABE1">
      <w:pPr>
        <w:pStyle w:val="2"/>
        <w:ind w:left="480"/>
        <w:rPr>
          <w:rFonts w:ascii="Times New Roman" w:hAnsi="Times New Roman" w:cs="Times New Roman"/>
          <w:color w:val="000000"/>
        </w:rPr>
      </w:pPr>
    </w:p>
    <w:p w14:paraId="380E1EA3">
      <w:pPr>
        <w:pStyle w:val="175"/>
        <w:rPr>
          <w:color w:val="000000"/>
        </w:rPr>
        <w:sectPr>
          <w:pgSz w:w="11905" w:h="16838"/>
          <w:pgMar w:top="1440" w:right="1531" w:bottom="1440" w:left="1531" w:header="850" w:footer="907" w:gutter="0"/>
          <w:cols w:space="720" w:num="1"/>
          <w:docGrid w:type="lines" w:linePitch="332" w:charSpace="0"/>
        </w:sectPr>
      </w:pPr>
    </w:p>
    <w:p w14:paraId="0E4C3CB7">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4</w:t>
      </w:r>
      <w:r>
        <w:rPr>
          <w:rFonts w:ascii="Times New Roman" w:hAnsi="Times New Roman"/>
          <w:color w:val="000000"/>
        </w:rPr>
        <w:t>.3.5-</w:t>
      </w:r>
      <w:r>
        <w:rPr>
          <w:rFonts w:ascii="Times New Roman" w:hAnsi="Times New Roman"/>
          <w:color w:val="000000"/>
          <w:lang w:val="en-US"/>
        </w:rPr>
        <w:t>3</w:t>
      </w:r>
      <w:r>
        <w:rPr>
          <w:rFonts w:ascii="Times New Roman" w:hAnsi="Times New Roman"/>
          <w:color w:val="000000"/>
        </w:rPr>
        <w:t>-1  土壤环境质量现状监测及评价</w:t>
      </w:r>
    </w:p>
    <w:tbl>
      <w:tblPr>
        <w:tblStyle w:val="7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85"/>
        <w:gridCol w:w="759"/>
        <w:gridCol w:w="495"/>
        <w:gridCol w:w="1858"/>
        <w:gridCol w:w="722"/>
        <w:gridCol w:w="753"/>
        <w:gridCol w:w="753"/>
        <w:gridCol w:w="753"/>
        <w:gridCol w:w="753"/>
        <w:gridCol w:w="753"/>
        <w:gridCol w:w="761"/>
        <w:gridCol w:w="753"/>
        <w:gridCol w:w="753"/>
        <w:gridCol w:w="834"/>
        <w:gridCol w:w="843"/>
        <w:gridCol w:w="989"/>
        <w:gridCol w:w="989"/>
      </w:tblGrid>
      <w:tr w14:paraId="5DEE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blHeader/>
          <w:jc w:val="center"/>
        </w:trPr>
        <w:tc>
          <w:tcPr>
            <w:tcW w:w="1244" w:type="dxa"/>
            <w:gridSpan w:val="2"/>
            <w:vMerge w:val="restart"/>
            <w:vAlign w:val="center"/>
          </w:tcPr>
          <w:p w14:paraId="7D511C22">
            <w:pPr>
              <w:pStyle w:val="12"/>
              <w:tabs>
                <w:tab w:val="left" w:pos="993"/>
              </w:tabs>
              <w:spacing w:line="240" w:lineRule="auto"/>
              <w:rPr>
                <w:bCs/>
                <w:color w:val="000000"/>
                <w:sz w:val="18"/>
                <w:szCs w:val="18"/>
              </w:rPr>
            </w:pPr>
            <w:r>
              <w:rPr>
                <w:bCs/>
                <w:color w:val="000000"/>
                <w:sz w:val="18"/>
                <w:szCs w:val="18"/>
              </w:rPr>
              <w:t>污染物类别</w:t>
            </w:r>
          </w:p>
        </w:tc>
        <w:tc>
          <w:tcPr>
            <w:tcW w:w="495" w:type="dxa"/>
            <w:vMerge w:val="restart"/>
            <w:vAlign w:val="center"/>
          </w:tcPr>
          <w:p w14:paraId="13FC3CAA">
            <w:pPr>
              <w:pStyle w:val="12"/>
              <w:tabs>
                <w:tab w:val="left" w:pos="993"/>
              </w:tabs>
              <w:spacing w:line="240" w:lineRule="auto"/>
              <w:rPr>
                <w:bCs/>
                <w:color w:val="000000"/>
                <w:sz w:val="18"/>
                <w:szCs w:val="18"/>
              </w:rPr>
            </w:pPr>
            <w:r>
              <w:rPr>
                <w:bCs/>
                <w:color w:val="000000"/>
                <w:sz w:val="18"/>
                <w:szCs w:val="18"/>
              </w:rPr>
              <w:t>序号</w:t>
            </w:r>
          </w:p>
        </w:tc>
        <w:tc>
          <w:tcPr>
            <w:tcW w:w="1858" w:type="dxa"/>
            <w:vMerge w:val="restart"/>
            <w:vAlign w:val="center"/>
          </w:tcPr>
          <w:p w14:paraId="53E1338C">
            <w:pPr>
              <w:pStyle w:val="12"/>
              <w:tabs>
                <w:tab w:val="left" w:pos="993"/>
              </w:tabs>
              <w:spacing w:line="240" w:lineRule="auto"/>
              <w:rPr>
                <w:bCs/>
                <w:color w:val="000000"/>
                <w:sz w:val="18"/>
                <w:szCs w:val="18"/>
              </w:rPr>
            </w:pPr>
            <w:r>
              <w:rPr>
                <w:bCs/>
                <w:color w:val="000000"/>
                <w:sz w:val="18"/>
                <w:szCs w:val="18"/>
              </w:rPr>
              <w:t>污染物项目</w:t>
            </w:r>
          </w:p>
        </w:tc>
        <w:tc>
          <w:tcPr>
            <w:tcW w:w="722" w:type="dxa"/>
            <w:vMerge w:val="restart"/>
            <w:vAlign w:val="center"/>
          </w:tcPr>
          <w:p w14:paraId="3C9AE229">
            <w:pPr>
              <w:pStyle w:val="12"/>
              <w:tabs>
                <w:tab w:val="left" w:pos="993"/>
              </w:tabs>
              <w:spacing w:line="240" w:lineRule="auto"/>
              <w:rPr>
                <w:bCs/>
                <w:color w:val="000000"/>
                <w:sz w:val="18"/>
                <w:szCs w:val="18"/>
              </w:rPr>
            </w:pPr>
            <w:r>
              <w:rPr>
                <w:bCs/>
                <w:color w:val="000000"/>
                <w:sz w:val="18"/>
                <w:szCs w:val="18"/>
              </w:rPr>
              <w:t>单位</w:t>
            </w:r>
          </w:p>
        </w:tc>
        <w:tc>
          <w:tcPr>
            <w:tcW w:w="7709" w:type="dxa"/>
            <w:gridSpan w:val="10"/>
            <w:vAlign w:val="center"/>
          </w:tcPr>
          <w:p w14:paraId="15A52DAA">
            <w:pPr>
              <w:pStyle w:val="12"/>
              <w:tabs>
                <w:tab w:val="left" w:pos="993"/>
              </w:tabs>
              <w:spacing w:line="240" w:lineRule="auto"/>
              <w:rPr>
                <w:b/>
                <w:bCs/>
                <w:color w:val="000000"/>
                <w:kern w:val="0"/>
                <w:sz w:val="18"/>
                <w:szCs w:val="18"/>
              </w:rPr>
            </w:pPr>
            <w:r>
              <w:rPr>
                <w:bCs/>
                <w:color w:val="000000"/>
                <w:sz w:val="18"/>
                <w:szCs w:val="18"/>
              </w:rPr>
              <w:t>监测结果</w:t>
            </w:r>
          </w:p>
        </w:tc>
        <w:tc>
          <w:tcPr>
            <w:tcW w:w="989" w:type="dxa"/>
            <w:vAlign w:val="center"/>
          </w:tcPr>
          <w:p w14:paraId="5AE3AF95">
            <w:pPr>
              <w:pStyle w:val="12"/>
              <w:tabs>
                <w:tab w:val="left" w:pos="993"/>
              </w:tabs>
              <w:spacing w:line="240" w:lineRule="auto"/>
              <w:rPr>
                <w:bCs/>
                <w:color w:val="000000"/>
                <w:sz w:val="18"/>
                <w:szCs w:val="18"/>
              </w:rPr>
            </w:pPr>
            <w:r>
              <w:rPr>
                <w:bCs/>
                <w:color w:val="000000"/>
                <w:sz w:val="18"/>
                <w:szCs w:val="18"/>
              </w:rPr>
              <w:t>评价标准</w:t>
            </w:r>
          </w:p>
        </w:tc>
        <w:tc>
          <w:tcPr>
            <w:tcW w:w="989" w:type="dxa"/>
            <w:vMerge w:val="restart"/>
            <w:vAlign w:val="center"/>
          </w:tcPr>
          <w:p w14:paraId="63C0BDA3">
            <w:pPr>
              <w:pStyle w:val="12"/>
              <w:shd w:val="clear" w:color="FFFFFF" w:fill="auto"/>
              <w:tabs>
                <w:tab w:val="left" w:pos="993"/>
              </w:tabs>
              <w:spacing w:line="240" w:lineRule="auto"/>
              <w:rPr>
                <w:bCs/>
                <w:color w:val="000000"/>
                <w:sz w:val="18"/>
                <w:szCs w:val="18"/>
              </w:rPr>
            </w:pPr>
            <w:r>
              <w:rPr>
                <w:bCs/>
                <w:color w:val="000000"/>
                <w:sz w:val="18"/>
                <w:szCs w:val="18"/>
              </w:rPr>
              <w:t>Sij值</w:t>
            </w:r>
          </w:p>
        </w:tc>
      </w:tr>
      <w:tr w14:paraId="0638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blHeader/>
          <w:jc w:val="center"/>
        </w:trPr>
        <w:tc>
          <w:tcPr>
            <w:tcW w:w="1244" w:type="dxa"/>
            <w:gridSpan w:val="2"/>
            <w:vMerge w:val="continue"/>
            <w:vAlign w:val="center"/>
          </w:tcPr>
          <w:p w14:paraId="68976365">
            <w:pPr>
              <w:pStyle w:val="12"/>
              <w:tabs>
                <w:tab w:val="left" w:pos="993"/>
              </w:tabs>
              <w:spacing w:line="240" w:lineRule="auto"/>
              <w:rPr>
                <w:bCs/>
                <w:color w:val="000000"/>
                <w:sz w:val="18"/>
                <w:szCs w:val="18"/>
              </w:rPr>
            </w:pPr>
          </w:p>
        </w:tc>
        <w:tc>
          <w:tcPr>
            <w:tcW w:w="495" w:type="dxa"/>
            <w:vMerge w:val="continue"/>
            <w:vAlign w:val="center"/>
          </w:tcPr>
          <w:p w14:paraId="7E3BD702">
            <w:pPr>
              <w:pStyle w:val="12"/>
              <w:tabs>
                <w:tab w:val="left" w:pos="993"/>
              </w:tabs>
              <w:spacing w:line="240" w:lineRule="auto"/>
              <w:rPr>
                <w:bCs/>
                <w:color w:val="000000"/>
                <w:sz w:val="18"/>
                <w:szCs w:val="18"/>
              </w:rPr>
            </w:pPr>
          </w:p>
        </w:tc>
        <w:tc>
          <w:tcPr>
            <w:tcW w:w="1858" w:type="dxa"/>
            <w:vMerge w:val="continue"/>
            <w:vAlign w:val="center"/>
          </w:tcPr>
          <w:p w14:paraId="531C447C">
            <w:pPr>
              <w:pStyle w:val="12"/>
              <w:tabs>
                <w:tab w:val="left" w:pos="993"/>
              </w:tabs>
              <w:spacing w:line="240" w:lineRule="auto"/>
              <w:rPr>
                <w:bCs/>
                <w:color w:val="000000"/>
                <w:sz w:val="18"/>
                <w:szCs w:val="18"/>
              </w:rPr>
            </w:pPr>
          </w:p>
        </w:tc>
        <w:tc>
          <w:tcPr>
            <w:tcW w:w="722" w:type="dxa"/>
            <w:vMerge w:val="continue"/>
            <w:vAlign w:val="center"/>
          </w:tcPr>
          <w:p w14:paraId="6C8E51DA">
            <w:pPr>
              <w:pStyle w:val="12"/>
              <w:tabs>
                <w:tab w:val="left" w:pos="993"/>
              </w:tabs>
              <w:spacing w:line="240" w:lineRule="auto"/>
              <w:rPr>
                <w:bCs/>
                <w:color w:val="000000"/>
                <w:sz w:val="18"/>
                <w:szCs w:val="18"/>
              </w:rPr>
            </w:pPr>
          </w:p>
        </w:tc>
        <w:tc>
          <w:tcPr>
            <w:tcW w:w="753" w:type="dxa"/>
            <w:vAlign w:val="center"/>
          </w:tcPr>
          <w:p w14:paraId="428D2BE5">
            <w:pPr>
              <w:jc w:val="center"/>
              <w:textAlignment w:val="center"/>
              <w:rPr>
                <w:color w:val="000000"/>
                <w:kern w:val="0"/>
                <w:sz w:val="18"/>
                <w:szCs w:val="18"/>
              </w:rPr>
            </w:pPr>
            <w:r>
              <w:rPr>
                <w:color w:val="000000"/>
                <w:kern w:val="0"/>
                <w:sz w:val="18"/>
                <w:szCs w:val="18"/>
              </w:rPr>
              <w:t>1# 0.5m</w:t>
            </w:r>
          </w:p>
        </w:tc>
        <w:tc>
          <w:tcPr>
            <w:tcW w:w="753" w:type="dxa"/>
            <w:vAlign w:val="center"/>
          </w:tcPr>
          <w:p w14:paraId="7BD2C7B6">
            <w:pPr>
              <w:jc w:val="center"/>
              <w:textAlignment w:val="center"/>
              <w:rPr>
                <w:color w:val="000000"/>
                <w:kern w:val="0"/>
                <w:sz w:val="18"/>
                <w:szCs w:val="18"/>
              </w:rPr>
            </w:pPr>
            <w:r>
              <w:rPr>
                <w:color w:val="000000"/>
                <w:kern w:val="0"/>
                <w:sz w:val="18"/>
                <w:szCs w:val="18"/>
              </w:rPr>
              <w:t>1# 1.5m</w:t>
            </w:r>
          </w:p>
        </w:tc>
        <w:tc>
          <w:tcPr>
            <w:tcW w:w="753" w:type="dxa"/>
            <w:vAlign w:val="center"/>
          </w:tcPr>
          <w:p w14:paraId="720B7018">
            <w:pPr>
              <w:jc w:val="center"/>
              <w:textAlignment w:val="center"/>
              <w:rPr>
                <w:color w:val="000000"/>
                <w:kern w:val="0"/>
                <w:sz w:val="18"/>
                <w:szCs w:val="18"/>
              </w:rPr>
            </w:pPr>
            <w:r>
              <w:rPr>
                <w:color w:val="000000"/>
                <w:kern w:val="0"/>
                <w:sz w:val="18"/>
                <w:szCs w:val="18"/>
              </w:rPr>
              <w:t>1# 3.0m</w:t>
            </w:r>
          </w:p>
        </w:tc>
        <w:tc>
          <w:tcPr>
            <w:tcW w:w="753" w:type="dxa"/>
            <w:vAlign w:val="center"/>
          </w:tcPr>
          <w:p w14:paraId="00F93652">
            <w:pPr>
              <w:jc w:val="center"/>
              <w:textAlignment w:val="center"/>
              <w:rPr>
                <w:color w:val="000000"/>
                <w:kern w:val="0"/>
                <w:sz w:val="18"/>
                <w:szCs w:val="18"/>
              </w:rPr>
            </w:pPr>
            <w:r>
              <w:rPr>
                <w:color w:val="000000"/>
                <w:kern w:val="0"/>
                <w:sz w:val="18"/>
                <w:szCs w:val="18"/>
              </w:rPr>
              <w:t>2# 0.5m</w:t>
            </w:r>
          </w:p>
        </w:tc>
        <w:tc>
          <w:tcPr>
            <w:tcW w:w="753" w:type="dxa"/>
            <w:vAlign w:val="center"/>
          </w:tcPr>
          <w:p w14:paraId="2CABC3F6">
            <w:pPr>
              <w:jc w:val="center"/>
              <w:textAlignment w:val="center"/>
              <w:rPr>
                <w:color w:val="000000"/>
                <w:kern w:val="0"/>
                <w:sz w:val="18"/>
                <w:szCs w:val="18"/>
              </w:rPr>
            </w:pPr>
            <w:r>
              <w:rPr>
                <w:color w:val="000000"/>
                <w:kern w:val="0"/>
                <w:sz w:val="18"/>
                <w:szCs w:val="18"/>
              </w:rPr>
              <w:t>2# 1.5m</w:t>
            </w:r>
          </w:p>
        </w:tc>
        <w:tc>
          <w:tcPr>
            <w:tcW w:w="761" w:type="dxa"/>
            <w:vAlign w:val="center"/>
          </w:tcPr>
          <w:p w14:paraId="5A96E161">
            <w:pPr>
              <w:jc w:val="center"/>
              <w:textAlignment w:val="center"/>
              <w:rPr>
                <w:color w:val="000000"/>
                <w:kern w:val="0"/>
                <w:sz w:val="18"/>
                <w:szCs w:val="18"/>
              </w:rPr>
            </w:pPr>
            <w:r>
              <w:rPr>
                <w:color w:val="000000"/>
                <w:kern w:val="0"/>
                <w:sz w:val="18"/>
                <w:szCs w:val="18"/>
              </w:rPr>
              <w:t>2# 3.0m</w:t>
            </w:r>
          </w:p>
        </w:tc>
        <w:tc>
          <w:tcPr>
            <w:tcW w:w="753" w:type="dxa"/>
            <w:vAlign w:val="center"/>
          </w:tcPr>
          <w:p w14:paraId="2ED0D4BD">
            <w:pPr>
              <w:jc w:val="center"/>
              <w:textAlignment w:val="center"/>
              <w:rPr>
                <w:color w:val="000000"/>
                <w:kern w:val="0"/>
                <w:sz w:val="18"/>
                <w:szCs w:val="18"/>
              </w:rPr>
            </w:pPr>
            <w:r>
              <w:rPr>
                <w:color w:val="000000"/>
                <w:kern w:val="0"/>
                <w:sz w:val="18"/>
                <w:szCs w:val="18"/>
              </w:rPr>
              <w:t>3# 0.5m</w:t>
            </w:r>
          </w:p>
        </w:tc>
        <w:tc>
          <w:tcPr>
            <w:tcW w:w="753" w:type="dxa"/>
            <w:vAlign w:val="center"/>
          </w:tcPr>
          <w:p w14:paraId="6A112705">
            <w:pPr>
              <w:jc w:val="center"/>
              <w:textAlignment w:val="center"/>
              <w:rPr>
                <w:color w:val="000000"/>
                <w:kern w:val="0"/>
                <w:sz w:val="18"/>
                <w:szCs w:val="18"/>
              </w:rPr>
            </w:pPr>
            <w:r>
              <w:rPr>
                <w:color w:val="000000"/>
                <w:kern w:val="0"/>
                <w:sz w:val="18"/>
                <w:szCs w:val="18"/>
              </w:rPr>
              <w:t>3# 1.5m</w:t>
            </w:r>
          </w:p>
        </w:tc>
        <w:tc>
          <w:tcPr>
            <w:tcW w:w="834" w:type="dxa"/>
            <w:vAlign w:val="center"/>
          </w:tcPr>
          <w:p w14:paraId="49181AAB">
            <w:pPr>
              <w:jc w:val="center"/>
              <w:textAlignment w:val="center"/>
              <w:rPr>
                <w:color w:val="000000"/>
                <w:kern w:val="0"/>
                <w:sz w:val="18"/>
                <w:szCs w:val="18"/>
              </w:rPr>
            </w:pPr>
            <w:r>
              <w:rPr>
                <w:color w:val="000000"/>
                <w:kern w:val="0"/>
                <w:sz w:val="18"/>
                <w:szCs w:val="18"/>
              </w:rPr>
              <w:t>3# 3.0m</w:t>
            </w:r>
          </w:p>
        </w:tc>
        <w:tc>
          <w:tcPr>
            <w:tcW w:w="843" w:type="dxa"/>
            <w:vAlign w:val="center"/>
          </w:tcPr>
          <w:p w14:paraId="1DCD5AEE">
            <w:pPr>
              <w:jc w:val="center"/>
              <w:textAlignment w:val="center"/>
              <w:rPr>
                <w:color w:val="000000"/>
                <w:kern w:val="0"/>
                <w:sz w:val="18"/>
                <w:szCs w:val="18"/>
              </w:rPr>
            </w:pPr>
            <w:r>
              <w:rPr>
                <w:color w:val="000000"/>
                <w:kern w:val="0"/>
                <w:sz w:val="18"/>
                <w:szCs w:val="18"/>
              </w:rPr>
              <w:t>4# 0.2m</w:t>
            </w:r>
          </w:p>
        </w:tc>
        <w:tc>
          <w:tcPr>
            <w:tcW w:w="989" w:type="dxa"/>
            <w:vAlign w:val="center"/>
          </w:tcPr>
          <w:p w14:paraId="2FF321E0">
            <w:pPr>
              <w:jc w:val="center"/>
              <w:textAlignment w:val="center"/>
              <w:rPr>
                <w:color w:val="000000"/>
                <w:kern w:val="0"/>
                <w:sz w:val="18"/>
                <w:szCs w:val="18"/>
              </w:rPr>
            </w:pPr>
            <w:r>
              <w:rPr>
                <w:color w:val="000000"/>
                <w:kern w:val="0"/>
                <w:sz w:val="18"/>
                <w:szCs w:val="18"/>
              </w:rPr>
              <w:t>第二类用地筛选值</w:t>
            </w:r>
          </w:p>
        </w:tc>
        <w:tc>
          <w:tcPr>
            <w:tcW w:w="989" w:type="dxa"/>
            <w:vMerge w:val="continue"/>
            <w:vAlign w:val="center"/>
          </w:tcPr>
          <w:p w14:paraId="00112308">
            <w:pPr>
              <w:pStyle w:val="12"/>
              <w:shd w:val="clear" w:color="FFFFFF" w:fill="auto"/>
              <w:tabs>
                <w:tab w:val="left" w:pos="993"/>
              </w:tabs>
              <w:spacing w:line="240" w:lineRule="auto"/>
              <w:rPr>
                <w:bCs/>
                <w:color w:val="000000"/>
                <w:sz w:val="18"/>
                <w:szCs w:val="18"/>
              </w:rPr>
            </w:pPr>
          </w:p>
        </w:tc>
      </w:tr>
      <w:tr w14:paraId="43A6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restart"/>
            <w:vAlign w:val="center"/>
          </w:tcPr>
          <w:p w14:paraId="5334350D">
            <w:pPr>
              <w:pStyle w:val="12"/>
              <w:tabs>
                <w:tab w:val="left" w:pos="993"/>
              </w:tabs>
              <w:spacing w:line="240" w:lineRule="auto"/>
              <w:rPr>
                <w:bCs/>
                <w:color w:val="000000"/>
                <w:sz w:val="18"/>
                <w:szCs w:val="18"/>
              </w:rPr>
            </w:pPr>
            <w:r>
              <w:rPr>
                <w:bCs/>
                <w:color w:val="000000"/>
                <w:sz w:val="18"/>
                <w:szCs w:val="18"/>
              </w:rPr>
              <w:t>基本因子</w:t>
            </w:r>
          </w:p>
          <w:p w14:paraId="10288BD7">
            <w:pPr>
              <w:pStyle w:val="12"/>
              <w:tabs>
                <w:tab w:val="left" w:pos="993"/>
              </w:tabs>
              <w:spacing w:line="240" w:lineRule="auto"/>
              <w:rPr>
                <w:bCs/>
                <w:color w:val="000000"/>
                <w:sz w:val="18"/>
                <w:szCs w:val="18"/>
              </w:rPr>
            </w:pPr>
            <w:r>
              <w:rPr>
                <w:bCs/>
                <w:color w:val="000000"/>
                <w:sz w:val="18"/>
                <w:szCs w:val="18"/>
              </w:rPr>
              <w:t>基本因子</w:t>
            </w:r>
          </w:p>
        </w:tc>
        <w:tc>
          <w:tcPr>
            <w:tcW w:w="759" w:type="dxa"/>
            <w:vMerge w:val="restart"/>
            <w:vAlign w:val="center"/>
          </w:tcPr>
          <w:p w14:paraId="2024F884">
            <w:pPr>
              <w:pStyle w:val="12"/>
              <w:tabs>
                <w:tab w:val="left" w:pos="993"/>
              </w:tabs>
              <w:spacing w:line="240" w:lineRule="auto"/>
              <w:rPr>
                <w:bCs/>
                <w:color w:val="000000"/>
                <w:sz w:val="18"/>
                <w:szCs w:val="18"/>
              </w:rPr>
            </w:pPr>
            <w:r>
              <w:rPr>
                <w:bCs/>
                <w:color w:val="000000"/>
                <w:sz w:val="18"/>
                <w:szCs w:val="18"/>
              </w:rPr>
              <w:t>重金属和无机物</w:t>
            </w:r>
          </w:p>
        </w:tc>
        <w:tc>
          <w:tcPr>
            <w:tcW w:w="495" w:type="dxa"/>
            <w:vAlign w:val="center"/>
          </w:tcPr>
          <w:p w14:paraId="3424DE98">
            <w:pPr>
              <w:pStyle w:val="12"/>
              <w:tabs>
                <w:tab w:val="left" w:pos="993"/>
              </w:tabs>
              <w:spacing w:line="240" w:lineRule="auto"/>
              <w:rPr>
                <w:bCs/>
                <w:color w:val="000000"/>
                <w:sz w:val="18"/>
                <w:szCs w:val="18"/>
              </w:rPr>
            </w:pPr>
            <w:r>
              <w:rPr>
                <w:bCs/>
                <w:color w:val="000000"/>
                <w:sz w:val="18"/>
                <w:szCs w:val="18"/>
              </w:rPr>
              <w:t>1</w:t>
            </w:r>
          </w:p>
        </w:tc>
        <w:tc>
          <w:tcPr>
            <w:tcW w:w="1858" w:type="dxa"/>
            <w:vAlign w:val="center"/>
          </w:tcPr>
          <w:p w14:paraId="4358D920">
            <w:pPr>
              <w:pStyle w:val="12"/>
              <w:tabs>
                <w:tab w:val="left" w:pos="993"/>
              </w:tabs>
              <w:spacing w:line="240" w:lineRule="auto"/>
              <w:rPr>
                <w:bCs/>
                <w:color w:val="000000"/>
                <w:sz w:val="18"/>
                <w:szCs w:val="18"/>
              </w:rPr>
            </w:pPr>
            <w:r>
              <w:rPr>
                <w:bCs/>
                <w:color w:val="000000"/>
                <w:sz w:val="18"/>
                <w:szCs w:val="18"/>
              </w:rPr>
              <w:t>砷</w:t>
            </w:r>
          </w:p>
        </w:tc>
        <w:tc>
          <w:tcPr>
            <w:tcW w:w="722" w:type="dxa"/>
            <w:vAlign w:val="center"/>
          </w:tcPr>
          <w:p w14:paraId="6959586C">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1864B028">
            <w:pPr>
              <w:pStyle w:val="12"/>
              <w:tabs>
                <w:tab w:val="left" w:pos="993"/>
              </w:tabs>
              <w:spacing w:line="240" w:lineRule="auto"/>
              <w:rPr>
                <w:bCs/>
                <w:color w:val="000000"/>
                <w:sz w:val="18"/>
                <w:szCs w:val="18"/>
              </w:rPr>
            </w:pPr>
            <w:r>
              <w:rPr>
                <w:bCs/>
                <w:color w:val="000000"/>
                <w:sz w:val="18"/>
                <w:szCs w:val="18"/>
              </w:rPr>
              <w:t>6.82</w:t>
            </w:r>
          </w:p>
        </w:tc>
        <w:tc>
          <w:tcPr>
            <w:tcW w:w="753" w:type="dxa"/>
            <w:vAlign w:val="center"/>
          </w:tcPr>
          <w:p w14:paraId="18F8A9B1">
            <w:pPr>
              <w:pStyle w:val="12"/>
              <w:tabs>
                <w:tab w:val="left" w:pos="993"/>
              </w:tabs>
              <w:spacing w:line="240" w:lineRule="auto"/>
              <w:rPr>
                <w:bCs/>
                <w:color w:val="000000"/>
                <w:sz w:val="18"/>
                <w:szCs w:val="18"/>
              </w:rPr>
            </w:pPr>
            <w:r>
              <w:rPr>
                <w:bCs/>
                <w:color w:val="000000"/>
                <w:sz w:val="18"/>
                <w:szCs w:val="18"/>
              </w:rPr>
              <w:t>7.00</w:t>
            </w:r>
          </w:p>
        </w:tc>
        <w:tc>
          <w:tcPr>
            <w:tcW w:w="753" w:type="dxa"/>
            <w:vAlign w:val="center"/>
          </w:tcPr>
          <w:p w14:paraId="1DE16CB4">
            <w:pPr>
              <w:pStyle w:val="12"/>
              <w:tabs>
                <w:tab w:val="left" w:pos="993"/>
              </w:tabs>
              <w:spacing w:line="240" w:lineRule="auto"/>
              <w:rPr>
                <w:bCs/>
                <w:color w:val="000000"/>
                <w:sz w:val="18"/>
                <w:szCs w:val="18"/>
              </w:rPr>
            </w:pPr>
            <w:r>
              <w:rPr>
                <w:bCs/>
                <w:color w:val="000000"/>
                <w:sz w:val="18"/>
                <w:szCs w:val="18"/>
              </w:rPr>
              <w:t>7.21</w:t>
            </w:r>
          </w:p>
        </w:tc>
        <w:tc>
          <w:tcPr>
            <w:tcW w:w="753" w:type="dxa"/>
            <w:vAlign w:val="center"/>
          </w:tcPr>
          <w:p w14:paraId="7D28FDC5">
            <w:pPr>
              <w:pStyle w:val="12"/>
              <w:tabs>
                <w:tab w:val="left" w:pos="993"/>
              </w:tabs>
              <w:spacing w:line="240" w:lineRule="auto"/>
              <w:rPr>
                <w:bCs/>
                <w:color w:val="000000"/>
                <w:sz w:val="18"/>
                <w:szCs w:val="18"/>
              </w:rPr>
            </w:pPr>
            <w:r>
              <w:rPr>
                <w:bCs/>
                <w:color w:val="000000"/>
                <w:sz w:val="18"/>
                <w:szCs w:val="18"/>
              </w:rPr>
              <w:t>9.70</w:t>
            </w:r>
          </w:p>
        </w:tc>
        <w:tc>
          <w:tcPr>
            <w:tcW w:w="753" w:type="dxa"/>
            <w:vAlign w:val="center"/>
          </w:tcPr>
          <w:p w14:paraId="29292F89">
            <w:pPr>
              <w:pStyle w:val="12"/>
              <w:tabs>
                <w:tab w:val="left" w:pos="993"/>
              </w:tabs>
              <w:spacing w:line="240" w:lineRule="auto"/>
              <w:rPr>
                <w:bCs/>
                <w:color w:val="000000"/>
                <w:sz w:val="18"/>
                <w:szCs w:val="18"/>
              </w:rPr>
            </w:pPr>
            <w:r>
              <w:rPr>
                <w:bCs/>
                <w:color w:val="000000"/>
                <w:sz w:val="18"/>
                <w:szCs w:val="18"/>
              </w:rPr>
              <w:t>9.91</w:t>
            </w:r>
          </w:p>
        </w:tc>
        <w:tc>
          <w:tcPr>
            <w:tcW w:w="761" w:type="dxa"/>
            <w:vAlign w:val="center"/>
          </w:tcPr>
          <w:p w14:paraId="78F9A1BC">
            <w:pPr>
              <w:pStyle w:val="12"/>
              <w:tabs>
                <w:tab w:val="left" w:pos="993"/>
              </w:tabs>
              <w:spacing w:line="240" w:lineRule="auto"/>
              <w:rPr>
                <w:bCs/>
                <w:color w:val="000000"/>
                <w:sz w:val="18"/>
                <w:szCs w:val="18"/>
              </w:rPr>
            </w:pPr>
            <w:r>
              <w:rPr>
                <w:bCs/>
                <w:color w:val="000000"/>
                <w:sz w:val="18"/>
                <w:szCs w:val="18"/>
              </w:rPr>
              <w:t>9.88</w:t>
            </w:r>
          </w:p>
        </w:tc>
        <w:tc>
          <w:tcPr>
            <w:tcW w:w="753" w:type="dxa"/>
            <w:vAlign w:val="center"/>
          </w:tcPr>
          <w:p w14:paraId="3420BE2F">
            <w:pPr>
              <w:pStyle w:val="12"/>
              <w:tabs>
                <w:tab w:val="left" w:pos="993"/>
              </w:tabs>
              <w:spacing w:line="240" w:lineRule="auto"/>
              <w:rPr>
                <w:bCs/>
                <w:color w:val="000000"/>
                <w:sz w:val="18"/>
                <w:szCs w:val="18"/>
              </w:rPr>
            </w:pPr>
            <w:r>
              <w:rPr>
                <w:bCs/>
                <w:color w:val="000000"/>
                <w:sz w:val="18"/>
                <w:szCs w:val="18"/>
              </w:rPr>
              <w:t>/</w:t>
            </w:r>
          </w:p>
        </w:tc>
        <w:tc>
          <w:tcPr>
            <w:tcW w:w="753" w:type="dxa"/>
            <w:vAlign w:val="center"/>
          </w:tcPr>
          <w:p w14:paraId="15796058">
            <w:pPr>
              <w:pStyle w:val="12"/>
              <w:tabs>
                <w:tab w:val="left" w:pos="993"/>
              </w:tabs>
              <w:spacing w:line="240" w:lineRule="auto"/>
              <w:rPr>
                <w:bCs/>
                <w:color w:val="000000"/>
                <w:sz w:val="18"/>
                <w:szCs w:val="18"/>
              </w:rPr>
            </w:pPr>
            <w:r>
              <w:rPr>
                <w:bCs/>
                <w:color w:val="000000"/>
                <w:sz w:val="18"/>
                <w:szCs w:val="18"/>
              </w:rPr>
              <w:t>/</w:t>
            </w:r>
          </w:p>
        </w:tc>
        <w:tc>
          <w:tcPr>
            <w:tcW w:w="834" w:type="dxa"/>
            <w:vAlign w:val="center"/>
          </w:tcPr>
          <w:p w14:paraId="7FC5174C">
            <w:pPr>
              <w:pStyle w:val="12"/>
              <w:tabs>
                <w:tab w:val="left" w:pos="993"/>
              </w:tabs>
              <w:spacing w:line="240" w:lineRule="auto"/>
              <w:rPr>
                <w:bCs/>
                <w:color w:val="000000"/>
                <w:sz w:val="18"/>
                <w:szCs w:val="18"/>
              </w:rPr>
            </w:pPr>
            <w:r>
              <w:rPr>
                <w:bCs/>
                <w:color w:val="000000"/>
                <w:sz w:val="18"/>
                <w:szCs w:val="18"/>
              </w:rPr>
              <w:t>/</w:t>
            </w:r>
          </w:p>
        </w:tc>
        <w:tc>
          <w:tcPr>
            <w:tcW w:w="843" w:type="dxa"/>
            <w:vAlign w:val="center"/>
          </w:tcPr>
          <w:p w14:paraId="68499676">
            <w:pPr>
              <w:pStyle w:val="12"/>
              <w:tabs>
                <w:tab w:val="left" w:pos="993"/>
              </w:tabs>
              <w:spacing w:line="240" w:lineRule="auto"/>
              <w:rPr>
                <w:bCs/>
                <w:color w:val="000000"/>
                <w:sz w:val="18"/>
                <w:szCs w:val="18"/>
              </w:rPr>
            </w:pPr>
            <w:r>
              <w:rPr>
                <w:bCs/>
                <w:color w:val="000000"/>
                <w:sz w:val="18"/>
                <w:szCs w:val="18"/>
              </w:rPr>
              <w:t>/</w:t>
            </w:r>
          </w:p>
        </w:tc>
        <w:tc>
          <w:tcPr>
            <w:tcW w:w="989" w:type="dxa"/>
            <w:vAlign w:val="center"/>
          </w:tcPr>
          <w:p w14:paraId="3FC2D3FF">
            <w:pPr>
              <w:pStyle w:val="12"/>
              <w:tabs>
                <w:tab w:val="left" w:pos="993"/>
              </w:tabs>
              <w:spacing w:line="240" w:lineRule="auto"/>
              <w:rPr>
                <w:bCs/>
                <w:color w:val="000000"/>
                <w:sz w:val="18"/>
                <w:szCs w:val="18"/>
              </w:rPr>
            </w:pPr>
            <w:r>
              <w:rPr>
                <w:bCs/>
                <w:color w:val="000000"/>
                <w:sz w:val="18"/>
                <w:szCs w:val="18"/>
              </w:rPr>
              <w:t>60</w:t>
            </w:r>
          </w:p>
        </w:tc>
        <w:tc>
          <w:tcPr>
            <w:tcW w:w="989" w:type="dxa"/>
            <w:vAlign w:val="center"/>
          </w:tcPr>
          <w:p w14:paraId="4DEED09F">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4B5C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2D3911E1">
            <w:pPr>
              <w:pStyle w:val="12"/>
              <w:tabs>
                <w:tab w:val="left" w:pos="993"/>
              </w:tabs>
              <w:spacing w:line="240" w:lineRule="auto"/>
              <w:rPr>
                <w:bCs/>
                <w:color w:val="000000"/>
                <w:sz w:val="18"/>
                <w:szCs w:val="18"/>
              </w:rPr>
            </w:pPr>
          </w:p>
        </w:tc>
        <w:tc>
          <w:tcPr>
            <w:tcW w:w="759" w:type="dxa"/>
            <w:vMerge w:val="continue"/>
            <w:vAlign w:val="center"/>
          </w:tcPr>
          <w:p w14:paraId="5415511C">
            <w:pPr>
              <w:pStyle w:val="12"/>
              <w:tabs>
                <w:tab w:val="left" w:pos="993"/>
              </w:tabs>
              <w:spacing w:line="240" w:lineRule="auto"/>
              <w:rPr>
                <w:bCs/>
                <w:color w:val="000000"/>
                <w:sz w:val="18"/>
                <w:szCs w:val="18"/>
              </w:rPr>
            </w:pPr>
          </w:p>
        </w:tc>
        <w:tc>
          <w:tcPr>
            <w:tcW w:w="495" w:type="dxa"/>
            <w:vAlign w:val="center"/>
          </w:tcPr>
          <w:p w14:paraId="219CA941">
            <w:pPr>
              <w:pStyle w:val="12"/>
              <w:tabs>
                <w:tab w:val="left" w:pos="993"/>
              </w:tabs>
              <w:spacing w:line="240" w:lineRule="auto"/>
              <w:rPr>
                <w:bCs/>
                <w:color w:val="000000"/>
                <w:sz w:val="18"/>
                <w:szCs w:val="18"/>
              </w:rPr>
            </w:pPr>
            <w:r>
              <w:rPr>
                <w:bCs/>
                <w:color w:val="000000"/>
                <w:sz w:val="18"/>
                <w:szCs w:val="18"/>
              </w:rPr>
              <w:t>2</w:t>
            </w:r>
          </w:p>
        </w:tc>
        <w:tc>
          <w:tcPr>
            <w:tcW w:w="1858" w:type="dxa"/>
            <w:vAlign w:val="center"/>
          </w:tcPr>
          <w:p w14:paraId="03A818B5">
            <w:pPr>
              <w:pStyle w:val="12"/>
              <w:tabs>
                <w:tab w:val="left" w:pos="993"/>
              </w:tabs>
              <w:spacing w:line="240" w:lineRule="auto"/>
              <w:rPr>
                <w:bCs/>
                <w:color w:val="000000"/>
                <w:sz w:val="18"/>
                <w:szCs w:val="18"/>
              </w:rPr>
            </w:pPr>
            <w:r>
              <w:rPr>
                <w:bCs/>
                <w:color w:val="000000"/>
                <w:sz w:val="18"/>
                <w:szCs w:val="18"/>
              </w:rPr>
              <w:t>镉</w:t>
            </w:r>
          </w:p>
        </w:tc>
        <w:tc>
          <w:tcPr>
            <w:tcW w:w="722" w:type="dxa"/>
            <w:vAlign w:val="center"/>
          </w:tcPr>
          <w:p w14:paraId="4D806724">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45A75892">
            <w:pPr>
              <w:pStyle w:val="12"/>
              <w:tabs>
                <w:tab w:val="left" w:pos="993"/>
              </w:tabs>
              <w:spacing w:line="240" w:lineRule="auto"/>
              <w:rPr>
                <w:bCs/>
                <w:color w:val="000000"/>
                <w:sz w:val="18"/>
                <w:szCs w:val="18"/>
              </w:rPr>
            </w:pPr>
            <w:r>
              <w:rPr>
                <w:bCs/>
                <w:color w:val="000000"/>
                <w:sz w:val="18"/>
                <w:szCs w:val="18"/>
              </w:rPr>
              <w:t>0.17</w:t>
            </w:r>
          </w:p>
        </w:tc>
        <w:tc>
          <w:tcPr>
            <w:tcW w:w="753" w:type="dxa"/>
            <w:vAlign w:val="center"/>
          </w:tcPr>
          <w:p w14:paraId="58EFF8CA">
            <w:pPr>
              <w:pStyle w:val="12"/>
              <w:tabs>
                <w:tab w:val="left" w:pos="993"/>
              </w:tabs>
              <w:spacing w:line="240" w:lineRule="auto"/>
              <w:rPr>
                <w:bCs/>
                <w:color w:val="000000"/>
                <w:sz w:val="18"/>
                <w:szCs w:val="18"/>
              </w:rPr>
            </w:pPr>
            <w:r>
              <w:rPr>
                <w:bCs/>
                <w:color w:val="000000"/>
                <w:sz w:val="18"/>
                <w:szCs w:val="18"/>
              </w:rPr>
              <w:t>0.07</w:t>
            </w:r>
          </w:p>
        </w:tc>
        <w:tc>
          <w:tcPr>
            <w:tcW w:w="753" w:type="dxa"/>
            <w:vAlign w:val="center"/>
          </w:tcPr>
          <w:p w14:paraId="29DC541E">
            <w:pPr>
              <w:pStyle w:val="12"/>
              <w:tabs>
                <w:tab w:val="left" w:pos="993"/>
              </w:tabs>
              <w:spacing w:line="240" w:lineRule="auto"/>
              <w:rPr>
                <w:bCs/>
                <w:color w:val="000000"/>
                <w:sz w:val="18"/>
                <w:szCs w:val="18"/>
              </w:rPr>
            </w:pPr>
            <w:r>
              <w:rPr>
                <w:bCs/>
                <w:color w:val="000000"/>
                <w:sz w:val="18"/>
                <w:szCs w:val="18"/>
              </w:rPr>
              <w:t>0.14</w:t>
            </w:r>
          </w:p>
        </w:tc>
        <w:tc>
          <w:tcPr>
            <w:tcW w:w="753" w:type="dxa"/>
            <w:vAlign w:val="center"/>
          </w:tcPr>
          <w:p w14:paraId="3A250BCE">
            <w:pPr>
              <w:pStyle w:val="12"/>
              <w:tabs>
                <w:tab w:val="left" w:pos="993"/>
              </w:tabs>
              <w:spacing w:line="240" w:lineRule="auto"/>
              <w:rPr>
                <w:bCs/>
                <w:color w:val="000000"/>
                <w:sz w:val="18"/>
                <w:szCs w:val="18"/>
              </w:rPr>
            </w:pPr>
            <w:r>
              <w:rPr>
                <w:bCs/>
                <w:color w:val="000000"/>
                <w:sz w:val="18"/>
                <w:szCs w:val="18"/>
              </w:rPr>
              <w:t>0.16</w:t>
            </w:r>
          </w:p>
        </w:tc>
        <w:tc>
          <w:tcPr>
            <w:tcW w:w="753" w:type="dxa"/>
            <w:vAlign w:val="center"/>
          </w:tcPr>
          <w:p w14:paraId="022075A9">
            <w:pPr>
              <w:pStyle w:val="12"/>
              <w:tabs>
                <w:tab w:val="left" w:pos="993"/>
              </w:tabs>
              <w:spacing w:line="240" w:lineRule="auto"/>
              <w:rPr>
                <w:bCs/>
                <w:color w:val="000000"/>
                <w:sz w:val="18"/>
                <w:szCs w:val="18"/>
              </w:rPr>
            </w:pPr>
            <w:r>
              <w:rPr>
                <w:bCs/>
                <w:color w:val="000000"/>
                <w:sz w:val="18"/>
                <w:szCs w:val="18"/>
              </w:rPr>
              <w:t>0.15</w:t>
            </w:r>
          </w:p>
        </w:tc>
        <w:tc>
          <w:tcPr>
            <w:tcW w:w="761" w:type="dxa"/>
            <w:vAlign w:val="center"/>
          </w:tcPr>
          <w:p w14:paraId="385466A8">
            <w:pPr>
              <w:pStyle w:val="12"/>
              <w:tabs>
                <w:tab w:val="left" w:pos="993"/>
              </w:tabs>
              <w:spacing w:line="240" w:lineRule="auto"/>
              <w:rPr>
                <w:bCs/>
                <w:color w:val="000000"/>
                <w:sz w:val="18"/>
                <w:szCs w:val="18"/>
              </w:rPr>
            </w:pPr>
            <w:r>
              <w:rPr>
                <w:bCs/>
                <w:color w:val="000000"/>
                <w:sz w:val="18"/>
                <w:szCs w:val="18"/>
              </w:rPr>
              <w:t>0.14</w:t>
            </w:r>
          </w:p>
        </w:tc>
        <w:tc>
          <w:tcPr>
            <w:tcW w:w="753" w:type="dxa"/>
            <w:vAlign w:val="center"/>
          </w:tcPr>
          <w:p w14:paraId="18361808">
            <w:pPr>
              <w:pStyle w:val="12"/>
              <w:tabs>
                <w:tab w:val="left" w:pos="993"/>
              </w:tabs>
              <w:spacing w:line="240" w:lineRule="auto"/>
              <w:rPr>
                <w:bCs/>
                <w:color w:val="000000"/>
                <w:sz w:val="18"/>
                <w:szCs w:val="18"/>
              </w:rPr>
            </w:pPr>
            <w:r>
              <w:rPr>
                <w:bCs/>
                <w:color w:val="000000"/>
                <w:sz w:val="18"/>
                <w:szCs w:val="18"/>
              </w:rPr>
              <w:t>/</w:t>
            </w:r>
          </w:p>
        </w:tc>
        <w:tc>
          <w:tcPr>
            <w:tcW w:w="753" w:type="dxa"/>
            <w:vAlign w:val="center"/>
          </w:tcPr>
          <w:p w14:paraId="24E5E18B">
            <w:pPr>
              <w:pStyle w:val="12"/>
              <w:tabs>
                <w:tab w:val="left" w:pos="993"/>
              </w:tabs>
              <w:spacing w:line="240" w:lineRule="auto"/>
              <w:rPr>
                <w:bCs/>
                <w:color w:val="000000"/>
                <w:sz w:val="18"/>
                <w:szCs w:val="18"/>
              </w:rPr>
            </w:pPr>
            <w:r>
              <w:rPr>
                <w:bCs/>
                <w:color w:val="000000"/>
                <w:sz w:val="18"/>
                <w:szCs w:val="18"/>
              </w:rPr>
              <w:t>/</w:t>
            </w:r>
          </w:p>
        </w:tc>
        <w:tc>
          <w:tcPr>
            <w:tcW w:w="834" w:type="dxa"/>
            <w:vAlign w:val="center"/>
          </w:tcPr>
          <w:p w14:paraId="24562640">
            <w:pPr>
              <w:pStyle w:val="12"/>
              <w:tabs>
                <w:tab w:val="left" w:pos="993"/>
              </w:tabs>
              <w:spacing w:line="240" w:lineRule="auto"/>
              <w:rPr>
                <w:bCs/>
                <w:color w:val="000000"/>
                <w:sz w:val="18"/>
                <w:szCs w:val="18"/>
              </w:rPr>
            </w:pPr>
            <w:r>
              <w:rPr>
                <w:bCs/>
                <w:color w:val="000000"/>
                <w:sz w:val="18"/>
                <w:szCs w:val="18"/>
              </w:rPr>
              <w:t>/</w:t>
            </w:r>
          </w:p>
        </w:tc>
        <w:tc>
          <w:tcPr>
            <w:tcW w:w="843" w:type="dxa"/>
            <w:vAlign w:val="center"/>
          </w:tcPr>
          <w:p w14:paraId="0D420089">
            <w:pPr>
              <w:pStyle w:val="12"/>
              <w:tabs>
                <w:tab w:val="left" w:pos="993"/>
              </w:tabs>
              <w:spacing w:line="240" w:lineRule="auto"/>
              <w:rPr>
                <w:bCs/>
                <w:color w:val="000000"/>
                <w:sz w:val="18"/>
                <w:szCs w:val="18"/>
              </w:rPr>
            </w:pPr>
            <w:r>
              <w:rPr>
                <w:bCs/>
                <w:color w:val="000000"/>
                <w:sz w:val="18"/>
                <w:szCs w:val="18"/>
              </w:rPr>
              <w:t>/</w:t>
            </w:r>
          </w:p>
        </w:tc>
        <w:tc>
          <w:tcPr>
            <w:tcW w:w="989" w:type="dxa"/>
            <w:vAlign w:val="center"/>
          </w:tcPr>
          <w:p w14:paraId="51ADE01C">
            <w:pPr>
              <w:pStyle w:val="12"/>
              <w:tabs>
                <w:tab w:val="left" w:pos="993"/>
              </w:tabs>
              <w:spacing w:line="240" w:lineRule="auto"/>
              <w:rPr>
                <w:bCs/>
                <w:color w:val="000000"/>
                <w:sz w:val="18"/>
                <w:szCs w:val="18"/>
              </w:rPr>
            </w:pPr>
            <w:r>
              <w:rPr>
                <w:bCs/>
                <w:color w:val="000000"/>
                <w:sz w:val="18"/>
                <w:szCs w:val="18"/>
              </w:rPr>
              <w:t>65</w:t>
            </w:r>
          </w:p>
        </w:tc>
        <w:tc>
          <w:tcPr>
            <w:tcW w:w="989" w:type="dxa"/>
            <w:vAlign w:val="center"/>
          </w:tcPr>
          <w:p w14:paraId="71129BFF">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6AC1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568FE2D5">
            <w:pPr>
              <w:pStyle w:val="12"/>
              <w:tabs>
                <w:tab w:val="left" w:pos="993"/>
              </w:tabs>
              <w:spacing w:line="240" w:lineRule="auto"/>
              <w:rPr>
                <w:bCs/>
                <w:color w:val="000000"/>
                <w:sz w:val="18"/>
                <w:szCs w:val="18"/>
              </w:rPr>
            </w:pPr>
          </w:p>
        </w:tc>
        <w:tc>
          <w:tcPr>
            <w:tcW w:w="759" w:type="dxa"/>
            <w:vMerge w:val="continue"/>
            <w:vAlign w:val="center"/>
          </w:tcPr>
          <w:p w14:paraId="5BAFC0A2">
            <w:pPr>
              <w:pStyle w:val="12"/>
              <w:tabs>
                <w:tab w:val="left" w:pos="993"/>
              </w:tabs>
              <w:spacing w:line="240" w:lineRule="auto"/>
              <w:rPr>
                <w:bCs/>
                <w:color w:val="000000"/>
                <w:sz w:val="18"/>
                <w:szCs w:val="18"/>
              </w:rPr>
            </w:pPr>
          </w:p>
        </w:tc>
        <w:tc>
          <w:tcPr>
            <w:tcW w:w="495" w:type="dxa"/>
            <w:vAlign w:val="center"/>
          </w:tcPr>
          <w:p w14:paraId="58E1F0F3">
            <w:pPr>
              <w:pStyle w:val="12"/>
              <w:tabs>
                <w:tab w:val="left" w:pos="993"/>
              </w:tabs>
              <w:spacing w:line="240" w:lineRule="auto"/>
              <w:rPr>
                <w:bCs/>
                <w:color w:val="000000"/>
                <w:sz w:val="18"/>
                <w:szCs w:val="18"/>
              </w:rPr>
            </w:pPr>
            <w:r>
              <w:rPr>
                <w:bCs/>
                <w:color w:val="000000"/>
                <w:sz w:val="18"/>
                <w:szCs w:val="18"/>
              </w:rPr>
              <w:t>3</w:t>
            </w:r>
          </w:p>
        </w:tc>
        <w:tc>
          <w:tcPr>
            <w:tcW w:w="1858" w:type="dxa"/>
            <w:vAlign w:val="center"/>
          </w:tcPr>
          <w:p w14:paraId="467C2883">
            <w:pPr>
              <w:pStyle w:val="12"/>
              <w:tabs>
                <w:tab w:val="left" w:pos="993"/>
              </w:tabs>
              <w:spacing w:line="240" w:lineRule="auto"/>
              <w:rPr>
                <w:bCs/>
                <w:color w:val="000000"/>
                <w:sz w:val="18"/>
                <w:szCs w:val="18"/>
              </w:rPr>
            </w:pPr>
            <w:r>
              <w:rPr>
                <w:bCs/>
                <w:color w:val="000000"/>
                <w:sz w:val="18"/>
                <w:szCs w:val="18"/>
              </w:rPr>
              <w:t>铬（六价）</w:t>
            </w:r>
          </w:p>
        </w:tc>
        <w:tc>
          <w:tcPr>
            <w:tcW w:w="722" w:type="dxa"/>
            <w:vAlign w:val="center"/>
          </w:tcPr>
          <w:p w14:paraId="10CCF070">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78C86644">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00593B51">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69F22982">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35744CD7">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455E973D">
            <w:pPr>
              <w:pStyle w:val="12"/>
              <w:tabs>
                <w:tab w:val="left" w:pos="993"/>
              </w:tabs>
              <w:spacing w:line="240" w:lineRule="auto"/>
              <w:rPr>
                <w:bCs/>
                <w:color w:val="000000"/>
                <w:sz w:val="18"/>
                <w:szCs w:val="18"/>
              </w:rPr>
            </w:pPr>
            <w:r>
              <w:rPr>
                <w:bCs/>
                <w:color w:val="000000"/>
                <w:sz w:val="18"/>
                <w:szCs w:val="18"/>
              </w:rPr>
              <w:t>ND</w:t>
            </w:r>
          </w:p>
        </w:tc>
        <w:tc>
          <w:tcPr>
            <w:tcW w:w="761" w:type="dxa"/>
            <w:vAlign w:val="center"/>
          </w:tcPr>
          <w:p w14:paraId="2549ED1D">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7622FAE9">
            <w:pPr>
              <w:pStyle w:val="12"/>
              <w:tabs>
                <w:tab w:val="left" w:pos="993"/>
              </w:tabs>
              <w:spacing w:line="240" w:lineRule="auto"/>
              <w:rPr>
                <w:bCs/>
                <w:color w:val="000000"/>
                <w:sz w:val="18"/>
                <w:szCs w:val="18"/>
              </w:rPr>
            </w:pPr>
            <w:r>
              <w:rPr>
                <w:bCs/>
                <w:color w:val="000000"/>
                <w:sz w:val="18"/>
                <w:szCs w:val="18"/>
              </w:rPr>
              <w:t>/</w:t>
            </w:r>
          </w:p>
        </w:tc>
        <w:tc>
          <w:tcPr>
            <w:tcW w:w="753" w:type="dxa"/>
            <w:vAlign w:val="center"/>
          </w:tcPr>
          <w:p w14:paraId="5BA2469B">
            <w:pPr>
              <w:pStyle w:val="12"/>
              <w:tabs>
                <w:tab w:val="left" w:pos="993"/>
              </w:tabs>
              <w:spacing w:line="240" w:lineRule="auto"/>
              <w:rPr>
                <w:bCs/>
                <w:color w:val="000000"/>
                <w:sz w:val="18"/>
                <w:szCs w:val="18"/>
              </w:rPr>
            </w:pPr>
            <w:r>
              <w:rPr>
                <w:bCs/>
                <w:color w:val="000000"/>
                <w:sz w:val="18"/>
                <w:szCs w:val="18"/>
              </w:rPr>
              <w:t>/</w:t>
            </w:r>
          </w:p>
        </w:tc>
        <w:tc>
          <w:tcPr>
            <w:tcW w:w="834" w:type="dxa"/>
            <w:vAlign w:val="center"/>
          </w:tcPr>
          <w:p w14:paraId="66DD908E">
            <w:pPr>
              <w:pStyle w:val="12"/>
              <w:tabs>
                <w:tab w:val="left" w:pos="993"/>
              </w:tabs>
              <w:spacing w:line="240" w:lineRule="auto"/>
              <w:rPr>
                <w:bCs/>
                <w:color w:val="000000"/>
                <w:sz w:val="18"/>
                <w:szCs w:val="18"/>
              </w:rPr>
            </w:pPr>
            <w:r>
              <w:rPr>
                <w:bCs/>
                <w:color w:val="000000"/>
                <w:sz w:val="18"/>
                <w:szCs w:val="18"/>
              </w:rPr>
              <w:t>/</w:t>
            </w:r>
          </w:p>
        </w:tc>
        <w:tc>
          <w:tcPr>
            <w:tcW w:w="843" w:type="dxa"/>
            <w:vAlign w:val="center"/>
          </w:tcPr>
          <w:p w14:paraId="30BF64EC">
            <w:pPr>
              <w:pStyle w:val="12"/>
              <w:tabs>
                <w:tab w:val="left" w:pos="993"/>
              </w:tabs>
              <w:spacing w:line="240" w:lineRule="auto"/>
              <w:rPr>
                <w:bCs/>
                <w:color w:val="000000"/>
                <w:sz w:val="18"/>
                <w:szCs w:val="18"/>
              </w:rPr>
            </w:pPr>
            <w:r>
              <w:rPr>
                <w:bCs/>
                <w:color w:val="000000"/>
                <w:sz w:val="18"/>
                <w:szCs w:val="18"/>
              </w:rPr>
              <w:t>/</w:t>
            </w:r>
          </w:p>
        </w:tc>
        <w:tc>
          <w:tcPr>
            <w:tcW w:w="989" w:type="dxa"/>
            <w:vAlign w:val="center"/>
          </w:tcPr>
          <w:p w14:paraId="4EBA3D5E">
            <w:pPr>
              <w:pStyle w:val="12"/>
              <w:tabs>
                <w:tab w:val="left" w:pos="993"/>
              </w:tabs>
              <w:spacing w:line="240" w:lineRule="auto"/>
              <w:rPr>
                <w:bCs/>
                <w:color w:val="000000"/>
                <w:sz w:val="18"/>
                <w:szCs w:val="18"/>
              </w:rPr>
            </w:pPr>
            <w:r>
              <w:rPr>
                <w:bCs/>
                <w:color w:val="000000"/>
                <w:sz w:val="18"/>
                <w:szCs w:val="18"/>
              </w:rPr>
              <w:t>5.7</w:t>
            </w:r>
          </w:p>
        </w:tc>
        <w:tc>
          <w:tcPr>
            <w:tcW w:w="989" w:type="dxa"/>
            <w:vAlign w:val="center"/>
          </w:tcPr>
          <w:p w14:paraId="6CB01B9C">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1607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0D1D3674">
            <w:pPr>
              <w:pStyle w:val="12"/>
              <w:tabs>
                <w:tab w:val="left" w:pos="993"/>
              </w:tabs>
              <w:spacing w:line="240" w:lineRule="auto"/>
              <w:rPr>
                <w:bCs/>
                <w:color w:val="000000"/>
                <w:sz w:val="18"/>
                <w:szCs w:val="18"/>
              </w:rPr>
            </w:pPr>
          </w:p>
        </w:tc>
        <w:tc>
          <w:tcPr>
            <w:tcW w:w="759" w:type="dxa"/>
            <w:vMerge w:val="continue"/>
            <w:vAlign w:val="center"/>
          </w:tcPr>
          <w:p w14:paraId="756CF8EC">
            <w:pPr>
              <w:pStyle w:val="12"/>
              <w:tabs>
                <w:tab w:val="left" w:pos="993"/>
              </w:tabs>
              <w:spacing w:line="240" w:lineRule="auto"/>
              <w:rPr>
                <w:bCs/>
                <w:color w:val="000000"/>
                <w:sz w:val="18"/>
                <w:szCs w:val="18"/>
              </w:rPr>
            </w:pPr>
          </w:p>
        </w:tc>
        <w:tc>
          <w:tcPr>
            <w:tcW w:w="495" w:type="dxa"/>
            <w:vAlign w:val="center"/>
          </w:tcPr>
          <w:p w14:paraId="69265600">
            <w:pPr>
              <w:pStyle w:val="12"/>
              <w:tabs>
                <w:tab w:val="left" w:pos="993"/>
              </w:tabs>
              <w:spacing w:line="240" w:lineRule="auto"/>
              <w:rPr>
                <w:bCs/>
                <w:color w:val="000000"/>
                <w:sz w:val="18"/>
                <w:szCs w:val="18"/>
              </w:rPr>
            </w:pPr>
            <w:r>
              <w:rPr>
                <w:bCs/>
                <w:color w:val="000000"/>
                <w:sz w:val="18"/>
                <w:szCs w:val="18"/>
              </w:rPr>
              <w:t>4</w:t>
            </w:r>
          </w:p>
        </w:tc>
        <w:tc>
          <w:tcPr>
            <w:tcW w:w="1858" w:type="dxa"/>
            <w:vAlign w:val="center"/>
          </w:tcPr>
          <w:p w14:paraId="5262B6B1">
            <w:pPr>
              <w:pStyle w:val="12"/>
              <w:tabs>
                <w:tab w:val="left" w:pos="993"/>
              </w:tabs>
              <w:spacing w:line="240" w:lineRule="auto"/>
              <w:rPr>
                <w:bCs/>
                <w:color w:val="000000"/>
                <w:sz w:val="18"/>
                <w:szCs w:val="18"/>
              </w:rPr>
            </w:pPr>
            <w:r>
              <w:rPr>
                <w:bCs/>
                <w:color w:val="000000"/>
                <w:sz w:val="18"/>
                <w:szCs w:val="18"/>
              </w:rPr>
              <w:t>铜</w:t>
            </w:r>
          </w:p>
        </w:tc>
        <w:tc>
          <w:tcPr>
            <w:tcW w:w="722" w:type="dxa"/>
            <w:vAlign w:val="center"/>
          </w:tcPr>
          <w:p w14:paraId="46ADB0FC">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5F92E7C8">
            <w:pPr>
              <w:pStyle w:val="12"/>
              <w:tabs>
                <w:tab w:val="left" w:pos="993"/>
              </w:tabs>
              <w:spacing w:line="240" w:lineRule="auto"/>
              <w:rPr>
                <w:bCs/>
                <w:color w:val="000000"/>
                <w:sz w:val="18"/>
                <w:szCs w:val="18"/>
              </w:rPr>
            </w:pPr>
            <w:r>
              <w:rPr>
                <w:bCs/>
                <w:color w:val="000000"/>
                <w:sz w:val="18"/>
                <w:szCs w:val="18"/>
              </w:rPr>
              <w:t>24</w:t>
            </w:r>
          </w:p>
        </w:tc>
        <w:tc>
          <w:tcPr>
            <w:tcW w:w="753" w:type="dxa"/>
            <w:vAlign w:val="center"/>
          </w:tcPr>
          <w:p w14:paraId="5917F26C">
            <w:pPr>
              <w:pStyle w:val="12"/>
              <w:tabs>
                <w:tab w:val="left" w:pos="993"/>
              </w:tabs>
              <w:spacing w:line="240" w:lineRule="auto"/>
              <w:rPr>
                <w:bCs/>
                <w:color w:val="000000"/>
                <w:sz w:val="18"/>
                <w:szCs w:val="18"/>
              </w:rPr>
            </w:pPr>
            <w:r>
              <w:rPr>
                <w:bCs/>
                <w:color w:val="000000"/>
                <w:sz w:val="18"/>
                <w:szCs w:val="18"/>
              </w:rPr>
              <w:t>24</w:t>
            </w:r>
          </w:p>
        </w:tc>
        <w:tc>
          <w:tcPr>
            <w:tcW w:w="753" w:type="dxa"/>
            <w:vAlign w:val="center"/>
          </w:tcPr>
          <w:p w14:paraId="2949F046">
            <w:pPr>
              <w:pStyle w:val="12"/>
              <w:tabs>
                <w:tab w:val="left" w:pos="993"/>
              </w:tabs>
              <w:spacing w:line="240" w:lineRule="auto"/>
              <w:rPr>
                <w:bCs/>
                <w:color w:val="000000"/>
                <w:sz w:val="18"/>
                <w:szCs w:val="18"/>
              </w:rPr>
            </w:pPr>
            <w:r>
              <w:rPr>
                <w:bCs/>
                <w:color w:val="000000"/>
                <w:sz w:val="18"/>
                <w:szCs w:val="18"/>
              </w:rPr>
              <w:t>23</w:t>
            </w:r>
          </w:p>
        </w:tc>
        <w:tc>
          <w:tcPr>
            <w:tcW w:w="753" w:type="dxa"/>
            <w:vAlign w:val="center"/>
          </w:tcPr>
          <w:p w14:paraId="424C6B1E">
            <w:pPr>
              <w:pStyle w:val="12"/>
              <w:tabs>
                <w:tab w:val="left" w:pos="993"/>
              </w:tabs>
              <w:spacing w:line="240" w:lineRule="auto"/>
              <w:rPr>
                <w:bCs/>
                <w:color w:val="000000"/>
                <w:sz w:val="18"/>
                <w:szCs w:val="18"/>
              </w:rPr>
            </w:pPr>
            <w:r>
              <w:rPr>
                <w:bCs/>
                <w:color w:val="000000"/>
                <w:sz w:val="18"/>
                <w:szCs w:val="18"/>
              </w:rPr>
              <w:t>22</w:t>
            </w:r>
          </w:p>
        </w:tc>
        <w:tc>
          <w:tcPr>
            <w:tcW w:w="753" w:type="dxa"/>
            <w:vAlign w:val="center"/>
          </w:tcPr>
          <w:p w14:paraId="46B1FB9F">
            <w:pPr>
              <w:pStyle w:val="12"/>
              <w:tabs>
                <w:tab w:val="left" w:pos="993"/>
              </w:tabs>
              <w:spacing w:line="240" w:lineRule="auto"/>
              <w:rPr>
                <w:bCs/>
                <w:color w:val="000000"/>
                <w:sz w:val="18"/>
                <w:szCs w:val="18"/>
              </w:rPr>
            </w:pPr>
            <w:r>
              <w:rPr>
                <w:bCs/>
                <w:color w:val="000000"/>
                <w:sz w:val="18"/>
                <w:szCs w:val="18"/>
              </w:rPr>
              <w:t>24</w:t>
            </w:r>
          </w:p>
        </w:tc>
        <w:tc>
          <w:tcPr>
            <w:tcW w:w="761" w:type="dxa"/>
            <w:vAlign w:val="center"/>
          </w:tcPr>
          <w:p w14:paraId="331EA49B">
            <w:pPr>
              <w:pStyle w:val="12"/>
              <w:tabs>
                <w:tab w:val="left" w:pos="993"/>
              </w:tabs>
              <w:spacing w:line="240" w:lineRule="auto"/>
              <w:rPr>
                <w:bCs/>
                <w:color w:val="000000"/>
                <w:sz w:val="18"/>
                <w:szCs w:val="18"/>
              </w:rPr>
            </w:pPr>
            <w:r>
              <w:rPr>
                <w:bCs/>
                <w:color w:val="000000"/>
                <w:sz w:val="18"/>
                <w:szCs w:val="18"/>
              </w:rPr>
              <w:t>22</w:t>
            </w:r>
          </w:p>
        </w:tc>
        <w:tc>
          <w:tcPr>
            <w:tcW w:w="753" w:type="dxa"/>
            <w:vAlign w:val="center"/>
          </w:tcPr>
          <w:p w14:paraId="0CAAE22A">
            <w:pPr>
              <w:pStyle w:val="12"/>
              <w:tabs>
                <w:tab w:val="left" w:pos="993"/>
              </w:tabs>
              <w:spacing w:line="240" w:lineRule="auto"/>
              <w:rPr>
                <w:bCs/>
                <w:color w:val="000000"/>
                <w:sz w:val="18"/>
                <w:szCs w:val="18"/>
              </w:rPr>
            </w:pPr>
            <w:r>
              <w:rPr>
                <w:bCs/>
                <w:color w:val="000000"/>
                <w:sz w:val="18"/>
                <w:szCs w:val="18"/>
              </w:rPr>
              <w:t>28</w:t>
            </w:r>
          </w:p>
        </w:tc>
        <w:tc>
          <w:tcPr>
            <w:tcW w:w="753" w:type="dxa"/>
            <w:vAlign w:val="center"/>
          </w:tcPr>
          <w:p w14:paraId="01CC913A">
            <w:pPr>
              <w:pStyle w:val="12"/>
              <w:tabs>
                <w:tab w:val="left" w:pos="993"/>
              </w:tabs>
              <w:spacing w:line="240" w:lineRule="auto"/>
              <w:rPr>
                <w:bCs/>
                <w:color w:val="000000"/>
                <w:sz w:val="18"/>
                <w:szCs w:val="18"/>
              </w:rPr>
            </w:pPr>
            <w:r>
              <w:rPr>
                <w:bCs/>
                <w:color w:val="000000"/>
                <w:sz w:val="18"/>
                <w:szCs w:val="18"/>
              </w:rPr>
              <w:t>29</w:t>
            </w:r>
          </w:p>
        </w:tc>
        <w:tc>
          <w:tcPr>
            <w:tcW w:w="834" w:type="dxa"/>
            <w:vAlign w:val="center"/>
          </w:tcPr>
          <w:p w14:paraId="17B0E8F3">
            <w:pPr>
              <w:pStyle w:val="12"/>
              <w:tabs>
                <w:tab w:val="left" w:pos="993"/>
              </w:tabs>
              <w:spacing w:line="240" w:lineRule="auto"/>
              <w:rPr>
                <w:bCs/>
                <w:color w:val="000000"/>
                <w:sz w:val="18"/>
                <w:szCs w:val="18"/>
              </w:rPr>
            </w:pPr>
            <w:r>
              <w:rPr>
                <w:bCs/>
                <w:color w:val="000000"/>
                <w:sz w:val="18"/>
                <w:szCs w:val="18"/>
              </w:rPr>
              <w:t>28</w:t>
            </w:r>
          </w:p>
        </w:tc>
        <w:tc>
          <w:tcPr>
            <w:tcW w:w="843" w:type="dxa"/>
            <w:vAlign w:val="center"/>
          </w:tcPr>
          <w:p w14:paraId="04B27FC7">
            <w:pPr>
              <w:pStyle w:val="12"/>
              <w:tabs>
                <w:tab w:val="left" w:pos="993"/>
              </w:tabs>
              <w:spacing w:line="240" w:lineRule="auto"/>
              <w:rPr>
                <w:bCs/>
                <w:color w:val="000000"/>
                <w:sz w:val="18"/>
                <w:szCs w:val="18"/>
              </w:rPr>
            </w:pPr>
            <w:r>
              <w:rPr>
                <w:bCs/>
                <w:color w:val="000000"/>
                <w:sz w:val="18"/>
                <w:szCs w:val="18"/>
              </w:rPr>
              <w:t>24</w:t>
            </w:r>
          </w:p>
        </w:tc>
        <w:tc>
          <w:tcPr>
            <w:tcW w:w="989" w:type="dxa"/>
            <w:vAlign w:val="center"/>
          </w:tcPr>
          <w:p w14:paraId="1060DC6F">
            <w:pPr>
              <w:pStyle w:val="12"/>
              <w:tabs>
                <w:tab w:val="left" w:pos="993"/>
              </w:tabs>
              <w:spacing w:line="240" w:lineRule="auto"/>
              <w:rPr>
                <w:bCs/>
                <w:color w:val="000000"/>
                <w:sz w:val="18"/>
                <w:szCs w:val="18"/>
              </w:rPr>
            </w:pPr>
            <w:r>
              <w:rPr>
                <w:bCs/>
                <w:color w:val="000000"/>
                <w:sz w:val="18"/>
                <w:szCs w:val="18"/>
              </w:rPr>
              <w:t>18000</w:t>
            </w:r>
          </w:p>
        </w:tc>
        <w:tc>
          <w:tcPr>
            <w:tcW w:w="989" w:type="dxa"/>
            <w:vAlign w:val="center"/>
          </w:tcPr>
          <w:p w14:paraId="46668D7A">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6A60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21EB771A">
            <w:pPr>
              <w:pStyle w:val="12"/>
              <w:tabs>
                <w:tab w:val="left" w:pos="993"/>
              </w:tabs>
              <w:spacing w:line="240" w:lineRule="auto"/>
              <w:rPr>
                <w:bCs/>
                <w:color w:val="000000"/>
                <w:sz w:val="18"/>
                <w:szCs w:val="18"/>
              </w:rPr>
            </w:pPr>
          </w:p>
        </w:tc>
        <w:tc>
          <w:tcPr>
            <w:tcW w:w="759" w:type="dxa"/>
            <w:vMerge w:val="continue"/>
            <w:vAlign w:val="center"/>
          </w:tcPr>
          <w:p w14:paraId="373D8C36">
            <w:pPr>
              <w:pStyle w:val="12"/>
              <w:tabs>
                <w:tab w:val="left" w:pos="993"/>
              </w:tabs>
              <w:spacing w:line="240" w:lineRule="auto"/>
              <w:rPr>
                <w:bCs/>
                <w:color w:val="000000"/>
                <w:sz w:val="18"/>
                <w:szCs w:val="18"/>
              </w:rPr>
            </w:pPr>
          </w:p>
        </w:tc>
        <w:tc>
          <w:tcPr>
            <w:tcW w:w="495" w:type="dxa"/>
            <w:vAlign w:val="center"/>
          </w:tcPr>
          <w:p w14:paraId="766B4FCC">
            <w:pPr>
              <w:pStyle w:val="12"/>
              <w:tabs>
                <w:tab w:val="left" w:pos="993"/>
              </w:tabs>
              <w:spacing w:line="240" w:lineRule="auto"/>
              <w:rPr>
                <w:bCs/>
                <w:color w:val="000000"/>
                <w:sz w:val="18"/>
                <w:szCs w:val="18"/>
              </w:rPr>
            </w:pPr>
            <w:r>
              <w:rPr>
                <w:bCs/>
                <w:color w:val="000000"/>
                <w:sz w:val="18"/>
                <w:szCs w:val="18"/>
              </w:rPr>
              <w:t>5</w:t>
            </w:r>
          </w:p>
        </w:tc>
        <w:tc>
          <w:tcPr>
            <w:tcW w:w="1858" w:type="dxa"/>
            <w:vAlign w:val="center"/>
          </w:tcPr>
          <w:p w14:paraId="23BB557E">
            <w:pPr>
              <w:pStyle w:val="12"/>
              <w:tabs>
                <w:tab w:val="left" w:pos="993"/>
              </w:tabs>
              <w:spacing w:line="240" w:lineRule="auto"/>
              <w:rPr>
                <w:bCs/>
                <w:color w:val="000000"/>
                <w:sz w:val="18"/>
                <w:szCs w:val="18"/>
              </w:rPr>
            </w:pPr>
            <w:r>
              <w:rPr>
                <w:bCs/>
                <w:color w:val="000000"/>
                <w:sz w:val="18"/>
                <w:szCs w:val="18"/>
              </w:rPr>
              <w:t>铅</w:t>
            </w:r>
          </w:p>
        </w:tc>
        <w:tc>
          <w:tcPr>
            <w:tcW w:w="722" w:type="dxa"/>
            <w:vAlign w:val="center"/>
          </w:tcPr>
          <w:p w14:paraId="128214F2">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1C341319">
            <w:pPr>
              <w:pStyle w:val="12"/>
              <w:tabs>
                <w:tab w:val="left" w:pos="993"/>
              </w:tabs>
              <w:spacing w:line="240" w:lineRule="auto"/>
              <w:rPr>
                <w:bCs/>
                <w:color w:val="000000"/>
                <w:sz w:val="18"/>
                <w:szCs w:val="18"/>
              </w:rPr>
            </w:pPr>
            <w:r>
              <w:rPr>
                <w:bCs/>
                <w:color w:val="000000"/>
                <w:sz w:val="18"/>
                <w:szCs w:val="18"/>
              </w:rPr>
              <w:t>26</w:t>
            </w:r>
          </w:p>
        </w:tc>
        <w:tc>
          <w:tcPr>
            <w:tcW w:w="753" w:type="dxa"/>
            <w:vAlign w:val="center"/>
          </w:tcPr>
          <w:p w14:paraId="7FBDA009">
            <w:pPr>
              <w:pStyle w:val="12"/>
              <w:tabs>
                <w:tab w:val="left" w:pos="993"/>
              </w:tabs>
              <w:spacing w:line="240" w:lineRule="auto"/>
              <w:rPr>
                <w:bCs/>
                <w:color w:val="000000"/>
                <w:sz w:val="18"/>
                <w:szCs w:val="18"/>
              </w:rPr>
            </w:pPr>
            <w:r>
              <w:rPr>
                <w:bCs/>
                <w:color w:val="000000"/>
                <w:sz w:val="18"/>
                <w:szCs w:val="18"/>
              </w:rPr>
              <w:t>23</w:t>
            </w:r>
          </w:p>
        </w:tc>
        <w:tc>
          <w:tcPr>
            <w:tcW w:w="753" w:type="dxa"/>
            <w:vAlign w:val="center"/>
          </w:tcPr>
          <w:p w14:paraId="28D4FB1D">
            <w:pPr>
              <w:pStyle w:val="12"/>
              <w:tabs>
                <w:tab w:val="left" w:pos="993"/>
              </w:tabs>
              <w:spacing w:line="240" w:lineRule="auto"/>
              <w:rPr>
                <w:bCs/>
                <w:color w:val="000000"/>
                <w:sz w:val="18"/>
                <w:szCs w:val="18"/>
              </w:rPr>
            </w:pPr>
            <w:r>
              <w:rPr>
                <w:bCs/>
                <w:color w:val="000000"/>
                <w:sz w:val="18"/>
                <w:szCs w:val="18"/>
              </w:rPr>
              <w:t>19</w:t>
            </w:r>
          </w:p>
        </w:tc>
        <w:tc>
          <w:tcPr>
            <w:tcW w:w="753" w:type="dxa"/>
            <w:vAlign w:val="center"/>
          </w:tcPr>
          <w:p w14:paraId="18B0CD88">
            <w:pPr>
              <w:pStyle w:val="12"/>
              <w:tabs>
                <w:tab w:val="left" w:pos="993"/>
              </w:tabs>
              <w:spacing w:line="240" w:lineRule="auto"/>
              <w:rPr>
                <w:bCs/>
                <w:color w:val="000000"/>
                <w:sz w:val="18"/>
                <w:szCs w:val="18"/>
              </w:rPr>
            </w:pPr>
            <w:r>
              <w:rPr>
                <w:bCs/>
                <w:color w:val="000000"/>
                <w:sz w:val="18"/>
                <w:szCs w:val="18"/>
              </w:rPr>
              <w:t>30</w:t>
            </w:r>
          </w:p>
        </w:tc>
        <w:tc>
          <w:tcPr>
            <w:tcW w:w="753" w:type="dxa"/>
            <w:vAlign w:val="center"/>
          </w:tcPr>
          <w:p w14:paraId="7A10BF77">
            <w:pPr>
              <w:pStyle w:val="12"/>
              <w:tabs>
                <w:tab w:val="left" w:pos="993"/>
              </w:tabs>
              <w:spacing w:line="240" w:lineRule="auto"/>
              <w:rPr>
                <w:bCs/>
                <w:color w:val="000000"/>
                <w:sz w:val="18"/>
                <w:szCs w:val="18"/>
              </w:rPr>
            </w:pPr>
            <w:r>
              <w:rPr>
                <w:bCs/>
                <w:color w:val="000000"/>
                <w:sz w:val="18"/>
                <w:szCs w:val="18"/>
              </w:rPr>
              <w:t>32</w:t>
            </w:r>
          </w:p>
        </w:tc>
        <w:tc>
          <w:tcPr>
            <w:tcW w:w="761" w:type="dxa"/>
            <w:vAlign w:val="center"/>
          </w:tcPr>
          <w:p w14:paraId="0DE6F1E8">
            <w:pPr>
              <w:pStyle w:val="12"/>
              <w:tabs>
                <w:tab w:val="left" w:pos="993"/>
              </w:tabs>
              <w:spacing w:line="240" w:lineRule="auto"/>
              <w:rPr>
                <w:bCs/>
                <w:color w:val="000000"/>
                <w:sz w:val="18"/>
                <w:szCs w:val="18"/>
              </w:rPr>
            </w:pPr>
            <w:r>
              <w:rPr>
                <w:bCs/>
                <w:color w:val="000000"/>
                <w:sz w:val="18"/>
                <w:szCs w:val="18"/>
              </w:rPr>
              <w:t>30</w:t>
            </w:r>
          </w:p>
        </w:tc>
        <w:tc>
          <w:tcPr>
            <w:tcW w:w="753" w:type="dxa"/>
            <w:vAlign w:val="center"/>
          </w:tcPr>
          <w:p w14:paraId="3A6EC134">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53E5B073">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743D82DB">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0A883690">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4F3FC240">
            <w:pPr>
              <w:pStyle w:val="12"/>
              <w:tabs>
                <w:tab w:val="left" w:pos="993"/>
              </w:tabs>
              <w:spacing w:line="240" w:lineRule="auto"/>
              <w:rPr>
                <w:bCs/>
                <w:color w:val="000000"/>
                <w:sz w:val="18"/>
                <w:szCs w:val="18"/>
              </w:rPr>
            </w:pPr>
            <w:r>
              <w:rPr>
                <w:bCs/>
                <w:color w:val="000000"/>
                <w:sz w:val="18"/>
                <w:szCs w:val="18"/>
              </w:rPr>
              <w:t>800</w:t>
            </w:r>
          </w:p>
        </w:tc>
        <w:tc>
          <w:tcPr>
            <w:tcW w:w="989" w:type="dxa"/>
            <w:vAlign w:val="center"/>
          </w:tcPr>
          <w:p w14:paraId="35508FB1">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0660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165E1785">
            <w:pPr>
              <w:pStyle w:val="12"/>
              <w:tabs>
                <w:tab w:val="left" w:pos="993"/>
              </w:tabs>
              <w:spacing w:line="240" w:lineRule="auto"/>
              <w:rPr>
                <w:bCs/>
                <w:color w:val="000000"/>
                <w:sz w:val="18"/>
                <w:szCs w:val="18"/>
              </w:rPr>
            </w:pPr>
          </w:p>
        </w:tc>
        <w:tc>
          <w:tcPr>
            <w:tcW w:w="759" w:type="dxa"/>
            <w:vMerge w:val="continue"/>
            <w:vAlign w:val="center"/>
          </w:tcPr>
          <w:p w14:paraId="1874F650">
            <w:pPr>
              <w:pStyle w:val="12"/>
              <w:tabs>
                <w:tab w:val="left" w:pos="993"/>
              </w:tabs>
              <w:spacing w:line="240" w:lineRule="auto"/>
              <w:rPr>
                <w:bCs/>
                <w:color w:val="000000"/>
                <w:sz w:val="18"/>
                <w:szCs w:val="18"/>
              </w:rPr>
            </w:pPr>
          </w:p>
        </w:tc>
        <w:tc>
          <w:tcPr>
            <w:tcW w:w="495" w:type="dxa"/>
            <w:vAlign w:val="center"/>
          </w:tcPr>
          <w:p w14:paraId="4CF741D7">
            <w:pPr>
              <w:pStyle w:val="12"/>
              <w:tabs>
                <w:tab w:val="left" w:pos="993"/>
              </w:tabs>
              <w:spacing w:line="240" w:lineRule="auto"/>
              <w:rPr>
                <w:bCs/>
                <w:color w:val="000000"/>
                <w:sz w:val="18"/>
                <w:szCs w:val="18"/>
              </w:rPr>
            </w:pPr>
            <w:r>
              <w:rPr>
                <w:bCs/>
                <w:color w:val="000000"/>
                <w:sz w:val="18"/>
                <w:szCs w:val="18"/>
              </w:rPr>
              <w:t>6</w:t>
            </w:r>
          </w:p>
        </w:tc>
        <w:tc>
          <w:tcPr>
            <w:tcW w:w="1858" w:type="dxa"/>
            <w:vAlign w:val="center"/>
          </w:tcPr>
          <w:p w14:paraId="1B4D9B00">
            <w:pPr>
              <w:pStyle w:val="12"/>
              <w:tabs>
                <w:tab w:val="left" w:pos="993"/>
              </w:tabs>
              <w:spacing w:line="240" w:lineRule="auto"/>
              <w:rPr>
                <w:bCs/>
                <w:color w:val="000000"/>
                <w:sz w:val="18"/>
                <w:szCs w:val="18"/>
              </w:rPr>
            </w:pPr>
            <w:r>
              <w:rPr>
                <w:bCs/>
                <w:color w:val="000000"/>
                <w:sz w:val="18"/>
                <w:szCs w:val="18"/>
              </w:rPr>
              <w:t>汞</w:t>
            </w:r>
          </w:p>
        </w:tc>
        <w:tc>
          <w:tcPr>
            <w:tcW w:w="722" w:type="dxa"/>
            <w:vAlign w:val="center"/>
          </w:tcPr>
          <w:p w14:paraId="3FA50C4F">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3C3C174C">
            <w:pPr>
              <w:pStyle w:val="12"/>
              <w:tabs>
                <w:tab w:val="left" w:pos="993"/>
              </w:tabs>
              <w:spacing w:line="240" w:lineRule="auto"/>
              <w:rPr>
                <w:bCs/>
                <w:color w:val="000000"/>
                <w:sz w:val="18"/>
                <w:szCs w:val="18"/>
              </w:rPr>
            </w:pPr>
            <w:r>
              <w:rPr>
                <w:bCs/>
                <w:color w:val="000000"/>
                <w:sz w:val="18"/>
                <w:szCs w:val="18"/>
              </w:rPr>
              <w:t>0.028</w:t>
            </w:r>
          </w:p>
        </w:tc>
        <w:tc>
          <w:tcPr>
            <w:tcW w:w="753" w:type="dxa"/>
            <w:vAlign w:val="center"/>
          </w:tcPr>
          <w:p w14:paraId="2B4883FB">
            <w:pPr>
              <w:pStyle w:val="12"/>
              <w:tabs>
                <w:tab w:val="left" w:pos="993"/>
              </w:tabs>
              <w:spacing w:line="240" w:lineRule="auto"/>
              <w:rPr>
                <w:bCs/>
                <w:color w:val="000000"/>
                <w:sz w:val="18"/>
                <w:szCs w:val="18"/>
              </w:rPr>
            </w:pPr>
            <w:r>
              <w:rPr>
                <w:bCs/>
                <w:color w:val="000000"/>
                <w:sz w:val="18"/>
                <w:szCs w:val="18"/>
              </w:rPr>
              <w:t>0.029</w:t>
            </w:r>
          </w:p>
        </w:tc>
        <w:tc>
          <w:tcPr>
            <w:tcW w:w="753" w:type="dxa"/>
            <w:vAlign w:val="center"/>
          </w:tcPr>
          <w:p w14:paraId="14A398B1">
            <w:pPr>
              <w:pStyle w:val="12"/>
              <w:tabs>
                <w:tab w:val="left" w:pos="993"/>
              </w:tabs>
              <w:spacing w:line="240" w:lineRule="auto"/>
              <w:rPr>
                <w:bCs/>
                <w:color w:val="000000"/>
                <w:sz w:val="18"/>
                <w:szCs w:val="18"/>
              </w:rPr>
            </w:pPr>
            <w:r>
              <w:rPr>
                <w:bCs/>
                <w:color w:val="000000"/>
                <w:sz w:val="18"/>
                <w:szCs w:val="18"/>
              </w:rPr>
              <w:t>0.047</w:t>
            </w:r>
          </w:p>
        </w:tc>
        <w:tc>
          <w:tcPr>
            <w:tcW w:w="753" w:type="dxa"/>
            <w:vAlign w:val="center"/>
          </w:tcPr>
          <w:p w14:paraId="1F3D802E">
            <w:pPr>
              <w:pStyle w:val="12"/>
              <w:tabs>
                <w:tab w:val="left" w:pos="993"/>
              </w:tabs>
              <w:spacing w:line="240" w:lineRule="auto"/>
              <w:rPr>
                <w:bCs/>
                <w:color w:val="000000"/>
                <w:sz w:val="18"/>
                <w:szCs w:val="18"/>
              </w:rPr>
            </w:pPr>
            <w:r>
              <w:rPr>
                <w:bCs/>
                <w:color w:val="000000"/>
                <w:sz w:val="18"/>
                <w:szCs w:val="18"/>
              </w:rPr>
              <w:t>0.071</w:t>
            </w:r>
          </w:p>
        </w:tc>
        <w:tc>
          <w:tcPr>
            <w:tcW w:w="753" w:type="dxa"/>
            <w:vAlign w:val="center"/>
          </w:tcPr>
          <w:p w14:paraId="5C0CEAA8">
            <w:pPr>
              <w:pStyle w:val="12"/>
              <w:tabs>
                <w:tab w:val="left" w:pos="993"/>
              </w:tabs>
              <w:spacing w:line="240" w:lineRule="auto"/>
              <w:rPr>
                <w:bCs/>
                <w:color w:val="000000"/>
                <w:sz w:val="18"/>
                <w:szCs w:val="18"/>
              </w:rPr>
            </w:pPr>
            <w:r>
              <w:rPr>
                <w:bCs/>
                <w:color w:val="000000"/>
                <w:sz w:val="18"/>
                <w:szCs w:val="18"/>
              </w:rPr>
              <w:t>0.072</w:t>
            </w:r>
          </w:p>
        </w:tc>
        <w:tc>
          <w:tcPr>
            <w:tcW w:w="761" w:type="dxa"/>
            <w:vAlign w:val="center"/>
          </w:tcPr>
          <w:p w14:paraId="6B047E5D">
            <w:pPr>
              <w:pStyle w:val="12"/>
              <w:tabs>
                <w:tab w:val="left" w:pos="993"/>
              </w:tabs>
              <w:spacing w:line="240" w:lineRule="auto"/>
              <w:rPr>
                <w:bCs/>
                <w:color w:val="000000"/>
                <w:sz w:val="18"/>
                <w:szCs w:val="18"/>
              </w:rPr>
            </w:pPr>
            <w:r>
              <w:rPr>
                <w:bCs/>
                <w:color w:val="000000"/>
                <w:sz w:val="18"/>
                <w:szCs w:val="18"/>
              </w:rPr>
              <w:t>0.092</w:t>
            </w:r>
          </w:p>
        </w:tc>
        <w:tc>
          <w:tcPr>
            <w:tcW w:w="753" w:type="dxa"/>
            <w:vAlign w:val="center"/>
          </w:tcPr>
          <w:p w14:paraId="1464B86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126B5960">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2C389780">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2DC0C442">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4CE7892B">
            <w:pPr>
              <w:pStyle w:val="12"/>
              <w:tabs>
                <w:tab w:val="left" w:pos="993"/>
              </w:tabs>
              <w:spacing w:line="240" w:lineRule="auto"/>
              <w:rPr>
                <w:bCs/>
                <w:color w:val="000000"/>
                <w:sz w:val="18"/>
                <w:szCs w:val="18"/>
              </w:rPr>
            </w:pPr>
            <w:r>
              <w:rPr>
                <w:bCs/>
                <w:color w:val="000000"/>
                <w:sz w:val="18"/>
                <w:szCs w:val="18"/>
              </w:rPr>
              <w:t>38</w:t>
            </w:r>
          </w:p>
        </w:tc>
        <w:tc>
          <w:tcPr>
            <w:tcW w:w="989" w:type="dxa"/>
            <w:vAlign w:val="center"/>
          </w:tcPr>
          <w:p w14:paraId="28F2F8DC">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034A7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7DC0B348">
            <w:pPr>
              <w:pStyle w:val="12"/>
              <w:tabs>
                <w:tab w:val="left" w:pos="993"/>
              </w:tabs>
              <w:spacing w:line="240" w:lineRule="auto"/>
              <w:rPr>
                <w:bCs/>
                <w:color w:val="000000"/>
                <w:sz w:val="18"/>
                <w:szCs w:val="18"/>
              </w:rPr>
            </w:pPr>
          </w:p>
        </w:tc>
        <w:tc>
          <w:tcPr>
            <w:tcW w:w="759" w:type="dxa"/>
            <w:vMerge w:val="continue"/>
            <w:vAlign w:val="center"/>
          </w:tcPr>
          <w:p w14:paraId="64E8C964">
            <w:pPr>
              <w:pStyle w:val="12"/>
              <w:tabs>
                <w:tab w:val="left" w:pos="993"/>
              </w:tabs>
              <w:spacing w:line="240" w:lineRule="auto"/>
              <w:rPr>
                <w:bCs/>
                <w:color w:val="000000"/>
                <w:sz w:val="18"/>
                <w:szCs w:val="18"/>
              </w:rPr>
            </w:pPr>
          </w:p>
        </w:tc>
        <w:tc>
          <w:tcPr>
            <w:tcW w:w="495" w:type="dxa"/>
            <w:vAlign w:val="center"/>
          </w:tcPr>
          <w:p w14:paraId="1C867FF9">
            <w:pPr>
              <w:pStyle w:val="12"/>
              <w:tabs>
                <w:tab w:val="left" w:pos="993"/>
              </w:tabs>
              <w:spacing w:line="240" w:lineRule="auto"/>
              <w:rPr>
                <w:bCs/>
                <w:color w:val="000000"/>
                <w:sz w:val="18"/>
                <w:szCs w:val="18"/>
              </w:rPr>
            </w:pPr>
            <w:r>
              <w:rPr>
                <w:bCs/>
                <w:color w:val="000000"/>
                <w:sz w:val="18"/>
                <w:szCs w:val="18"/>
              </w:rPr>
              <w:t>7</w:t>
            </w:r>
          </w:p>
        </w:tc>
        <w:tc>
          <w:tcPr>
            <w:tcW w:w="1858" w:type="dxa"/>
            <w:vAlign w:val="center"/>
          </w:tcPr>
          <w:p w14:paraId="28566DB0">
            <w:pPr>
              <w:pStyle w:val="12"/>
              <w:tabs>
                <w:tab w:val="left" w:pos="993"/>
              </w:tabs>
              <w:spacing w:line="240" w:lineRule="auto"/>
              <w:rPr>
                <w:bCs/>
                <w:color w:val="000000"/>
                <w:sz w:val="18"/>
                <w:szCs w:val="18"/>
              </w:rPr>
            </w:pPr>
            <w:r>
              <w:rPr>
                <w:bCs/>
                <w:color w:val="000000"/>
                <w:sz w:val="18"/>
                <w:szCs w:val="18"/>
              </w:rPr>
              <w:t>镍</w:t>
            </w:r>
          </w:p>
        </w:tc>
        <w:tc>
          <w:tcPr>
            <w:tcW w:w="722" w:type="dxa"/>
            <w:vAlign w:val="center"/>
          </w:tcPr>
          <w:p w14:paraId="4D355039">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7E0F1776">
            <w:pPr>
              <w:pStyle w:val="12"/>
              <w:tabs>
                <w:tab w:val="left" w:pos="993"/>
              </w:tabs>
              <w:spacing w:line="240" w:lineRule="auto"/>
              <w:rPr>
                <w:bCs/>
                <w:color w:val="000000"/>
                <w:sz w:val="18"/>
                <w:szCs w:val="18"/>
              </w:rPr>
            </w:pPr>
            <w:r>
              <w:rPr>
                <w:bCs/>
                <w:color w:val="000000"/>
                <w:sz w:val="18"/>
                <w:szCs w:val="18"/>
              </w:rPr>
              <w:t>25</w:t>
            </w:r>
          </w:p>
        </w:tc>
        <w:tc>
          <w:tcPr>
            <w:tcW w:w="753" w:type="dxa"/>
            <w:vAlign w:val="center"/>
          </w:tcPr>
          <w:p w14:paraId="07B59B92">
            <w:pPr>
              <w:pStyle w:val="12"/>
              <w:tabs>
                <w:tab w:val="left" w:pos="993"/>
              </w:tabs>
              <w:spacing w:line="240" w:lineRule="auto"/>
              <w:rPr>
                <w:bCs/>
                <w:color w:val="000000"/>
                <w:sz w:val="18"/>
                <w:szCs w:val="18"/>
              </w:rPr>
            </w:pPr>
            <w:r>
              <w:rPr>
                <w:bCs/>
                <w:color w:val="000000"/>
                <w:sz w:val="18"/>
                <w:szCs w:val="18"/>
              </w:rPr>
              <w:t>25</w:t>
            </w:r>
          </w:p>
        </w:tc>
        <w:tc>
          <w:tcPr>
            <w:tcW w:w="753" w:type="dxa"/>
            <w:vAlign w:val="center"/>
          </w:tcPr>
          <w:p w14:paraId="36C9F55C">
            <w:pPr>
              <w:pStyle w:val="12"/>
              <w:tabs>
                <w:tab w:val="left" w:pos="993"/>
              </w:tabs>
              <w:spacing w:line="240" w:lineRule="auto"/>
              <w:rPr>
                <w:bCs/>
                <w:color w:val="000000"/>
                <w:sz w:val="18"/>
                <w:szCs w:val="18"/>
              </w:rPr>
            </w:pPr>
            <w:r>
              <w:rPr>
                <w:bCs/>
                <w:color w:val="000000"/>
                <w:sz w:val="18"/>
                <w:szCs w:val="18"/>
              </w:rPr>
              <w:t>27</w:t>
            </w:r>
          </w:p>
        </w:tc>
        <w:tc>
          <w:tcPr>
            <w:tcW w:w="753" w:type="dxa"/>
            <w:vAlign w:val="center"/>
          </w:tcPr>
          <w:p w14:paraId="79A338CD">
            <w:pPr>
              <w:pStyle w:val="12"/>
              <w:tabs>
                <w:tab w:val="left" w:pos="993"/>
              </w:tabs>
              <w:spacing w:line="240" w:lineRule="auto"/>
              <w:rPr>
                <w:bCs/>
                <w:color w:val="000000"/>
                <w:sz w:val="18"/>
                <w:szCs w:val="18"/>
              </w:rPr>
            </w:pPr>
            <w:r>
              <w:rPr>
                <w:bCs/>
                <w:color w:val="000000"/>
                <w:sz w:val="18"/>
                <w:szCs w:val="18"/>
              </w:rPr>
              <w:t>36</w:t>
            </w:r>
          </w:p>
        </w:tc>
        <w:tc>
          <w:tcPr>
            <w:tcW w:w="753" w:type="dxa"/>
            <w:vAlign w:val="center"/>
          </w:tcPr>
          <w:p w14:paraId="63E3494A">
            <w:pPr>
              <w:pStyle w:val="12"/>
              <w:tabs>
                <w:tab w:val="left" w:pos="993"/>
              </w:tabs>
              <w:spacing w:line="240" w:lineRule="auto"/>
              <w:rPr>
                <w:bCs/>
                <w:color w:val="000000"/>
                <w:sz w:val="18"/>
                <w:szCs w:val="18"/>
              </w:rPr>
            </w:pPr>
            <w:r>
              <w:rPr>
                <w:bCs/>
                <w:color w:val="000000"/>
                <w:sz w:val="18"/>
                <w:szCs w:val="18"/>
              </w:rPr>
              <w:t>38</w:t>
            </w:r>
          </w:p>
        </w:tc>
        <w:tc>
          <w:tcPr>
            <w:tcW w:w="761" w:type="dxa"/>
            <w:vAlign w:val="center"/>
          </w:tcPr>
          <w:p w14:paraId="32FAAD70">
            <w:pPr>
              <w:pStyle w:val="12"/>
              <w:tabs>
                <w:tab w:val="left" w:pos="993"/>
              </w:tabs>
              <w:spacing w:line="240" w:lineRule="auto"/>
              <w:rPr>
                <w:bCs/>
                <w:color w:val="000000"/>
                <w:sz w:val="18"/>
                <w:szCs w:val="18"/>
              </w:rPr>
            </w:pPr>
            <w:r>
              <w:rPr>
                <w:bCs/>
                <w:color w:val="000000"/>
                <w:sz w:val="18"/>
                <w:szCs w:val="18"/>
              </w:rPr>
              <w:t>33</w:t>
            </w:r>
          </w:p>
        </w:tc>
        <w:tc>
          <w:tcPr>
            <w:tcW w:w="753" w:type="dxa"/>
            <w:vAlign w:val="center"/>
          </w:tcPr>
          <w:p w14:paraId="40A447C8">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592AC1E5">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623D5E1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18116CAA">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30791FF9">
            <w:pPr>
              <w:pStyle w:val="12"/>
              <w:tabs>
                <w:tab w:val="left" w:pos="993"/>
              </w:tabs>
              <w:spacing w:line="240" w:lineRule="auto"/>
              <w:rPr>
                <w:bCs/>
                <w:color w:val="000000"/>
                <w:sz w:val="18"/>
                <w:szCs w:val="18"/>
              </w:rPr>
            </w:pPr>
            <w:r>
              <w:rPr>
                <w:bCs/>
                <w:color w:val="000000"/>
                <w:sz w:val="18"/>
                <w:szCs w:val="18"/>
              </w:rPr>
              <w:t>900</w:t>
            </w:r>
          </w:p>
        </w:tc>
        <w:tc>
          <w:tcPr>
            <w:tcW w:w="989" w:type="dxa"/>
            <w:vAlign w:val="center"/>
          </w:tcPr>
          <w:p w14:paraId="30EAFA5E">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733E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485" w:type="dxa"/>
            <w:vMerge w:val="continue"/>
            <w:vAlign w:val="center"/>
          </w:tcPr>
          <w:p w14:paraId="480BDD84">
            <w:pPr>
              <w:pStyle w:val="12"/>
              <w:tabs>
                <w:tab w:val="left" w:pos="993"/>
              </w:tabs>
              <w:spacing w:line="240" w:lineRule="auto"/>
              <w:rPr>
                <w:bCs/>
                <w:color w:val="000000"/>
                <w:sz w:val="18"/>
                <w:szCs w:val="18"/>
              </w:rPr>
            </w:pPr>
          </w:p>
        </w:tc>
        <w:tc>
          <w:tcPr>
            <w:tcW w:w="759" w:type="dxa"/>
            <w:vMerge w:val="restart"/>
            <w:vAlign w:val="center"/>
          </w:tcPr>
          <w:p w14:paraId="70BB4C0F">
            <w:pPr>
              <w:pStyle w:val="12"/>
              <w:tabs>
                <w:tab w:val="left" w:pos="993"/>
              </w:tabs>
              <w:spacing w:line="240" w:lineRule="auto"/>
              <w:rPr>
                <w:bCs/>
                <w:color w:val="000000"/>
                <w:sz w:val="18"/>
                <w:szCs w:val="18"/>
              </w:rPr>
            </w:pPr>
            <w:r>
              <w:rPr>
                <w:bCs/>
                <w:color w:val="000000"/>
                <w:sz w:val="18"/>
                <w:szCs w:val="18"/>
              </w:rPr>
              <w:t>挥发性有机物</w:t>
            </w:r>
          </w:p>
          <w:p w14:paraId="29225C8E">
            <w:pPr>
              <w:pStyle w:val="12"/>
              <w:tabs>
                <w:tab w:val="left" w:pos="993"/>
              </w:tabs>
              <w:spacing w:line="240" w:lineRule="auto"/>
              <w:rPr>
                <w:bCs/>
                <w:color w:val="000000"/>
                <w:sz w:val="18"/>
                <w:szCs w:val="18"/>
              </w:rPr>
            </w:pPr>
          </w:p>
        </w:tc>
        <w:tc>
          <w:tcPr>
            <w:tcW w:w="495" w:type="dxa"/>
            <w:vAlign w:val="center"/>
          </w:tcPr>
          <w:p w14:paraId="7ED2891B">
            <w:pPr>
              <w:pStyle w:val="12"/>
              <w:tabs>
                <w:tab w:val="left" w:pos="993"/>
              </w:tabs>
              <w:spacing w:line="240" w:lineRule="auto"/>
              <w:rPr>
                <w:bCs/>
                <w:color w:val="000000"/>
                <w:sz w:val="18"/>
                <w:szCs w:val="18"/>
              </w:rPr>
            </w:pPr>
            <w:r>
              <w:rPr>
                <w:bCs/>
                <w:color w:val="000000"/>
                <w:sz w:val="18"/>
                <w:szCs w:val="18"/>
              </w:rPr>
              <w:t>8</w:t>
            </w:r>
          </w:p>
        </w:tc>
        <w:tc>
          <w:tcPr>
            <w:tcW w:w="1858" w:type="dxa"/>
            <w:vAlign w:val="center"/>
          </w:tcPr>
          <w:p w14:paraId="6B91DBEC">
            <w:pPr>
              <w:pStyle w:val="12"/>
              <w:tabs>
                <w:tab w:val="left" w:pos="993"/>
              </w:tabs>
              <w:spacing w:line="240" w:lineRule="auto"/>
              <w:rPr>
                <w:bCs/>
                <w:color w:val="000000"/>
                <w:sz w:val="18"/>
                <w:szCs w:val="18"/>
              </w:rPr>
            </w:pPr>
            <w:r>
              <w:rPr>
                <w:bCs/>
                <w:color w:val="000000"/>
                <w:sz w:val="18"/>
                <w:szCs w:val="18"/>
              </w:rPr>
              <w:t>四氯化碳</w:t>
            </w:r>
          </w:p>
        </w:tc>
        <w:tc>
          <w:tcPr>
            <w:tcW w:w="722" w:type="dxa"/>
            <w:vAlign w:val="center"/>
          </w:tcPr>
          <w:p w14:paraId="1275C326">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7E0C848C">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0E2FCCC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03727D8A">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ED27B85">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3882A4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69148A43">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D30E606">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4A17B045">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3A882851">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076D0A46">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0B32080D">
            <w:pPr>
              <w:pStyle w:val="12"/>
              <w:tabs>
                <w:tab w:val="left" w:pos="993"/>
              </w:tabs>
              <w:spacing w:line="240" w:lineRule="auto"/>
              <w:rPr>
                <w:bCs/>
                <w:color w:val="000000"/>
                <w:sz w:val="18"/>
                <w:szCs w:val="18"/>
              </w:rPr>
            </w:pPr>
            <w:r>
              <w:rPr>
                <w:bCs/>
                <w:color w:val="000000"/>
                <w:sz w:val="18"/>
                <w:szCs w:val="18"/>
              </w:rPr>
              <w:t>2.8</w:t>
            </w:r>
          </w:p>
        </w:tc>
        <w:tc>
          <w:tcPr>
            <w:tcW w:w="989" w:type="dxa"/>
            <w:vAlign w:val="center"/>
          </w:tcPr>
          <w:p w14:paraId="5D5BCDCC">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4326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77A637C3">
            <w:pPr>
              <w:pStyle w:val="12"/>
              <w:tabs>
                <w:tab w:val="left" w:pos="993"/>
              </w:tabs>
              <w:spacing w:line="240" w:lineRule="auto"/>
              <w:rPr>
                <w:bCs/>
                <w:color w:val="000000"/>
                <w:sz w:val="18"/>
                <w:szCs w:val="18"/>
              </w:rPr>
            </w:pPr>
          </w:p>
        </w:tc>
        <w:tc>
          <w:tcPr>
            <w:tcW w:w="759" w:type="dxa"/>
            <w:vMerge w:val="continue"/>
            <w:vAlign w:val="center"/>
          </w:tcPr>
          <w:p w14:paraId="3566FF49">
            <w:pPr>
              <w:pStyle w:val="12"/>
              <w:tabs>
                <w:tab w:val="left" w:pos="993"/>
              </w:tabs>
              <w:spacing w:line="240" w:lineRule="auto"/>
              <w:rPr>
                <w:bCs/>
                <w:color w:val="000000"/>
                <w:sz w:val="18"/>
                <w:szCs w:val="18"/>
              </w:rPr>
            </w:pPr>
          </w:p>
        </w:tc>
        <w:tc>
          <w:tcPr>
            <w:tcW w:w="495" w:type="dxa"/>
            <w:vAlign w:val="center"/>
          </w:tcPr>
          <w:p w14:paraId="0FD5C3EB">
            <w:pPr>
              <w:pStyle w:val="12"/>
              <w:tabs>
                <w:tab w:val="left" w:pos="993"/>
              </w:tabs>
              <w:spacing w:line="240" w:lineRule="auto"/>
              <w:rPr>
                <w:bCs/>
                <w:color w:val="000000"/>
                <w:sz w:val="18"/>
                <w:szCs w:val="18"/>
              </w:rPr>
            </w:pPr>
            <w:r>
              <w:rPr>
                <w:bCs/>
                <w:color w:val="000000"/>
                <w:sz w:val="18"/>
                <w:szCs w:val="18"/>
              </w:rPr>
              <w:t>9</w:t>
            </w:r>
          </w:p>
        </w:tc>
        <w:tc>
          <w:tcPr>
            <w:tcW w:w="1858" w:type="dxa"/>
            <w:vAlign w:val="center"/>
          </w:tcPr>
          <w:p w14:paraId="1BD42831">
            <w:pPr>
              <w:pStyle w:val="12"/>
              <w:tabs>
                <w:tab w:val="left" w:pos="993"/>
              </w:tabs>
              <w:spacing w:line="240" w:lineRule="auto"/>
              <w:rPr>
                <w:bCs/>
                <w:color w:val="000000"/>
                <w:sz w:val="18"/>
                <w:szCs w:val="18"/>
              </w:rPr>
            </w:pPr>
            <w:r>
              <w:rPr>
                <w:bCs/>
                <w:color w:val="000000"/>
                <w:sz w:val="18"/>
                <w:szCs w:val="18"/>
              </w:rPr>
              <w:t>氯仿</w:t>
            </w:r>
          </w:p>
        </w:tc>
        <w:tc>
          <w:tcPr>
            <w:tcW w:w="722" w:type="dxa"/>
            <w:vAlign w:val="center"/>
          </w:tcPr>
          <w:p w14:paraId="432CD0E8">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5A19A29B">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67BB90F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2B1B8CE">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F44958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6851B32">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29238719">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F6F6458">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724194C6">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7FA02E6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02BAA1D4">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77D1036A">
            <w:pPr>
              <w:pStyle w:val="12"/>
              <w:tabs>
                <w:tab w:val="left" w:pos="993"/>
              </w:tabs>
              <w:spacing w:line="240" w:lineRule="auto"/>
              <w:rPr>
                <w:bCs/>
                <w:color w:val="000000"/>
                <w:sz w:val="18"/>
                <w:szCs w:val="18"/>
              </w:rPr>
            </w:pPr>
            <w:r>
              <w:rPr>
                <w:bCs/>
                <w:color w:val="000000"/>
                <w:sz w:val="18"/>
                <w:szCs w:val="18"/>
              </w:rPr>
              <w:t>0.9</w:t>
            </w:r>
          </w:p>
        </w:tc>
        <w:tc>
          <w:tcPr>
            <w:tcW w:w="989" w:type="dxa"/>
            <w:vAlign w:val="center"/>
          </w:tcPr>
          <w:p w14:paraId="6222DC4B">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15DE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225A3CEC">
            <w:pPr>
              <w:pStyle w:val="12"/>
              <w:tabs>
                <w:tab w:val="left" w:pos="993"/>
              </w:tabs>
              <w:spacing w:line="240" w:lineRule="auto"/>
              <w:rPr>
                <w:bCs/>
                <w:color w:val="000000"/>
                <w:sz w:val="18"/>
                <w:szCs w:val="18"/>
              </w:rPr>
            </w:pPr>
          </w:p>
        </w:tc>
        <w:tc>
          <w:tcPr>
            <w:tcW w:w="759" w:type="dxa"/>
            <w:vMerge w:val="continue"/>
            <w:vAlign w:val="center"/>
          </w:tcPr>
          <w:p w14:paraId="1A3BA6B4">
            <w:pPr>
              <w:pStyle w:val="12"/>
              <w:tabs>
                <w:tab w:val="left" w:pos="993"/>
              </w:tabs>
              <w:spacing w:line="240" w:lineRule="auto"/>
              <w:rPr>
                <w:bCs/>
                <w:color w:val="000000"/>
                <w:sz w:val="18"/>
                <w:szCs w:val="18"/>
              </w:rPr>
            </w:pPr>
          </w:p>
        </w:tc>
        <w:tc>
          <w:tcPr>
            <w:tcW w:w="495" w:type="dxa"/>
            <w:vAlign w:val="center"/>
          </w:tcPr>
          <w:p w14:paraId="6FBB6289">
            <w:pPr>
              <w:pStyle w:val="12"/>
              <w:tabs>
                <w:tab w:val="left" w:pos="993"/>
              </w:tabs>
              <w:spacing w:line="240" w:lineRule="auto"/>
              <w:rPr>
                <w:bCs/>
                <w:color w:val="000000"/>
                <w:sz w:val="18"/>
                <w:szCs w:val="18"/>
              </w:rPr>
            </w:pPr>
            <w:r>
              <w:rPr>
                <w:bCs/>
                <w:color w:val="000000"/>
                <w:sz w:val="18"/>
                <w:szCs w:val="18"/>
              </w:rPr>
              <w:t>10</w:t>
            </w:r>
          </w:p>
        </w:tc>
        <w:tc>
          <w:tcPr>
            <w:tcW w:w="1858" w:type="dxa"/>
            <w:vAlign w:val="center"/>
          </w:tcPr>
          <w:p w14:paraId="40F4A62C">
            <w:pPr>
              <w:pStyle w:val="12"/>
              <w:tabs>
                <w:tab w:val="left" w:pos="993"/>
              </w:tabs>
              <w:spacing w:line="240" w:lineRule="auto"/>
              <w:rPr>
                <w:bCs/>
                <w:color w:val="000000"/>
                <w:sz w:val="18"/>
                <w:szCs w:val="18"/>
              </w:rPr>
            </w:pPr>
            <w:r>
              <w:rPr>
                <w:bCs/>
                <w:color w:val="000000"/>
                <w:sz w:val="18"/>
                <w:szCs w:val="18"/>
              </w:rPr>
              <w:t>氯甲烷</w:t>
            </w:r>
          </w:p>
        </w:tc>
        <w:tc>
          <w:tcPr>
            <w:tcW w:w="722" w:type="dxa"/>
            <w:vAlign w:val="center"/>
          </w:tcPr>
          <w:p w14:paraId="45B27448">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0AB22C5C">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00657CDD">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ADF12DE">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0AEB6DE8">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001FEF4">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0535B9E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51D994F">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3E545B45">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111913D5">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55AFE5FA">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1BCB174F">
            <w:pPr>
              <w:pStyle w:val="12"/>
              <w:tabs>
                <w:tab w:val="left" w:pos="993"/>
              </w:tabs>
              <w:spacing w:line="240" w:lineRule="auto"/>
              <w:rPr>
                <w:bCs/>
                <w:color w:val="000000"/>
                <w:sz w:val="18"/>
                <w:szCs w:val="18"/>
              </w:rPr>
            </w:pPr>
            <w:r>
              <w:rPr>
                <w:bCs/>
                <w:color w:val="000000"/>
                <w:sz w:val="18"/>
                <w:szCs w:val="18"/>
              </w:rPr>
              <w:t>37</w:t>
            </w:r>
          </w:p>
        </w:tc>
        <w:tc>
          <w:tcPr>
            <w:tcW w:w="989" w:type="dxa"/>
            <w:vAlign w:val="center"/>
          </w:tcPr>
          <w:p w14:paraId="5311F450">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4378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262B42DE">
            <w:pPr>
              <w:pStyle w:val="12"/>
              <w:tabs>
                <w:tab w:val="left" w:pos="993"/>
              </w:tabs>
              <w:spacing w:line="240" w:lineRule="auto"/>
              <w:rPr>
                <w:bCs/>
                <w:color w:val="000000"/>
                <w:sz w:val="18"/>
                <w:szCs w:val="18"/>
              </w:rPr>
            </w:pPr>
          </w:p>
        </w:tc>
        <w:tc>
          <w:tcPr>
            <w:tcW w:w="759" w:type="dxa"/>
            <w:vMerge w:val="continue"/>
            <w:vAlign w:val="center"/>
          </w:tcPr>
          <w:p w14:paraId="2D100F12">
            <w:pPr>
              <w:pStyle w:val="12"/>
              <w:tabs>
                <w:tab w:val="left" w:pos="993"/>
              </w:tabs>
              <w:spacing w:line="240" w:lineRule="auto"/>
              <w:rPr>
                <w:bCs/>
                <w:color w:val="000000"/>
                <w:sz w:val="18"/>
                <w:szCs w:val="18"/>
              </w:rPr>
            </w:pPr>
          </w:p>
        </w:tc>
        <w:tc>
          <w:tcPr>
            <w:tcW w:w="495" w:type="dxa"/>
            <w:vAlign w:val="center"/>
          </w:tcPr>
          <w:p w14:paraId="52D1260E">
            <w:pPr>
              <w:pStyle w:val="12"/>
              <w:tabs>
                <w:tab w:val="left" w:pos="993"/>
              </w:tabs>
              <w:spacing w:line="240" w:lineRule="auto"/>
              <w:rPr>
                <w:bCs/>
                <w:color w:val="000000"/>
                <w:sz w:val="18"/>
                <w:szCs w:val="18"/>
              </w:rPr>
            </w:pPr>
            <w:r>
              <w:rPr>
                <w:bCs/>
                <w:color w:val="000000"/>
                <w:sz w:val="18"/>
                <w:szCs w:val="18"/>
              </w:rPr>
              <w:t>11</w:t>
            </w:r>
          </w:p>
        </w:tc>
        <w:tc>
          <w:tcPr>
            <w:tcW w:w="1858" w:type="dxa"/>
            <w:vAlign w:val="center"/>
          </w:tcPr>
          <w:p w14:paraId="0865332D">
            <w:pPr>
              <w:pStyle w:val="12"/>
              <w:tabs>
                <w:tab w:val="left" w:pos="993"/>
              </w:tabs>
              <w:spacing w:line="240" w:lineRule="auto"/>
              <w:rPr>
                <w:bCs/>
                <w:color w:val="000000"/>
                <w:sz w:val="18"/>
                <w:szCs w:val="18"/>
              </w:rPr>
            </w:pPr>
            <w:r>
              <w:rPr>
                <w:bCs/>
                <w:color w:val="000000"/>
                <w:sz w:val="18"/>
                <w:szCs w:val="18"/>
              </w:rPr>
              <w:t>1,1-二氯乙烷</w:t>
            </w:r>
          </w:p>
        </w:tc>
        <w:tc>
          <w:tcPr>
            <w:tcW w:w="722" w:type="dxa"/>
            <w:vAlign w:val="center"/>
          </w:tcPr>
          <w:p w14:paraId="15B77A33">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22D49592">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61A52658">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239B2B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288E019">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9139230">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423FD36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D22808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706C1F36">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41034C1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4D074FD8">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2E6A714B">
            <w:pPr>
              <w:pStyle w:val="12"/>
              <w:tabs>
                <w:tab w:val="left" w:pos="993"/>
              </w:tabs>
              <w:spacing w:line="240" w:lineRule="auto"/>
              <w:rPr>
                <w:bCs/>
                <w:color w:val="000000"/>
                <w:sz w:val="18"/>
                <w:szCs w:val="18"/>
              </w:rPr>
            </w:pPr>
            <w:r>
              <w:rPr>
                <w:bCs/>
                <w:color w:val="000000"/>
                <w:sz w:val="18"/>
                <w:szCs w:val="18"/>
              </w:rPr>
              <w:t>9</w:t>
            </w:r>
          </w:p>
        </w:tc>
        <w:tc>
          <w:tcPr>
            <w:tcW w:w="989" w:type="dxa"/>
            <w:vAlign w:val="center"/>
          </w:tcPr>
          <w:p w14:paraId="1A5A128C">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473D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39DA02D2">
            <w:pPr>
              <w:pStyle w:val="12"/>
              <w:tabs>
                <w:tab w:val="left" w:pos="993"/>
              </w:tabs>
              <w:spacing w:line="240" w:lineRule="auto"/>
              <w:rPr>
                <w:bCs/>
                <w:color w:val="000000"/>
                <w:sz w:val="18"/>
                <w:szCs w:val="18"/>
              </w:rPr>
            </w:pPr>
          </w:p>
        </w:tc>
        <w:tc>
          <w:tcPr>
            <w:tcW w:w="759" w:type="dxa"/>
            <w:vMerge w:val="continue"/>
            <w:vAlign w:val="center"/>
          </w:tcPr>
          <w:p w14:paraId="2B705D25">
            <w:pPr>
              <w:pStyle w:val="12"/>
              <w:tabs>
                <w:tab w:val="left" w:pos="993"/>
              </w:tabs>
              <w:spacing w:line="240" w:lineRule="auto"/>
              <w:rPr>
                <w:bCs/>
                <w:color w:val="000000"/>
                <w:sz w:val="18"/>
                <w:szCs w:val="18"/>
              </w:rPr>
            </w:pPr>
          </w:p>
        </w:tc>
        <w:tc>
          <w:tcPr>
            <w:tcW w:w="495" w:type="dxa"/>
            <w:vAlign w:val="center"/>
          </w:tcPr>
          <w:p w14:paraId="02288CD9">
            <w:pPr>
              <w:pStyle w:val="12"/>
              <w:tabs>
                <w:tab w:val="left" w:pos="993"/>
              </w:tabs>
              <w:spacing w:line="240" w:lineRule="auto"/>
              <w:rPr>
                <w:bCs/>
                <w:color w:val="000000"/>
                <w:sz w:val="18"/>
                <w:szCs w:val="18"/>
              </w:rPr>
            </w:pPr>
            <w:r>
              <w:rPr>
                <w:bCs/>
                <w:color w:val="000000"/>
                <w:sz w:val="18"/>
                <w:szCs w:val="18"/>
              </w:rPr>
              <w:t>12</w:t>
            </w:r>
          </w:p>
        </w:tc>
        <w:tc>
          <w:tcPr>
            <w:tcW w:w="1858" w:type="dxa"/>
            <w:vAlign w:val="center"/>
          </w:tcPr>
          <w:p w14:paraId="7F4952DD">
            <w:pPr>
              <w:pStyle w:val="12"/>
              <w:tabs>
                <w:tab w:val="left" w:pos="993"/>
              </w:tabs>
              <w:spacing w:line="240" w:lineRule="auto"/>
              <w:rPr>
                <w:bCs/>
                <w:color w:val="000000"/>
                <w:sz w:val="18"/>
                <w:szCs w:val="18"/>
              </w:rPr>
            </w:pPr>
            <w:r>
              <w:rPr>
                <w:bCs/>
                <w:color w:val="000000"/>
                <w:sz w:val="18"/>
                <w:szCs w:val="18"/>
              </w:rPr>
              <w:t>1,2-二氯乙烷</w:t>
            </w:r>
          </w:p>
        </w:tc>
        <w:tc>
          <w:tcPr>
            <w:tcW w:w="722" w:type="dxa"/>
            <w:vAlign w:val="center"/>
          </w:tcPr>
          <w:p w14:paraId="65F259D8">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45FC3065">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445BBC4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200E979">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1A25D68">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4B484CE">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4AD60A9E">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019C34F5">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149DD505">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48EF5DE9">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40A136B1">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43A4796E">
            <w:pPr>
              <w:pStyle w:val="12"/>
              <w:tabs>
                <w:tab w:val="left" w:pos="993"/>
              </w:tabs>
              <w:spacing w:line="240" w:lineRule="auto"/>
              <w:rPr>
                <w:bCs/>
                <w:color w:val="000000"/>
                <w:sz w:val="18"/>
                <w:szCs w:val="18"/>
              </w:rPr>
            </w:pPr>
            <w:r>
              <w:rPr>
                <w:bCs/>
                <w:color w:val="000000"/>
                <w:sz w:val="18"/>
                <w:szCs w:val="18"/>
              </w:rPr>
              <w:t>5</w:t>
            </w:r>
          </w:p>
        </w:tc>
        <w:tc>
          <w:tcPr>
            <w:tcW w:w="989" w:type="dxa"/>
            <w:vAlign w:val="center"/>
          </w:tcPr>
          <w:p w14:paraId="1EF66D43">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6C6F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3BCEFB5B">
            <w:pPr>
              <w:pStyle w:val="12"/>
              <w:tabs>
                <w:tab w:val="left" w:pos="993"/>
              </w:tabs>
              <w:spacing w:line="240" w:lineRule="auto"/>
              <w:rPr>
                <w:bCs/>
                <w:color w:val="000000"/>
                <w:sz w:val="18"/>
                <w:szCs w:val="18"/>
              </w:rPr>
            </w:pPr>
          </w:p>
        </w:tc>
        <w:tc>
          <w:tcPr>
            <w:tcW w:w="759" w:type="dxa"/>
            <w:vMerge w:val="continue"/>
            <w:vAlign w:val="center"/>
          </w:tcPr>
          <w:p w14:paraId="6221A87D">
            <w:pPr>
              <w:pStyle w:val="12"/>
              <w:tabs>
                <w:tab w:val="left" w:pos="993"/>
              </w:tabs>
              <w:spacing w:line="240" w:lineRule="auto"/>
              <w:rPr>
                <w:bCs/>
                <w:color w:val="000000"/>
                <w:sz w:val="18"/>
                <w:szCs w:val="18"/>
              </w:rPr>
            </w:pPr>
          </w:p>
        </w:tc>
        <w:tc>
          <w:tcPr>
            <w:tcW w:w="495" w:type="dxa"/>
            <w:vAlign w:val="center"/>
          </w:tcPr>
          <w:p w14:paraId="28DD673D">
            <w:pPr>
              <w:pStyle w:val="12"/>
              <w:tabs>
                <w:tab w:val="left" w:pos="993"/>
              </w:tabs>
              <w:spacing w:line="240" w:lineRule="auto"/>
              <w:rPr>
                <w:bCs/>
                <w:color w:val="000000"/>
                <w:sz w:val="18"/>
                <w:szCs w:val="18"/>
              </w:rPr>
            </w:pPr>
            <w:r>
              <w:rPr>
                <w:bCs/>
                <w:color w:val="000000"/>
                <w:sz w:val="18"/>
                <w:szCs w:val="18"/>
              </w:rPr>
              <w:t>13</w:t>
            </w:r>
          </w:p>
        </w:tc>
        <w:tc>
          <w:tcPr>
            <w:tcW w:w="1858" w:type="dxa"/>
            <w:vAlign w:val="center"/>
          </w:tcPr>
          <w:p w14:paraId="25E9ECC9">
            <w:pPr>
              <w:pStyle w:val="12"/>
              <w:tabs>
                <w:tab w:val="left" w:pos="993"/>
              </w:tabs>
              <w:spacing w:line="240" w:lineRule="auto"/>
              <w:rPr>
                <w:bCs/>
                <w:color w:val="000000"/>
                <w:sz w:val="18"/>
                <w:szCs w:val="18"/>
              </w:rPr>
            </w:pPr>
            <w:r>
              <w:rPr>
                <w:bCs/>
                <w:color w:val="000000"/>
                <w:sz w:val="18"/>
                <w:szCs w:val="18"/>
              </w:rPr>
              <w:t>1,1-二氯乙烯</w:t>
            </w:r>
          </w:p>
        </w:tc>
        <w:tc>
          <w:tcPr>
            <w:tcW w:w="722" w:type="dxa"/>
            <w:vAlign w:val="center"/>
          </w:tcPr>
          <w:p w14:paraId="640B2B96">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3969D502">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5801BACD">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BDA5BB2">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D3883BC">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ECBA920">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307CFF04">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0A77FD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1049CDF6">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2D553C43">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736C6F4A">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31F4D833">
            <w:pPr>
              <w:pStyle w:val="12"/>
              <w:tabs>
                <w:tab w:val="left" w:pos="993"/>
              </w:tabs>
              <w:spacing w:line="240" w:lineRule="auto"/>
              <w:rPr>
                <w:bCs/>
                <w:color w:val="000000"/>
                <w:sz w:val="18"/>
                <w:szCs w:val="18"/>
              </w:rPr>
            </w:pPr>
            <w:r>
              <w:rPr>
                <w:bCs/>
                <w:color w:val="000000"/>
                <w:sz w:val="18"/>
                <w:szCs w:val="18"/>
              </w:rPr>
              <w:t>66</w:t>
            </w:r>
          </w:p>
        </w:tc>
        <w:tc>
          <w:tcPr>
            <w:tcW w:w="989" w:type="dxa"/>
            <w:vAlign w:val="center"/>
          </w:tcPr>
          <w:p w14:paraId="1ACF2A91">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5B38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21803795">
            <w:pPr>
              <w:pStyle w:val="12"/>
              <w:tabs>
                <w:tab w:val="left" w:pos="993"/>
              </w:tabs>
              <w:spacing w:line="240" w:lineRule="auto"/>
              <w:rPr>
                <w:bCs/>
                <w:color w:val="000000"/>
                <w:sz w:val="18"/>
                <w:szCs w:val="18"/>
              </w:rPr>
            </w:pPr>
          </w:p>
        </w:tc>
        <w:tc>
          <w:tcPr>
            <w:tcW w:w="759" w:type="dxa"/>
            <w:vMerge w:val="continue"/>
            <w:vAlign w:val="center"/>
          </w:tcPr>
          <w:p w14:paraId="347BA937">
            <w:pPr>
              <w:pStyle w:val="12"/>
              <w:tabs>
                <w:tab w:val="left" w:pos="993"/>
              </w:tabs>
              <w:spacing w:line="240" w:lineRule="auto"/>
              <w:rPr>
                <w:bCs/>
                <w:color w:val="000000"/>
                <w:sz w:val="18"/>
                <w:szCs w:val="18"/>
              </w:rPr>
            </w:pPr>
          </w:p>
        </w:tc>
        <w:tc>
          <w:tcPr>
            <w:tcW w:w="495" w:type="dxa"/>
            <w:vAlign w:val="center"/>
          </w:tcPr>
          <w:p w14:paraId="7671BBBF">
            <w:pPr>
              <w:pStyle w:val="12"/>
              <w:tabs>
                <w:tab w:val="left" w:pos="993"/>
              </w:tabs>
              <w:spacing w:line="240" w:lineRule="auto"/>
              <w:rPr>
                <w:bCs/>
                <w:color w:val="000000"/>
                <w:sz w:val="18"/>
                <w:szCs w:val="18"/>
              </w:rPr>
            </w:pPr>
            <w:r>
              <w:rPr>
                <w:bCs/>
                <w:color w:val="000000"/>
                <w:sz w:val="18"/>
                <w:szCs w:val="18"/>
              </w:rPr>
              <w:t>14</w:t>
            </w:r>
          </w:p>
        </w:tc>
        <w:tc>
          <w:tcPr>
            <w:tcW w:w="1858" w:type="dxa"/>
            <w:vAlign w:val="center"/>
          </w:tcPr>
          <w:p w14:paraId="3007AB1C">
            <w:pPr>
              <w:pStyle w:val="12"/>
              <w:tabs>
                <w:tab w:val="left" w:pos="993"/>
              </w:tabs>
              <w:spacing w:line="240" w:lineRule="auto"/>
              <w:rPr>
                <w:bCs/>
                <w:color w:val="000000"/>
                <w:sz w:val="18"/>
                <w:szCs w:val="18"/>
              </w:rPr>
            </w:pPr>
            <w:r>
              <w:rPr>
                <w:bCs/>
                <w:color w:val="000000"/>
                <w:sz w:val="18"/>
                <w:szCs w:val="18"/>
              </w:rPr>
              <w:t>顺式-1,2-二氯乙烯</w:t>
            </w:r>
          </w:p>
        </w:tc>
        <w:tc>
          <w:tcPr>
            <w:tcW w:w="722" w:type="dxa"/>
            <w:vAlign w:val="center"/>
          </w:tcPr>
          <w:p w14:paraId="53F68389">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550FEF44">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646AC5C8">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03DB5560">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E3F7CF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A3269E5">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36CCA7EE">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288797D">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1655D265">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57998590">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0718D680">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69A693EA">
            <w:pPr>
              <w:pStyle w:val="12"/>
              <w:tabs>
                <w:tab w:val="left" w:pos="993"/>
              </w:tabs>
              <w:spacing w:line="240" w:lineRule="auto"/>
              <w:rPr>
                <w:bCs/>
                <w:color w:val="000000"/>
                <w:sz w:val="18"/>
                <w:szCs w:val="18"/>
              </w:rPr>
            </w:pPr>
            <w:r>
              <w:rPr>
                <w:bCs/>
                <w:color w:val="000000"/>
                <w:sz w:val="18"/>
                <w:szCs w:val="18"/>
              </w:rPr>
              <w:t>596</w:t>
            </w:r>
          </w:p>
        </w:tc>
        <w:tc>
          <w:tcPr>
            <w:tcW w:w="989" w:type="dxa"/>
            <w:vAlign w:val="center"/>
          </w:tcPr>
          <w:p w14:paraId="0BDA6A5E">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5FCD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59FFD0D0">
            <w:pPr>
              <w:pStyle w:val="12"/>
              <w:tabs>
                <w:tab w:val="left" w:pos="993"/>
              </w:tabs>
              <w:spacing w:line="240" w:lineRule="auto"/>
              <w:rPr>
                <w:bCs/>
                <w:color w:val="000000"/>
                <w:sz w:val="18"/>
                <w:szCs w:val="18"/>
              </w:rPr>
            </w:pPr>
          </w:p>
        </w:tc>
        <w:tc>
          <w:tcPr>
            <w:tcW w:w="759" w:type="dxa"/>
            <w:vMerge w:val="continue"/>
            <w:vAlign w:val="center"/>
          </w:tcPr>
          <w:p w14:paraId="68A365BC">
            <w:pPr>
              <w:pStyle w:val="12"/>
              <w:tabs>
                <w:tab w:val="left" w:pos="993"/>
              </w:tabs>
              <w:spacing w:line="240" w:lineRule="auto"/>
              <w:rPr>
                <w:bCs/>
                <w:color w:val="000000"/>
                <w:sz w:val="18"/>
                <w:szCs w:val="18"/>
              </w:rPr>
            </w:pPr>
          </w:p>
        </w:tc>
        <w:tc>
          <w:tcPr>
            <w:tcW w:w="495" w:type="dxa"/>
            <w:vAlign w:val="center"/>
          </w:tcPr>
          <w:p w14:paraId="48E2ED1D">
            <w:pPr>
              <w:pStyle w:val="12"/>
              <w:tabs>
                <w:tab w:val="left" w:pos="993"/>
              </w:tabs>
              <w:spacing w:line="240" w:lineRule="auto"/>
              <w:rPr>
                <w:bCs/>
                <w:color w:val="000000"/>
                <w:sz w:val="18"/>
                <w:szCs w:val="18"/>
              </w:rPr>
            </w:pPr>
            <w:r>
              <w:rPr>
                <w:bCs/>
                <w:color w:val="000000"/>
                <w:sz w:val="18"/>
                <w:szCs w:val="18"/>
              </w:rPr>
              <w:t>15</w:t>
            </w:r>
          </w:p>
        </w:tc>
        <w:tc>
          <w:tcPr>
            <w:tcW w:w="1858" w:type="dxa"/>
            <w:vAlign w:val="center"/>
          </w:tcPr>
          <w:p w14:paraId="08141F4D">
            <w:pPr>
              <w:pStyle w:val="12"/>
              <w:tabs>
                <w:tab w:val="left" w:pos="993"/>
              </w:tabs>
              <w:spacing w:line="240" w:lineRule="auto"/>
              <w:rPr>
                <w:bCs/>
                <w:color w:val="000000"/>
                <w:sz w:val="18"/>
                <w:szCs w:val="18"/>
              </w:rPr>
            </w:pPr>
            <w:r>
              <w:rPr>
                <w:bCs/>
                <w:color w:val="000000"/>
                <w:sz w:val="18"/>
                <w:szCs w:val="18"/>
              </w:rPr>
              <w:t>反式-1,2-二氯乙烯</w:t>
            </w:r>
          </w:p>
        </w:tc>
        <w:tc>
          <w:tcPr>
            <w:tcW w:w="722" w:type="dxa"/>
            <w:vAlign w:val="center"/>
          </w:tcPr>
          <w:p w14:paraId="2E3CA1C0">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1E1987B7">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0257A7E9">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95B9C5B">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4BD30A4">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58599AE8">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5996010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18FF9ED">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70AB09B7">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68FCBA3B">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564F4010">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4BD152A2">
            <w:pPr>
              <w:pStyle w:val="12"/>
              <w:tabs>
                <w:tab w:val="left" w:pos="993"/>
              </w:tabs>
              <w:spacing w:line="240" w:lineRule="auto"/>
              <w:rPr>
                <w:bCs/>
                <w:color w:val="000000"/>
                <w:sz w:val="18"/>
                <w:szCs w:val="18"/>
              </w:rPr>
            </w:pPr>
            <w:r>
              <w:rPr>
                <w:bCs/>
                <w:color w:val="000000"/>
                <w:sz w:val="18"/>
                <w:szCs w:val="18"/>
              </w:rPr>
              <w:t>54</w:t>
            </w:r>
          </w:p>
        </w:tc>
        <w:tc>
          <w:tcPr>
            <w:tcW w:w="989" w:type="dxa"/>
            <w:vAlign w:val="center"/>
          </w:tcPr>
          <w:p w14:paraId="4BD538E5">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3F47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556657C9">
            <w:pPr>
              <w:pStyle w:val="12"/>
              <w:tabs>
                <w:tab w:val="left" w:pos="993"/>
              </w:tabs>
              <w:spacing w:line="240" w:lineRule="auto"/>
              <w:rPr>
                <w:bCs/>
                <w:color w:val="000000"/>
                <w:sz w:val="18"/>
                <w:szCs w:val="18"/>
              </w:rPr>
            </w:pPr>
          </w:p>
        </w:tc>
        <w:tc>
          <w:tcPr>
            <w:tcW w:w="759" w:type="dxa"/>
            <w:vMerge w:val="continue"/>
            <w:vAlign w:val="center"/>
          </w:tcPr>
          <w:p w14:paraId="70FE4D1B">
            <w:pPr>
              <w:pStyle w:val="12"/>
              <w:tabs>
                <w:tab w:val="left" w:pos="993"/>
              </w:tabs>
              <w:spacing w:line="240" w:lineRule="auto"/>
              <w:rPr>
                <w:bCs/>
                <w:color w:val="000000"/>
                <w:sz w:val="18"/>
                <w:szCs w:val="18"/>
              </w:rPr>
            </w:pPr>
          </w:p>
        </w:tc>
        <w:tc>
          <w:tcPr>
            <w:tcW w:w="495" w:type="dxa"/>
            <w:vAlign w:val="center"/>
          </w:tcPr>
          <w:p w14:paraId="6DAB1EF5">
            <w:pPr>
              <w:pStyle w:val="12"/>
              <w:tabs>
                <w:tab w:val="left" w:pos="993"/>
              </w:tabs>
              <w:spacing w:line="240" w:lineRule="auto"/>
              <w:rPr>
                <w:bCs/>
                <w:color w:val="000000"/>
                <w:sz w:val="18"/>
                <w:szCs w:val="18"/>
              </w:rPr>
            </w:pPr>
            <w:r>
              <w:rPr>
                <w:bCs/>
                <w:color w:val="000000"/>
                <w:sz w:val="18"/>
                <w:szCs w:val="18"/>
              </w:rPr>
              <w:t>16</w:t>
            </w:r>
          </w:p>
        </w:tc>
        <w:tc>
          <w:tcPr>
            <w:tcW w:w="1858" w:type="dxa"/>
            <w:vAlign w:val="center"/>
          </w:tcPr>
          <w:p w14:paraId="1E2EB83A">
            <w:pPr>
              <w:pStyle w:val="12"/>
              <w:tabs>
                <w:tab w:val="left" w:pos="993"/>
              </w:tabs>
              <w:spacing w:line="240" w:lineRule="auto"/>
              <w:rPr>
                <w:bCs/>
                <w:color w:val="000000"/>
                <w:sz w:val="18"/>
                <w:szCs w:val="18"/>
              </w:rPr>
            </w:pPr>
            <w:r>
              <w:rPr>
                <w:bCs/>
                <w:color w:val="000000"/>
                <w:sz w:val="18"/>
                <w:szCs w:val="18"/>
              </w:rPr>
              <w:t>二氯甲烷</w:t>
            </w:r>
          </w:p>
        </w:tc>
        <w:tc>
          <w:tcPr>
            <w:tcW w:w="722" w:type="dxa"/>
            <w:vAlign w:val="center"/>
          </w:tcPr>
          <w:p w14:paraId="593C8B06">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2EF3FA85">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42767BB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D7FB1A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28BB496">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DFFD4F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2B56DF26">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26D0E52">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6BDE4809">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54CC49C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2AF1D45F">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7CE84C11">
            <w:pPr>
              <w:pStyle w:val="12"/>
              <w:tabs>
                <w:tab w:val="left" w:pos="993"/>
              </w:tabs>
              <w:spacing w:line="240" w:lineRule="auto"/>
              <w:rPr>
                <w:bCs/>
                <w:color w:val="000000"/>
                <w:sz w:val="18"/>
                <w:szCs w:val="18"/>
              </w:rPr>
            </w:pPr>
            <w:r>
              <w:rPr>
                <w:bCs/>
                <w:color w:val="000000"/>
                <w:sz w:val="18"/>
                <w:szCs w:val="18"/>
              </w:rPr>
              <w:t>616</w:t>
            </w:r>
          </w:p>
        </w:tc>
        <w:tc>
          <w:tcPr>
            <w:tcW w:w="989" w:type="dxa"/>
            <w:vAlign w:val="center"/>
          </w:tcPr>
          <w:p w14:paraId="715FEA57">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729D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50D3CC9F">
            <w:pPr>
              <w:pStyle w:val="12"/>
              <w:tabs>
                <w:tab w:val="left" w:pos="993"/>
              </w:tabs>
              <w:spacing w:line="240" w:lineRule="auto"/>
              <w:rPr>
                <w:bCs/>
                <w:color w:val="000000"/>
                <w:sz w:val="18"/>
                <w:szCs w:val="18"/>
              </w:rPr>
            </w:pPr>
          </w:p>
        </w:tc>
        <w:tc>
          <w:tcPr>
            <w:tcW w:w="759" w:type="dxa"/>
            <w:vMerge w:val="continue"/>
            <w:vAlign w:val="center"/>
          </w:tcPr>
          <w:p w14:paraId="493C7305">
            <w:pPr>
              <w:pStyle w:val="12"/>
              <w:tabs>
                <w:tab w:val="left" w:pos="993"/>
              </w:tabs>
              <w:spacing w:line="240" w:lineRule="auto"/>
              <w:rPr>
                <w:bCs/>
                <w:color w:val="000000"/>
                <w:sz w:val="18"/>
                <w:szCs w:val="18"/>
              </w:rPr>
            </w:pPr>
          </w:p>
        </w:tc>
        <w:tc>
          <w:tcPr>
            <w:tcW w:w="495" w:type="dxa"/>
            <w:vAlign w:val="center"/>
          </w:tcPr>
          <w:p w14:paraId="421AEEA1">
            <w:pPr>
              <w:pStyle w:val="12"/>
              <w:tabs>
                <w:tab w:val="left" w:pos="993"/>
              </w:tabs>
              <w:spacing w:line="240" w:lineRule="auto"/>
              <w:rPr>
                <w:bCs/>
                <w:color w:val="000000"/>
                <w:sz w:val="18"/>
                <w:szCs w:val="18"/>
              </w:rPr>
            </w:pPr>
            <w:r>
              <w:rPr>
                <w:bCs/>
                <w:color w:val="000000"/>
                <w:sz w:val="18"/>
                <w:szCs w:val="18"/>
              </w:rPr>
              <w:t>17</w:t>
            </w:r>
          </w:p>
        </w:tc>
        <w:tc>
          <w:tcPr>
            <w:tcW w:w="1858" w:type="dxa"/>
            <w:vAlign w:val="center"/>
          </w:tcPr>
          <w:p w14:paraId="08472D25">
            <w:pPr>
              <w:pStyle w:val="12"/>
              <w:tabs>
                <w:tab w:val="left" w:pos="993"/>
              </w:tabs>
              <w:spacing w:line="240" w:lineRule="auto"/>
              <w:rPr>
                <w:bCs/>
                <w:color w:val="000000"/>
                <w:sz w:val="18"/>
                <w:szCs w:val="18"/>
              </w:rPr>
            </w:pPr>
            <w:r>
              <w:rPr>
                <w:bCs/>
                <w:color w:val="000000"/>
                <w:sz w:val="18"/>
                <w:szCs w:val="18"/>
              </w:rPr>
              <w:t>1,2-二氯丙烷</w:t>
            </w:r>
          </w:p>
        </w:tc>
        <w:tc>
          <w:tcPr>
            <w:tcW w:w="722" w:type="dxa"/>
            <w:vAlign w:val="center"/>
          </w:tcPr>
          <w:p w14:paraId="0B33EF2A">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67EFD8C9">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1843085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D389E49">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52807B00">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4CE473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4617E13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0A9FC7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1EBF9F2D">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78B6DA00">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6125186A">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62E20885">
            <w:pPr>
              <w:pStyle w:val="12"/>
              <w:tabs>
                <w:tab w:val="left" w:pos="993"/>
              </w:tabs>
              <w:spacing w:line="240" w:lineRule="auto"/>
              <w:rPr>
                <w:bCs/>
                <w:color w:val="000000"/>
                <w:sz w:val="18"/>
                <w:szCs w:val="18"/>
              </w:rPr>
            </w:pPr>
            <w:r>
              <w:rPr>
                <w:bCs/>
                <w:color w:val="000000"/>
                <w:sz w:val="18"/>
                <w:szCs w:val="18"/>
              </w:rPr>
              <w:t>5</w:t>
            </w:r>
          </w:p>
        </w:tc>
        <w:tc>
          <w:tcPr>
            <w:tcW w:w="989" w:type="dxa"/>
            <w:vAlign w:val="center"/>
          </w:tcPr>
          <w:p w14:paraId="2479C5A7">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4810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2B87627A">
            <w:pPr>
              <w:pStyle w:val="12"/>
              <w:tabs>
                <w:tab w:val="left" w:pos="993"/>
              </w:tabs>
              <w:spacing w:line="240" w:lineRule="auto"/>
              <w:rPr>
                <w:bCs/>
                <w:color w:val="000000"/>
                <w:sz w:val="18"/>
                <w:szCs w:val="18"/>
              </w:rPr>
            </w:pPr>
          </w:p>
        </w:tc>
        <w:tc>
          <w:tcPr>
            <w:tcW w:w="759" w:type="dxa"/>
            <w:vMerge w:val="continue"/>
            <w:vAlign w:val="center"/>
          </w:tcPr>
          <w:p w14:paraId="77515F78">
            <w:pPr>
              <w:pStyle w:val="12"/>
              <w:tabs>
                <w:tab w:val="left" w:pos="993"/>
              </w:tabs>
              <w:spacing w:line="240" w:lineRule="auto"/>
              <w:rPr>
                <w:bCs/>
                <w:color w:val="000000"/>
                <w:sz w:val="18"/>
                <w:szCs w:val="18"/>
              </w:rPr>
            </w:pPr>
          </w:p>
        </w:tc>
        <w:tc>
          <w:tcPr>
            <w:tcW w:w="495" w:type="dxa"/>
            <w:vAlign w:val="center"/>
          </w:tcPr>
          <w:p w14:paraId="6DDFC9EA">
            <w:pPr>
              <w:pStyle w:val="12"/>
              <w:tabs>
                <w:tab w:val="left" w:pos="993"/>
              </w:tabs>
              <w:spacing w:line="240" w:lineRule="auto"/>
              <w:rPr>
                <w:bCs/>
                <w:color w:val="000000"/>
                <w:sz w:val="18"/>
                <w:szCs w:val="18"/>
              </w:rPr>
            </w:pPr>
            <w:r>
              <w:rPr>
                <w:bCs/>
                <w:color w:val="000000"/>
                <w:sz w:val="18"/>
                <w:szCs w:val="18"/>
              </w:rPr>
              <w:t>18</w:t>
            </w:r>
          </w:p>
        </w:tc>
        <w:tc>
          <w:tcPr>
            <w:tcW w:w="1858" w:type="dxa"/>
            <w:vAlign w:val="center"/>
          </w:tcPr>
          <w:p w14:paraId="7424AC4E">
            <w:pPr>
              <w:pStyle w:val="12"/>
              <w:tabs>
                <w:tab w:val="left" w:pos="993"/>
              </w:tabs>
              <w:spacing w:line="240" w:lineRule="auto"/>
              <w:rPr>
                <w:bCs/>
                <w:color w:val="000000"/>
                <w:sz w:val="18"/>
                <w:szCs w:val="18"/>
              </w:rPr>
            </w:pPr>
            <w:r>
              <w:rPr>
                <w:bCs/>
                <w:color w:val="000000"/>
                <w:sz w:val="18"/>
                <w:szCs w:val="18"/>
              </w:rPr>
              <w:t>1,1,1,2-四氯乙烷</w:t>
            </w:r>
          </w:p>
        </w:tc>
        <w:tc>
          <w:tcPr>
            <w:tcW w:w="722" w:type="dxa"/>
            <w:vAlign w:val="center"/>
          </w:tcPr>
          <w:p w14:paraId="04AAA3EA">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45D61687">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4385841A">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7B9ABB3">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54889579">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57D0C750">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2E9DC00A">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08969EE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1D2EB78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1FBA7821">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02DE2233">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6E3765B8">
            <w:pPr>
              <w:pStyle w:val="12"/>
              <w:tabs>
                <w:tab w:val="left" w:pos="993"/>
              </w:tabs>
              <w:spacing w:line="240" w:lineRule="auto"/>
              <w:rPr>
                <w:bCs/>
                <w:color w:val="000000"/>
                <w:sz w:val="18"/>
                <w:szCs w:val="18"/>
              </w:rPr>
            </w:pPr>
            <w:r>
              <w:rPr>
                <w:bCs/>
                <w:color w:val="000000"/>
                <w:sz w:val="18"/>
                <w:szCs w:val="18"/>
              </w:rPr>
              <w:t>10</w:t>
            </w:r>
          </w:p>
        </w:tc>
        <w:tc>
          <w:tcPr>
            <w:tcW w:w="989" w:type="dxa"/>
            <w:vAlign w:val="center"/>
          </w:tcPr>
          <w:p w14:paraId="140EEBB1">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7A78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18554FCA">
            <w:pPr>
              <w:pStyle w:val="12"/>
              <w:tabs>
                <w:tab w:val="left" w:pos="993"/>
              </w:tabs>
              <w:spacing w:line="240" w:lineRule="auto"/>
              <w:rPr>
                <w:bCs/>
                <w:color w:val="000000"/>
                <w:sz w:val="18"/>
                <w:szCs w:val="18"/>
              </w:rPr>
            </w:pPr>
          </w:p>
        </w:tc>
        <w:tc>
          <w:tcPr>
            <w:tcW w:w="759" w:type="dxa"/>
            <w:vMerge w:val="continue"/>
            <w:vAlign w:val="center"/>
          </w:tcPr>
          <w:p w14:paraId="7A74D59D">
            <w:pPr>
              <w:pStyle w:val="12"/>
              <w:tabs>
                <w:tab w:val="left" w:pos="993"/>
              </w:tabs>
              <w:spacing w:line="240" w:lineRule="auto"/>
              <w:rPr>
                <w:bCs/>
                <w:color w:val="000000"/>
                <w:sz w:val="18"/>
                <w:szCs w:val="18"/>
              </w:rPr>
            </w:pPr>
          </w:p>
        </w:tc>
        <w:tc>
          <w:tcPr>
            <w:tcW w:w="495" w:type="dxa"/>
            <w:vAlign w:val="center"/>
          </w:tcPr>
          <w:p w14:paraId="1EC82FD5">
            <w:pPr>
              <w:pStyle w:val="12"/>
              <w:tabs>
                <w:tab w:val="left" w:pos="993"/>
              </w:tabs>
              <w:spacing w:line="240" w:lineRule="auto"/>
              <w:rPr>
                <w:bCs/>
                <w:color w:val="000000"/>
                <w:sz w:val="18"/>
                <w:szCs w:val="18"/>
              </w:rPr>
            </w:pPr>
            <w:r>
              <w:rPr>
                <w:bCs/>
                <w:color w:val="000000"/>
                <w:sz w:val="18"/>
                <w:szCs w:val="18"/>
              </w:rPr>
              <w:t>19</w:t>
            </w:r>
          </w:p>
        </w:tc>
        <w:tc>
          <w:tcPr>
            <w:tcW w:w="1858" w:type="dxa"/>
            <w:vAlign w:val="center"/>
          </w:tcPr>
          <w:p w14:paraId="6B3A128E">
            <w:pPr>
              <w:pStyle w:val="12"/>
              <w:tabs>
                <w:tab w:val="left" w:pos="993"/>
              </w:tabs>
              <w:spacing w:line="240" w:lineRule="auto"/>
              <w:rPr>
                <w:bCs/>
                <w:color w:val="000000"/>
                <w:sz w:val="18"/>
                <w:szCs w:val="18"/>
              </w:rPr>
            </w:pPr>
            <w:r>
              <w:rPr>
                <w:bCs/>
                <w:color w:val="000000"/>
                <w:sz w:val="18"/>
                <w:szCs w:val="18"/>
              </w:rPr>
              <w:t>1,1,2,2-四氯乙烷</w:t>
            </w:r>
          </w:p>
        </w:tc>
        <w:tc>
          <w:tcPr>
            <w:tcW w:w="722" w:type="dxa"/>
            <w:vAlign w:val="center"/>
          </w:tcPr>
          <w:p w14:paraId="4A8606C6">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31BB5C6D">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0EA3FD9D">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BA93CE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29BC0B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84B1ED5">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6C9D8D08">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81257B0">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7C194654">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19E49E3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387B3CF8">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518EB8CC">
            <w:pPr>
              <w:pStyle w:val="12"/>
              <w:tabs>
                <w:tab w:val="left" w:pos="993"/>
              </w:tabs>
              <w:spacing w:line="240" w:lineRule="auto"/>
              <w:rPr>
                <w:bCs/>
                <w:color w:val="000000"/>
                <w:sz w:val="18"/>
                <w:szCs w:val="18"/>
              </w:rPr>
            </w:pPr>
            <w:r>
              <w:rPr>
                <w:bCs/>
                <w:color w:val="000000"/>
                <w:sz w:val="18"/>
                <w:szCs w:val="18"/>
              </w:rPr>
              <w:t>6.8</w:t>
            </w:r>
          </w:p>
        </w:tc>
        <w:tc>
          <w:tcPr>
            <w:tcW w:w="989" w:type="dxa"/>
            <w:vAlign w:val="center"/>
          </w:tcPr>
          <w:p w14:paraId="71F6502B">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60441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309EEFD0">
            <w:pPr>
              <w:pStyle w:val="12"/>
              <w:tabs>
                <w:tab w:val="left" w:pos="993"/>
              </w:tabs>
              <w:spacing w:line="240" w:lineRule="auto"/>
              <w:rPr>
                <w:bCs/>
                <w:color w:val="000000"/>
                <w:sz w:val="18"/>
                <w:szCs w:val="18"/>
              </w:rPr>
            </w:pPr>
          </w:p>
        </w:tc>
        <w:tc>
          <w:tcPr>
            <w:tcW w:w="759" w:type="dxa"/>
            <w:vMerge w:val="continue"/>
            <w:vAlign w:val="center"/>
          </w:tcPr>
          <w:p w14:paraId="2B102186">
            <w:pPr>
              <w:pStyle w:val="12"/>
              <w:tabs>
                <w:tab w:val="left" w:pos="993"/>
              </w:tabs>
              <w:spacing w:line="240" w:lineRule="auto"/>
              <w:rPr>
                <w:bCs/>
                <w:color w:val="000000"/>
                <w:sz w:val="18"/>
                <w:szCs w:val="18"/>
              </w:rPr>
            </w:pPr>
          </w:p>
        </w:tc>
        <w:tc>
          <w:tcPr>
            <w:tcW w:w="495" w:type="dxa"/>
            <w:vAlign w:val="center"/>
          </w:tcPr>
          <w:p w14:paraId="673D471C">
            <w:pPr>
              <w:pStyle w:val="12"/>
              <w:tabs>
                <w:tab w:val="left" w:pos="993"/>
              </w:tabs>
              <w:spacing w:line="240" w:lineRule="auto"/>
              <w:rPr>
                <w:bCs/>
                <w:color w:val="000000"/>
                <w:sz w:val="18"/>
                <w:szCs w:val="18"/>
              </w:rPr>
            </w:pPr>
            <w:r>
              <w:rPr>
                <w:bCs/>
                <w:color w:val="000000"/>
                <w:sz w:val="18"/>
                <w:szCs w:val="18"/>
              </w:rPr>
              <w:t>20</w:t>
            </w:r>
          </w:p>
        </w:tc>
        <w:tc>
          <w:tcPr>
            <w:tcW w:w="1858" w:type="dxa"/>
            <w:vAlign w:val="center"/>
          </w:tcPr>
          <w:p w14:paraId="3EB95FF0">
            <w:pPr>
              <w:pStyle w:val="12"/>
              <w:tabs>
                <w:tab w:val="left" w:pos="993"/>
              </w:tabs>
              <w:spacing w:line="240" w:lineRule="auto"/>
              <w:rPr>
                <w:bCs/>
                <w:color w:val="000000"/>
                <w:sz w:val="18"/>
                <w:szCs w:val="18"/>
              </w:rPr>
            </w:pPr>
            <w:r>
              <w:rPr>
                <w:bCs/>
                <w:color w:val="000000"/>
                <w:sz w:val="18"/>
                <w:szCs w:val="18"/>
              </w:rPr>
              <w:t>四氯乙烯</w:t>
            </w:r>
          </w:p>
        </w:tc>
        <w:tc>
          <w:tcPr>
            <w:tcW w:w="722" w:type="dxa"/>
            <w:vAlign w:val="center"/>
          </w:tcPr>
          <w:p w14:paraId="63EB4F10">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7C0500AC">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2D3BF1D5">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F1C956E">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563598C">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A97299B">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1DCB91C5">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BF29934">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15DAAEA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21364E28">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60A245F7">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68C186F9">
            <w:pPr>
              <w:pStyle w:val="12"/>
              <w:tabs>
                <w:tab w:val="left" w:pos="993"/>
              </w:tabs>
              <w:spacing w:line="240" w:lineRule="auto"/>
              <w:rPr>
                <w:bCs/>
                <w:color w:val="000000"/>
                <w:sz w:val="18"/>
                <w:szCs w:val="18"/>
              </w:rPr>
            </w:pPr>
            <w:r>
              <w:rPr>
                <w:bCs/>
                <w:color w:val="000000"/>
                <w:sz w:val="18"/>
                <w:szCs w:val="18"/>
              </w:rPr>
              <w:t>53</w:t>
            </w:r>
          </w:p>
        </w:tc>
        <w:tc>
          <w:tcPr>
            <w:tcW w:w="989" w:type="dxa"/>
            <w:vAlign w:val="center"/>
          </w:tcPr>
          <w:p w14:paraId="16E8818F">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2E88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3C29EDDB">
            <w:pPr>
              <w:pStyle w:val="12"/>
              <w:tabs>
                <w:tab w:val="left" w:pos="993"/>
              </w:tabs>
              <w:spacing w:line="240" w:lineRule="auto"/>
              <w:rPr>
                <w:bCs/>
                <w:color w:val="000000"/>
                <w:sz w:val="18"/>
                <w:szCs w:val="18"/>
              </w:rPr>
            </w:pPr>
          </w:p>
        </w:tc>
        <w:tc>
          <w:tcPr>
            <w:tcW w:w="759" w:type="dxa"/>
            <w:vMerge w:val="continue"/>
            <w:vAlign w:val="center"/>
          </w:tcPr>
          <w:p w14:paraId="7BA2C9D3">
            <w:pPr>
              <w:pStyle w:val="12"/>
              <w:tabs>
                <w:tab w:val="left" w:pos="993"/>
              </w:tabs>
              <w:spacing w:line="240" w:lineRule="auto"/>
              <w:rPr>
                <w:bCs/>
                <w:color w:val="000000"/>
                <w:sz w:val="18"/>
                <w:szCs w:val="18"/>
              </w:rPr>
            </w:pPr>
          </w:p>
        </w:tc>
        <w:tc>
          <w:tcPr>
            <w:tcW w:w="495" w:type="dxa"/>
            <w:vAlign w:val="center"/>
          </w:tcPr>
          <w:p w14:paraId="0FCE7656">
            <w:pPr>
              <w:pStyle w:val="12"/>
              <w:tabs>
                <w:tab w:val="left" w:pos="993"/>
              </w:tabs>
              <w:spacing w:line="240" w:lineRule="auto"/>
              <w:rPr>
                <w:bCs/>
                <w:color w:val="000000"/>
                <w:sz w:val="18"/>
                <w:szCs w:val="18"/>
              </w:rPr>
            </w:pPr>
            <w:r>
              <w:rPr>
                <w:bCs/>
                <w:color w:val="000000"/>
                <w:sz w:val="18"/>
                <w:szCs w:val="18"/>
              </w:rPr>
              <w:t>21</w:t>
            </w:r>
          </w:p>
        </w:tc>
        <w:tc>
          <w:tcPr>
            <w:tcW w:w="1858" w:type="dxa"/>
            <w:vAlign w:val="center"/>
          </w:tcPr>
          <w:p w14:paraId="0B0DC1C0">
            <w:pPr>
              <w:pStyle w:val="12"/>
              <w:tabs>
                <w:tab w:val="left" w:pos="993"/>
              </w:tabs>
              <w:spacing w:line="240" w:lineRule="auto"/>
              <w:rPr>
                <w:bCs/>
                <w:color w:val="000000"/>
                <w:sz w:val="18"/>
                <w:szCs w:val="18"/>
              </w:rPr>
            </w:pPr>
            <w:r>
              <w:rPr>
                <w:bCs/>
                <w:color w:val="000000"/>
                <w:sz w:val="18"/>
                <w:szCs w:val="18"/>
              </w:rPr>
              <w:t>1,1,1-三氯乙烷</w:t>
            </w:r>
          </w:p>
        </w:tc>
        <w:tc>
          <w:tcPr>
            <w:tcW w:w="722" w:type="dxa"/>
            <w:vAlign w:val="center"/>
          </w:tcPr>
          <w:p w14:paraId="2792A018">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33FFFCC6">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783BE330">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DB4E143">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9858E2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6BAD456">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3E06D6A4">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56010A0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0AA4968D">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5308C506">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37112C8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0F4DAF93">
            <w:pPr>
              <w:pStyle w:val="12"/>
              <w:tabs>
                <w:tab w:val="left" w:pos="993"/>
              </w:tabs>
              <w:spacing w:line="240" w:lineRule="auto"/>
              <w:rPr>
                <w:bCs/>
                <w:color w:val="000000"/>
                <w:sz w:val="18"/>
                <w:szCs w:val="18"/>
              </w:rPr>
            </w:pPr>
            <w:r>
              <w:rPr>
                <w:bCs/>
                <w:color w:val="000000"/>
                <w:sz w:val="18"/>
                <w:szCs w:val="18"/>
              </w:rPr>
              <w:t>840</w:t>
            </w:r>
          </w:p>
        </w:tc>
        <w:tc>
          <w:tcPr>
            <w:tcW w:w="989" w:type="dxa"/>
            <w:vAlign w:val="center"/>
          </w:tcPr>
          <w:p w14:paraId="1160F9D3">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7B18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1ABA32B1">
            <w:pPr>
              <w:pStyle w:val="12"/>
              <w:tabs>
                <w:tab w:val="left" w:pos="993"/>
              </w:tabs>
              <w:spacing w:line="240" w:lineRule="auto"/>
              <w:rPr>
                <w:bCs/>
                <w:color w:val="000000"/>
                <w:sz w:val="18"/>
                <w:szCs w:val="18"/>
              </w:rPr>
            </w:pPr>
          </w:p>
        </w:tc>
        <w:tc>
          <w:tcPr>
            <w:tcW w:w="759" w:type="dxa"/>
            <w:vMerge w:val="continue"/>
            <w:vAlign w:val="center"/>
          </w:tcPr>
          <w:p w14:paraId="07992272">
            <w:pPr>
              <w:pStyle w:val="12"/>
              <w:tabs>
                <w:tab w:val="left" w:pos="993"/>
              </w:tabs>
              <w:spacing w:line="240" w:lineRule="auto"/>
              <w:rPr>
                <w:bCs/>
                <w:color w:val="000000"/>
                <w:sz w:val="18"/>
                <w:szCs w:val="18"/>
              </w:rPr>
            </w:pPr>
          </w:p>
        </w:tc>
        <w:tc>
          <w:tcPr>
            <w:tcW w:w="495" w:type="dxa"/>
            <w:vAlign w:val="center"/>
          </w:tcPr>
          <w:p w14:paraId="21F6B238">
            <w:pPr>
              <w:pStyle w:val="12"/>
              <w:tabs>
                <w:tab w:val="left" w:pos="993"/>
              </w:tabs>
              <w:spacing w:line="240" w:lineRule="auto"/>
              <w:rPr>
                <w:bCs/>
                <w:color w:val="000000"/>
                <w:sz w:val="18"/>
                <w:szCs w:val="18"/>
              </w:rPr>
            </w:pPr>
            <w:r>
              <w:rPr>
                <w:bCs/>
                <w:color w:val="000000"/>
                <w:sz w:val="18"/>
                <w:szCs w:val="18"/>
              </w:rPr>
              <w:t>22</w:t>
            </w:r>
          </w:p>
        </w:tc>
        <w:tc>
          <w:tcPr>
            <w:tcW w:w="1858" w:type="dxa"/>
            <w:vAlign w:val="center"/>
          </w:tcPr>
          <w:p w14:paraId="55FB5AD7">
            <w:pPr>
              <w:pStyle w:val="12"/>
              <w:tabs>
                <w:tab w:val="left" w:pos="993"/>
              </w:tabs>
              <w:spacing w:line="240" w:lineRule="auto"/>
              <w:rPr>
                <w:bCs/>
                <w:color w:val="000000"/>
                <w:sz w:val="18"/>
                <w:szCs w:val="18"/>
              </w:rPr>
            </w:pPr>
            <w:r>
              <w:rPr>
                <w:bCs/>
                <w:color w:val="000000"/>
                <w:sz w:val="18"/>
                <w:szCs w:val="18"/>
              </w:rPr>
              <w:t>1,1,2-三氯乙烷</w:t>
            </w:r>
          </w:p>
        </w:tc>
        <w:tc>
          <w:tcPr>
            <w:tcW w:w="722" w:type="dxa"/>
            <w:vAlign w:val="center"/>
          </w:tcPr>
          <w:p w14:paraId="16C418D0">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05C601B0">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5C67D880">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506BD6B">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C6C95C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7CC66A2">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790E4C44">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8796D6F">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147F3F22">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4DD8FCDF">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2C00F881">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3282FDCC">
            <w:pPr>
              <w:pStyle w:val="12"/>
              <w:tabs>
                <w:tab w:val="left" w:pos="993"/>
              </w:tabs>
              <w:spacing w:line="240" w:lineRule="auto"/>
              <w:rPr>
                <w:bCs/>
                <w:color w:val="000000"/>
                <w:sz w:val="18"/>
                <w:szCs w:val="18"/>
              </w:rPr>
            </w:pPr>
            <w:r>
              <w:rPr>
                <w:bCs/>
                <w:color w:val="000000"/>
                <w:sz w:val="18"/>
                <w:szCs w:val="18"/>
              </w:rPr>
              <w:t>2.8</w:t>
            </w:r>
          </w:p>
        </w:tc>
        <w:tc>
          <w:tcPr>
            <w:tcW w:w="989" w:type="dxa"/>
            <w:vAlign w:val="center"/>
          </w:tcPr>
          <w:p w14:paraId="03AE3032">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0D5D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485" w:type="dxa"/>
            <w:vMerge w:val="continue"/>
            <w:vAlign w:val="center"/>
          </w:tcPr>
          <w:p w14:paraId="34A2BDBE">
            <w:pPr>
              <w:pStyle w:val="12"/>
              <w:tabs>
                <w:tab w:val="left" w:pos="993"/>
              </w:tabs>
              <w:spacing w:line="240" w:lineRule="auto"/>
              <w:rPr>
                <w:bCs/>
                <w:color w:val="000000"/>
                <w:sz w:val="18"/>
                <w:szCs w:val="18"/>
              </w:rPr>
            </w:pPr>
          </w:p>
        </w:tc>
        <w:tc>
          <w:tcPr>
            <w:tcW w:w="759" w:type="dxa"/>
            <w:vMerge w:val="continue"/>
            <w:vAlign w:val="center"/>
          </w:tcPr>
          <w:p w14:paraId="7E266BE5">
            <w:pPr>
              <w:pStyle w:val="12"/>
              <w:tabs>
                <w:tab w:val="left" w:pos="993"/>
              </w:tabs>
              <w:spacing w:line="240" w:lineRule="auto"/>
              <w:rPr>
                <w:bCs/>
                <w:color w:val="000000"/>
                <w:sz w:val="18"/>
                <w:szCs w:val="18"/>
              </w:rPr>
            </w:pPr>
          </w:p>
        </w:tc>
        <w:tc>
          <w:tcPr>
            <w:tcW w:w="495" w:type="dxa"/>
            <w:vAlign w:val="center"/>
          </w:tcPr>
          <w:p w14:paraId="76F546A2">
            <w:pPr>
              <w:pStyle w:val="12"/>
              <w:tabs>
                <w:tab w:val="left" w:pos="993"/>
              </w:tabs>
              <w:spacing w:line="240" w:lineRule="auto"/>
              <w:rPr>
                <w:bCs/>
                <w:color w:val="000000"/>
                <w:sz w:val="18"/>
                <w:szCs w:val="18"/>
              </w:rPr>
            </w:pPr>
            <w:r>
              <w:rPr>
                <w:bCs/>
                <w:color w:val="000000"/>
                <w:sz w:val="18"/>
                <w:szCs w:val="18"/>
              </w:rPr>
              <w:t>23</w:t>
            </w:r>
          </w:p>
        </w:tc>
        <w:tc>
          <w:tcPr>
            <w:tcW w:w="1858" w:type="dxa"/>
            <w:vAlign w:val="center"/>
          </w:tcPr>
          <w:p w14:paraId="1370DE15">
            <w:pPr>
              <w:pStyle w:val="12"/>
              <w:tabs>
                <w:tab w:val="left" w:pos="993"/>
              </w:tabs>
              <w:spacing w:line="240" w:lineRule="auto"/>
              <w:rPr>
                <w:bCs/>
                <w:color w:val="000000"/>
                <w:sz w:val="18"/>
                <w:szCs w:val="18"/>
              </w:rPr>
            </w:pPr>
            <w:r>
              <w:rPr>
                <w:bCs/>
                <w:color w:val="000000"/>
                <w:sz w:val="18"/>
                <w:szCs w:val="18"/>
              </w:rPr>
              <w:t>三氯乙烯</w:t>
            </w:r>
          </w:p>
        </w:tc>
        <w:tc>
          <w:tcPr>
            <w:tcW w:w="722" w:type="dxa"/>
            <w:vAlign w:val="center"/>
          </w:tcPr>
          <w:p w14:paraId="75133EA1">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0216E530">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78CC1F2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033346AE">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0338D64E">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3A5401B">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28997306">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2C806A1">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2AB5CA6D">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4910F6E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71753F27">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536AC969">
            <w:pPr>
              <w:pStyle w:val="12"/>
              <w:tabs>
                <w:tab w:val="left" w:pos="993"/>
              </w:tabs>
              <w:spacing w:line="240" w:lineRule="auto"/>
              <w:rPr>
                <w:bCs/>
                <w:color w:val="000000"/>
                <w:sz w:val="18"/>
                <w:szCs w:val="18"/>
              </w:rPr>
            </w:pPr>
            <w:r>
              <w:rPr>
                <w:bCs/>
                <w:color w:val="000000"/>
                <w:sz w:val="18"/>
                <w:szCs w:val="18"/>
              </w:rPr>
              <w:t>2.8</w:t>
            </w:r>
          </w:p>
        </w:tc>
        <w:tc>
          <w:tcPr>
            <w:tcW w:w="989" w:type="dxa"/>
            <w:vAlign w:val="center"/>
          </w:tcPr>
          <w:p w14:paraId="71732B2E">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1F03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195D363B">
            <w:pPr>
              <w:pStyle w:val="12"/>
              <w:tabs>
                <w:tab w:val="left" w:pos="993"/>
              </w:tabs>
              <w:spacing w:line="240" w:lineRule="auto"/>
              <w:rPr>
                <w:bCs/>
                <w:color w:val="000000"/>
                <w:sz w:val="18"/>
                <w:szCs w:val="18"/>
              </w:rPr>
            </w:pPr>
          </w:p>
        </w:tc>
        <w:tc>
          <w:tcPr>
            <w:tcW w:w="759" w:type="dxa"/>
            <w:vMerge w:val="continue"/>
            <w:vAlign w:val="center"/>
          </w:tcPr>
          <w:p w14:paraId="52894012">
            <w:pPr>
              <w:pStyle w:val="12"/>
              <w:tabs>
                <w:tab w:val="left" w:pos="993"/>
              </w:tabs>
              <w:spacing w:line="240" w:lineRule="auto"/>
              <w:rPr>
                <w:bCs/>
                <w:color w:val="000000"/>
                <w:sz w:val="18"/>
                <w:szCs w:val="18"/>
              </w:rPr>
            </w:pPr>
          </w:p>
        </w:tc>
        <w:tc>
          <w:tcPr>
            <w:tcW w:w="495" w:type="dxa"/>
            <w:vAlign w:val="center"/>
          </w:tcPr>
          <w:p w14:paraId="5EF09479">
            <w:pPr>
              <w:pStyle w:val="12"/>
              <w:tabs>
                <w:tab w:val="left" w:pos="993"/>
              </w:tabs>
              <w:spacing w:line="240" w:lineRule="auto"/>
              <w:rPr>
                <w:bCs/>
                <w:color w:val="000000"/>
                <w:sz w:val="18"/>
                <w:szCs w:val="18"/>
              </w:rPr>
            </w:pPr>
            <w:r>
              <w:rPr>
                <w:bCs/>
                <w:color w:val="000000"/>
                <w:sz w:val="18"/>
                <w:szCs w:val="18"/>
              </w:rPr>
              <w:t>24</w:t>
            </w:r>
          </w:p>
        </w:tc>
        <w:tc>
          <w:tcPr>
            <w:tcW w:w="1858" w:type="dxa"/>
            <w:vAlign w:val="center"/>
          </w:tcPr>
          <w:p w14:paraId="3D17F6BC">
            <w:pPr>
              <w:pStyle w:val="12"/>
              <w:tabs>
                <w:tab w:val="left" w:pos="993"/>
              </w:tabs>
              <w:spacing w:line="240" w:lineRule="auto"/>
              <w:rPr>
                <w:bCs/>
                <w:color w:val="000000"/>
                <w:sz w:val="18"/>
                <w:szCs w:val="18"/>
              </w:rPr>
            </w:pPr>
            <w:r>
              <w:rPr>
                <w:bCs/>
                <w:color w:val="000000"/>
                <w:sz w:val="18"/>
                <w:szCs w:val="18"/>
              </w:rPr>
              <w:t>1,2,3-三氯丙烷</w:t>
            </w:r>
          </w:p>
        </w:tc>
        <w:tc>
          <w:tcPr>
            <w:tcW w:w="722" w:type="dxa"/>
            <w:vAlign w:val="center"/>
          </w:tcPr>
          <w:p w14:paraId="43FE38D5">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1CAA2917">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6E4D63EB">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6D0D6A8">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892DBDC">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DCCDE2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5BE859BA">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5D281959">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0486AC05">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61DCC758">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234CF9F8">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36BCFE1A">
            <w:pPr>
              <w:pStyle w:val="12"/>
              <w:tabs>
                <w:tab w:val="left" w:pos="993"/>
              </w:tabs>
              <w:spacing w:line="240" w:lineRule="auto"/>
              <w:rPr>
                <w:bCs/>
                <w:color w:val="000000"/>
                <w:sz w:val="18"/>
                <w:szCs w:val="18"/>
              </w:rPr>
            </w:pPr>
            <w:r>
              <w:rPr>
                <w:bCs/>
                <w:color w:val="000000"/>
                <w:sz w:val="18"/>
                <w:szCs w:val="18"/>
              </w:rPr>
              <w:t>0.5</w:t>
            </w:r>
          </w:p>
        </w:tc>
        <w:tc>
          <w:tcPr>
            <w:tcW w:w="989" w:type="dxa"/>
            <w:vAlign w:val="center"/>
          </w:tcPr>
          <w:p w14:paraId="03D64F31">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5AA8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626BBB2B">
            <w:pPr>
              <w:pStyle w:val="12"/>
              <w:tabs>
                <w:tab w:val="left" w:pos="993"/>
              </w:tabs>
              <w:spacing w:line="240" w:lineRule="auto"/>
              <w:rPr>
                <w:bCs/>
                <w:color w:val="000000"/>
                <w:sz w:val="18"/>
                <w:szCs w:val="18"/>
              </w:rPr>
            </w:pPr>
          </w:p>
        </w:tc>
        <w:tc>
          <w:tcPr>
            <w:tcW w:w="759" w:type="dxa"/>
            <w:vMerge w:val="continue"/>
            <w:vAlign w:val="center"/>
          </w:tcPr>
          <w:p w14:paraId="6DC24A14">
            <w:pPr>
              <w:pStyle w:val="12"/>
              <w:tabs>
                <w:tab w:val="left" w:pos="993"/>
              </w:tabs>
              <w:spacing w:line="240" w:lineRule="auto"/>
              <w:rPr>
                <w:bCs/>
                <w:color w:val="000000"/>
                <w:sz w:val="18"/>
                <w:szCs w:val="18"/>
              </w:rPr>
            </w:pPr>
          </w:p>
        </w:tc>
        <w:tc>
          <w:tcPr>
            <w:tcW w:w="495" w:type="dxa"/>
            <w:vAlign w:val="center"/>
          </w:tcPr>
          <w:p w14:paraId="575B884E">
            <w:pPr>
              <w:pStyle w:val="12"/>
              <w:tabs>
                <w:tab w:val="left" w:pos="993"/>
              </w:tabs>
              <w:spacing w:line="240" w:lineRule="auto"/>
              <w:rPr>
                <w:bCs/>
                <w:color w:val="000000"/>
                <w:sz w:val="18"/>
                <w:szCs w:val="18"/>
              </w:rPr>
            </w:pPr>
            <w:r>
              <w:rPr>
                <w:bCs/>
                <w:color w:val="000000"/>
                <w:sz w:val="18"/>
                <w:szCs w:val="18"/>
              </w:rPr>
              <w:t>25</w:t>
            </w:r>
          </w:p>
        </w:tc>
        <w:tc>
          <w:tcPr>
            <w:tcW w:w="1858" w:type="dxa"/>
            <w:vAlign w:val="center"/>
          </w:tcPr>
          <w:p w14:paraId="146762E9">
            <w:pPr>
              <w:pStyle w:val="12"/>
              <w:tabs>
                <w:tab w:val="left" w:pos="993"/>
              </w:tabs>
              <w:spacing w:line="240" w:lineRule="auto"/>
              <w:rPr>
                <w:bCs/>
                <w:color w:val="000000"/>
                <w:sz w:val="18"/>
                <w:szCs w:val="18"/>
              </w:rPr>
            </w:pPr>
            <w:r>
              <w:rPr>
                <w:bCs/>
                <w:color w:val="000000"/>
                <w:sz w:val="18"/>
                <w:szCs w:val="18"/>
              </w:rPr>
              <w:t>氯乙烯</w:t>
            </w:r>
          </w:p>
        </w:tc>
        <w:tc>
          <w:tcPr>
            <w:tcW w:w="722" w:type="dxa"/>
            <w:vAlign w:val="center"/>
          </w:tcPr>
          <w:p w14:paraId="2F0F80A7">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32F24BDF">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39A171AD">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241886C">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3429062">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16C79F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569EEAE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F3776F2">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1542A31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250D81C7">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2D07162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46F5A998">
            <w:pPr>
              <w:pStyle w:val="12"/>
              <w:tabs>
                <w:tab w:val="left" w:pos="993"/>
              </w:tabs>
              <w:spacing w:line="240" w:lineRule="auto"/>
              <w:rPr>
                <w:bCs/>
                <w:color w:val="000000"/>
                <w:sz w:val="18"/>
                <w:szCs w:val="18"/>
              </w:rPr>
            </w:pPr>
            <w:r>
              <w:rPr>
                <w:bCs/>
                <w:color w:val="000000"/>
                <w:sz w:val="18"/>
                <w:szCs w:val="18"/>
              </w:rPr>
              <w:t>0.43</w:t>
            </w:r>
          </w:p>
        </w:tc>
        <w:tc>
          <w:tcPr>
            <w:tcW w:w="989" w:type="dxa"/>
            <w:vAlign w:val="center"/>
          </w:tcPr>
          <w:p w14:paraId="36A15818">
            <w:pPr>
              <w:pStyle w:val="12"/>
              <w:tabs>
                <w:tab w:val="left" w:pos="993"/>
              </w:tabs>
              <w:spacing w:line="240" w:lineRule="auto"/>
              <w:rPr>
                <w:color w:val="000000"/>
                <w:sz w:val="21"/>
                <w:szCs w:val="21"/>
              </w:rPr>
            </w:pPr>
            <w:r>
              <w:rPr>
                <w:bCs/>
                <w:color w:val="000000"/>
                <w:sz w:val="18"/>
                <w:szCs w:val="18"/>
              </w:rPr>
              <w:t>25</w:t>
            </w:r>
          </w:p>
        </w:tc>
      </w:tr>
      <w:tr w14:paraId="7EFB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22961E3F">
            <w:pPr>
              <w:pStyle w:val="12"/>
              <w:tabs>
                <w:tab w:val="left" w:pos="993"/>
              </w:tabs>
              <w:spacing w:line="240" w:lineRule="auto"/>
              <w:rPr>
                <w:bCs/>
                <w:color w:val="000000"/>
                <w:sz w:val="18"/>
                <w:szCs w:val="18"/>
              </w:rPr>
            </w:pPr>
          </w:p>
        </w:tc>
        <w:tc>
          <w:tcPr>
            <w:tcW w:w="759" w:type="dxa"/>
            <w:vMerge w:val="continue"/>
            <w:vAlign w:val="center"/>
          </w:tcPr>
          <w:p w14:paraId="2114699B">
            <w:pPr>
              <w:pStyle w:val="12"/>
              <w:tabs>
                <w:tab w:val="left" w:pos="993"/>
              </w:tabs>
              <w:spacing w:line="240" w:lineRule="auto"/>
              <w:rPr>
                <w:bCs/>
                <w:color w:val="000000"/>
                <w:sz w:val="18"/>
                <w:szCs w:val="18"/>
              </w:rPr>
            </w:pPr>
          </w:p>
        </w:tc>
        <w:tc>
          <w:tcPr>
            <w:tcW w:w="495" w:type="dxa"/>
            <w:vAlign w:val="center"/>
          </w:tcPr>
          <w:p w14:paraId="2E3D9657">
            <w:pPr>
              <w:pStyle w:val="12"/>
              <w:tabs>
                <w:tab w:val="left" w:pos="993"/>
              </w:tabs>
              <w:spacing w:line="240" w:lineRule="auto"/>
              <w:rPr>
                <w:bCs/>
                <w:color w:val="000000"/>
                <w:sz w:val="18"/>
                <w:szCs w:val="18"/>
              </w:rPr>
            </w:pPr>
            <w:r>
              <w:rPr>
                <w:bCs/>
                <w:color w:val="000000"/>
                <w:sz w:val="18"/>
                <w:szCs w:val="18"/>
              </w:rPr>
              <w:t>26</w:t>
            </w:r>
          </w:p>
        </w:tc>
        <w:tc>
          <w:tcPr>
            <w:tcW w:w="1858" w:type="dxa"/>
            <w:vAlign w:val="center"/>
          </w:tcPr>
          <w:p w14:paraId="39231F73">
            <w:pPr>
              <w:pStyle w:val="12"/>
              <w:tabs>
                <w:tab w:val="left" w:pos="993"/>
              </w:tabs>
              <w:spacing w:line="240" w:lineRule="auto"/>
              <w:rPr>
                <w:bCs/>
                <w:color w:val="000000"/>
                <w:sz w:val="18"/>
                <w:szCs w:val="18"/>
              </w:rPr>
            </w:pPr>
            <w:r>
              <w:rPr>
                <w:bCs/>
                <w:color w:val="000000"/>
                <w:sz w:val="18"/>
                <w:szCs w:val="18"/>
              </w:rPr>
              <w:t>苯</w:t>
            </w:r>
          </w:p>
        </w:tc>
        <w:tc>
          <w:tcPr>
            <w:tcW w:w="722" w:type="dxa"/>
            <w:vAlign w:val="center"/>
          </w:tcPr>
          <w:p w14:paraId="28811EBD">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4FA5DA35">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222E47CA">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920EF6A">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11D4644">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D4D4409">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2684244A">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3A6FF22">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0F0B8F2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6A98EA97">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45899884">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17580C96">
            <w:pPr>
              <w:pStyle w:val="12"/>
              <w:tabs>
                <w:tab w:val="left" w:pos="993"/>
              </w:tabs>
              <w:spacing w:line="240" w:lineRule="auto"/>
              <w:rPr>
                <w:bCs/>
                <w:color w:val="000000"/>
                <w:sz w:val="18"/>
                <w:szCs w:val="18"/>
              </w:rPr>
            </w:pPr>
            <w:r>
              <w:rPr>
                <w:bCs/>
                <w:color w:val="000000"/>
                <w:sz w:val="18"/>
                <w:szCs w:val="18"/>
              </w:rPr>
              <w:t>4</w:t>
            </w:r>
          </w:p>
        </w:tc>
        <w:tc>
          <w:tcPr>
            <w:tcW w:w="989" w:type="dxa"/>
            <w:vAlign w:val="center"/>
          </w:tcPr>
          <w:p w14:paraId="0C46A5CB">
            <w:pPr>
              <w:pStyle w:val="12"/>
              <w:tabs>
                <w:tab w:val="left" w:pos="993"/>
              </w:tabs>
              <w:spacing w:line="240" w:lineRule="auto"/>
              <w:rPr>
                <w:color w:val="000000"/>
                <w:sz w:val="21"/>
                <w:szCs w:val="21"/>
              </w:rPr>
            </w:pPr>
            <w:r>
              <w:rPr>
                <w:bCs/>
                <w:color w:val="000000"/>
                <w:sz w:val="18"/>
                <w:szCs w:val="18"/>
              </w:rPr>
              <w:t>26</w:t>
            </w:r>
          </w:p>
        </w:tc>
      </w:tr>
      <w:tr w14:paraId="4FB1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0BD5A7B1">
            <w:pPr>
              <w:pStyle w:val="12"/>
              <w:tabs>
                <w:tab w:val="left" w:pos="993"/>
              </w:tabs>
              <w:spacing w:line="240" w:lineRule="auto"/>
              <w:rPr>
                <w:bCs/>
                <w:color w:val="000000"/>
                <w:sz w:val="18"/>
                <w:szCs w:val="18"/>
              </w:rPr>
            </w:pPr>
          </w:p>
        </w:tc>
        <w:tc>
          <w:tcPr>
            <w:tcW w:w="759" w:type="dxa"/>
            <w:vMerge w:val="continue"/>
            <w:vAlign w:val="center"/>
          </w:tcPr>
          <w:p w14:paraId="2BE22030">
            <w:pPr>
              <w:pStyle w:val="12"/>
              <w:tabs>
                <w:tab w:val="left" w:pos="993"/>
              </w:tabs>
              <w:spacing w:line="240" w:lineRule="auto"/>
              <w:rPr>
                <w:bCs/>
                <w:color w:val="000000"/>
                <w:sz w:val="18"/>
                <w:szCs w:val="18"/>
              </w:rPr>
            </w:pPr>
          </w:p>
        </w:tc>
        <w:tc>
          <w:tcPr>
            <w:tcW w:w="495" w:type="dxa"/>
            <w:vAlign w:val="center"/>
          </w:tcPr>
          <w:p w14:paraId="1E7DA27A">
            <w:pPr>
              <w:pStyle w:val="12"/>
              <w:tabs>
                <w:tab w:val="left" w:pos="993"/>
              </w:tabs>
              <w:spacing w:line="240" w:lineRule="auto"/>
              <w:rPr>
                <w:bCs/>
                <w:color w:val="000000"/>
                <w:sz w:val="18"/>
                <w:szCs w:val="18"/>
              </w:rPr>
            </w:pPr>
            <w:r>
              <w:rPr>
                <w:bCs/>
                <w:color w:val="000000"/>
                <w:sz w:val="18"/>
                <w:szCs w:val="18"/>
              </w:rPr>
              <w:t>27</w:t>
            </w:r>
          </w:p>
        </w:tc>
        <w:tc>
          <w:tcPr>
            <w:tcW w:w="1858" w:type="dxa"/>
            <w:vAlign w:val="center"/>
          </w:tcPr>
          <w:p w14:paraId="663203DB">
            <w:pPr>
              <w:pStyle w:val="12"/>
              <w:tabs>
                <w:tab w:val="left" w:pos="993"/>
              </w:tabs>
              <w:spacing w:line="240" w:lineRule="auto"/>
              <w:rPr>
                <w:bCs/>
                <w:color w:val="000000"/>
                <w:sz w:val="18"/>
                <w:szCs w:val="18"/>
              </w:rPr>
            </w:pPr>
            <w:r>
              <w:rPr>
                <w:bCs/>
                <w:color w:val="000000"/>
                <w:sz w:val="18"/>
                <w:szCs w:val="18"/>
              </w:rPr>
              <w:t>氯苯</w:t>
            </w:r>
          </w:p>
        </w:tc>
        <w:tc>
          <w:tcPr>
            <w:tcW w:w="722" w:type="dxa"/>
            <w:vAlign w:val="center"/>
          </w:tcPr>
          <w:p w14:paraId="79B178A4">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70A41B22">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2AC64E68">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81DA5FE">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0C7871C5">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701EBC6">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1484C3DC">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FB724C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1337BAF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0BD80449">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6C49CF6B">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16CE422E">
            <w:pPr>
              <w:pStyle w:val="12"/>
              <w:tabs>
                <w:tab w:val="left" w:pos="993"/>
              </w:tabs>
              <w:spacing w:line="240" w:lineRule="auto"/>
              <w:rPr>
                <w:bCs/>
                <w:color w:val="000000"/>
                <w:sz w:val="18"/>
                <w:szCs w:val="18"/>
              </w:rPr>
            </w:pPr>
            <w:r>
              <w:rPr>
                <w:bCs/>
                <w:color w:val="000000"/>
                <w:sz w:val="18"/>
                <w:szCs w:val="18"/>
              </w:rPr>
              <w:t>270</w:t>
            </w:r>
          </w:p>
        </w:tc>
        <w:tc>
          <w:tcPr>
            <w:tcW w:w="989" w:type="dxa"/>
            <w:vAlign w:val="center"/>
          </w:tcPr>
          <w:p w14:paraId="0938321B">
            <w:pPr>
              <w:pStyle w:val="12"/>
              <w:shd w:val="clear" w:color="FFFFFF" w:fill="auto"/>
              <w:tabs>
                <w:tab w:val="left" w:pos="993"/>
              </w:tabs>
              <w:spacing w:line="240" w:lineRule="auto"/>
              <w:rPr>
                <w:color w:val="000000"/>
                <w:sz w:val="21"/>
                <w:szCs w:val="21"/>
              </w:rPr>
            </w:pPr>
            <w:r>
              <w:rPr>
                <w:bCs/>
                <w:color w:val="000000"/>
                <w:sz w:val="18"/>
                <w:szCs w:val="18"/>
              </w:rPr>
              <w:t>＜1</w:t>
            </w:r>
          </w:p>
        </w:tc>
      </w:tr>
      <w:tr w14:paraId="467F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14410372">
            <w:pPr>
              <w:pStyle w:val="12"/>
              <w:tabs>
                <w:tab w:val="left" w:pos="993"/>
              </w:tabs>
              <w:spacing w:line="240" w:lineRule="auto"/>
              <w:rPr>
                <w:bCs/>
                <w:color w:val="000000"/>
                <w:sz w:val="18"/>
                <w:szCs w:val="18"/>
              </w:rPr>
            </w:pPr>
          </w:p>
        </w:tc>
        <w:tc>
          <w:tcPr>
            <w:tcW w:w="759" w:type="dxa"/>
            <w:vMerge w:val="continue"/>
            <w:vAlign w:val="center"/>
          </w:tcPr>
          <w:p w14:paraId="0836C06B">
            <w:pPr>
              <w:pStyle w:val="12"/>
              <w:tabs>
                <w:tab w:val="left" w:pos="993"/>
              </w:tabs>
              <w:spacing w:line="240" w:lineRule="auto"/>
              <w:rPr>
                <w:bCs/>
                <w:color w:val="000000"/>
                <w:sz w:val="18"/>
                <w:szCs w:val="18"/>
              </w:rPr>
            </w:pPr>
          </w:p>
        </w:tc>
        <w:tc>
          <w:tcPr>
            <w:tcW w:w="495" w:type="dxa"/>
            <w:vAlign w:val="center"/>
          </w:tcPr>
          <w:p w14:paraId="6DB13C7D">
            <w:pPr>
              <w:pStyle w:val="12"/>
              <w:tabs>
                <w:tab w:val="left" w:pos="993"/>
              </w:tabs>
              <w:spacing w:line="240" w:lineRule="auto"/>
              <w:rPr>
                <w:bCs/>
                <w:color w:val="000000"/>
                <w:sz w:val="18"/>
                <w:szCs w:val="18"/>
              </w:rPr>
            </w:pPr>
            <w:r>
              <w:rPr>
                <w:bCs/>
                <w:color w:val="000000"/>
                <w:sz w:val="18"/>
                <w:szCs w:val="18"/>
              </w:rPr>
              <w:t>28</w:t>
            </w:r>
          </w:p>
        </w:tc>
        <w:tc>
          <w:tcPr>
            <w:tcW w:w="1858" w:type="dxa"/>
            <w:vAlign w:val="center"/>
          </w:tcPr>
          <w:p w14:paraId="3BF0CE76">
            <w:pPr>
              <w:pStyle w:val="12"/>
              <w:tabs>
                <w:tab w:val="left" w:pos="993"/>
              </w:tabs>
              <w:spacing w:line="240" w:lineRule="auto"/>
              <w:rPr>
                <w:bCs/>
                <w:color w:val="000000"/>
                <w:sz w:val="18"/>
                <w:szCs w:val="18"/>
              </w:rPr>
            </w:pPr>
            <w:r>
              <w:rPr>
                <w:bCs/>
                <w:color w:val="000000"/>
                <w:sz w:val="18"/>
                <w:szCs w:val="18"/>
              </w:rPr>
              <w:t>1,2-二氯苯</w:t>
            </w:r>
          </w:p>
        </w:tc>
        <w:tc>
          <w:tcPr>
            <w:tcW w:w="722" w:type="dxa"/>
            <w:vAlign w:val="center"/>
          </w:tcPr>
          <w:p w14:paraId="5BABF0DD">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5656568B">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6F8C5E05">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5F969A7B">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9E10AD9">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916723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34305A3E">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3054625">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45BB9200">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188596EF">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62B3F113">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12E65A4F">
            <w:pPr>
              <w:pStyle w:val="12"/>
              <w:tabs>
                <w:tab w:val="left" w:pos="993"/>
              </w:tabs>
              <w:spacing w:line="240" w:lineRule="auto"/>
              <w:rPr>
                <w:bCs/>
                <w:color w:val="000000"/>
                <w:sz w:val="18"/>
                <w:szCs w:val="18"/>
              </w:rPr>
            </w:pPr>
            <w:r>
              <w:rPr>
                <w:bCs/>
                <w:color w:val="000000"/>
                <w:sz w:val="18"/>
                <w:szCs w:val="18"/>
              </w:rPr>
              <w:t>560</w:t>
            </w:r>
          </w:p>
        </w:tc>
        <w:tc>
          <w:tcPr>
            <w:tcW w:w="989" w:type="dxa"/>
            <w:vAlign w:val="center"/>
          </w:tcPr>
          <w:p w14:paraId="40A429F1">
            <w:pPr>
              <w:pStyle w:val="12"/>
              <w:shd w:val="clear" w:color="FFFFFF" w:fill="auto"/>
              <w:tabs>
                <w:tab w:val="left" w:pos="993"/>
              </w:tabs>
              <w:spacing w:line="240" w:lineRule="auto"/>
              <w:rPr>
                <w:color w:val="000000"/>
                <w:sz w:val="21"/>
                <w:szCs w:val="21"/>
              </w:rPr>
            </w:pPr>
            <w:r>
              <w:rPr>
                <w:bCs/>
                <w:color w:val="000000"/>
                <w:sz w:val="18"/>
                <w:szCs w:val="18"/>
              </w:rPr>
              <w:t>＜1</w:t>
            </w:r>
          </w:p>
        </w:tc>
      </w:tr>
      <w:tr w14:paraId="7C46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385B8AF7">
            <w:pPr>
              <w:pStyle w:val="12"/>
              <w:tabs>
                <w:tab w:val="left" w:pos="993"/>
              </w:tabs>
              <w:spacing w:line="240" w:lineRule="auto"/>
              <w:rPr>
                <w:bCs/>
                <w:color w:val="000000"/>
                <w:sz w:val="18"/>
                <w:szCs w:val="18"/>
              </w:rPr>
            </w:pPr>
          </w:p>
        </w:tc>
        <w:tc>
          <w:tcPr>
            <w:tcW w:w="759" w:type="dxa"/>
            <w:vMerge w:val="continue"/>
            <w:vAlign w:val="center"/>
          </w:tcPr>
          <w:p w14:paraId="282CDAD1">
            <w:pPr>
              <w:pStyle w:val="12"/>
              <w:tabs>
                <w:tab w:val="left" w:pos="993"/>
              </w:tabs>
              <w:spacing w:line="240" w:lineRule="auto"/>
              <w:rPr>
                <w:bCs/>
                <w:color w:val="000000"/>
                <w:sz w:val="18"/>
                <w:szCs w:val="18"/>
              </w:rPr>
            </w:pPr>
          </w:p>
        </w:tc>
        <w:tc>
          <w:tcPr>
            <w:tcW w:w="495" w:type="dxa"/>
            <w:vAlign w:val="center"/>
          </w:tcPr>
          <w:p w14:paraId="5F8E08D7">
            <w:pPr>
              <w:pStyle w:val="12"/>
              <w:tabs>
                <w:tab w:val="left" w:pos="993"/>
              </w:tabs>
              <w:spacing w:line="240" w:lineRule="auto"/>
              <w:rPr>
                <w:bCs/>
                <w:color w:val="000000"/>
                <w:sz w:val="18"/>
                <w:szCs w:val="18"/>
              </w:rPr>
            </w:pPr>
            <w:r>
              <w:rPr>
                <w:bCs/>
                <w:color w:val="000000"/>
                <w:sz w:val="18"/>
                <w:szCs w:val="18"/>
              </w:rPr>
              <w:t>29</w:t>
            </w:r>
          </w:p>
        </w:tc>
        <w:tc>
          <w:tcPr>
            <w:tcW w:w="1858" w:type="dxa"/>
            <w:vAlign w:val="center"/>
          </w:tcPr>
          <w:p w14:paraId="0CFBB246">
            <w:pPr>
              <w:pStyle w:val="12"/>
              <w:tabs>
                <w:tab w:val="left" w:pos="993"/>
              </w:tabs>
              <w:spacing w:line="240" w:lineRule="auto"/>
              <w:rPr>
                <w:bCs/>
                <w:color w:val="000000"/>
                <w:sz w:val="18"/>
                <w:szCs w:val="18"/>
              </w:rPr>
            </w:pPr>
            <w:r>
              <w:rPr>
                <w:bCs/>
                <w:color w:val="000000"/>
                <w:sz w:val="18"/>
                <w:szCs w:val="18"/>
              </w:rPr>
              <w:t>1,4-二氯苯</w:t>
            </w:r>
          </w:p>
        </w:tc>
        <w:tc>
          <w:tcPr>
            <w:tcW w:w="722" w:type="dxa"/>
            <w:vAlign w:val="center"/>
          </w:tcPr>
          <w:p w14:paraId="74D5D4C2">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1E17A266">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620B7FF2">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C7957B5">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28FB3D0">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B95DA0C">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518194CA">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AC4BB05">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1C0BC06D">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21AAD42D">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7EC96EF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4521E96B">
            <w:pPr>
              <w:pStyle w:val="12"/>
              <w:tabs>
                <w:tab w:val="left" w:pos="993"/>
              </w:tabs>
              <w:spacing w:line="240" w:lineRule="auto"/>
              <w:rPr>
                <w:bCs/>
                <w:color w:val="000000"/>
                <w:sz w:val="18"/>
                <w:szCs w:val="18"/>
              </w:rPr>
            </w:pPr>
            <w:r>
              <w:rPr>
                <w:bCs/>
                <w:color w:val="000000"/>
                <w:sz w:val="18"/>
                <w:szCs w:val="18"/>
              </w:rPr>
              <w:t>20</w:t>
            </w:r>
          </w:p>
        </w:tc>
        <w:tc>
          <w:tcPr>
            <w:tcW w:w="989" w:type="dxa"/>
            <w:vAlign w:val="center"/>
          </w:tcPr>
          <w:p w14:paraId="06727884">
            <w:pPr>
              <w:pStyle w:val="12"/>
              <w:shd w:val="clear" w:color="FFFFFF" w:fill="auto"/>
              <w:tabs>
                <w:tab w:val="left" w:pos="993"/>
              </w:tabs>
              <w:spacing w:line="240" w:lineRule="auto"/>
              <w:rPr>
                <w:color w:val="000000"/>
                <w:sz w:val="21"/>
                <w:szCs w:val="21"/>
              </w:rPr>
            </w:pPr>
            <w:r>
              <w:rPr>
                <w:bCs/>
                <w:color w:val="000000"/>
                <w:sz w:val="18"/>
                <w:szCs w:val="18"/>
              </w:rPr>
              <w:t>＜1</w:t>
            </w:r>
          </w:p>
        </w:tc>
      </w:tr>
      <w:tr w14:paraId="000D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1C292A99">
            <w:pPr>
              <w:pStyle w:val="12"/>
              <w:tabs>
                <w:tab w:val="left" w:pos="993"/>
              </w:tabs>
              <w:spacing w:line="240" w:lineRule="auto"/>
              <w:rPr>
                <w:bCs/>
                <w:color w:val="000000"/>
                <w:sz w:val="18"/>
                <w:szCs w:val="18"/>
              </w:rPr>
            </w:pPr>
          </w:p>
        </w:tc>
        <w:tc>
          <w:tcPr>
            <w:tcW w:w="759" w:type="dxa"/>
            <w:vMerge w:val="continue"/>
            <w:vAlign w:val="center"/>
          </w:tcPr>
          <w:p w14:paraId="2954304B">
            <w:pPr>
              <w:pStyle w:val="12"/>
              <w:tabs>
                <w:tab w:val="left" w:pos="993"/>
              </w:tabs>
              <w:spacing w:line="240" w:lineRule="auto"/>
              <w:rPr>
                <w:bCs/>
                <w:color w:val="000000"/>
                <w:sz w:val="18"/>
                <w:szCs w:val="18"/>
              </w:rPr>
            </w:pPr>
          </w:p>
        </w:tc>
        <w:tc>
          <w:tcPr>
            <w:tcW w:w="495" w:type="dxa"/>
            <w:vAlign w:val="center"/>
          </w:tcPr>
          <w:p w14:paraId="0DEB1939">
            <w:pPr>
              <w:pStyle w:val="12"/>
              <w:tabs>
                <w:tab w:val="left" w:pos="993"/>
              </w:tabs>
              <w:spacing w:line="240" w:lineRule="auto"/>
              <w:rPr>
                <w:bCs/>
                <w:color w:val="000000"/>
                <w:sz w:val="18"/>
                <w:szCs w:val="18"/>
              </w:rPr>
            </w:pPr>
            <w:r>
              <w:rPr>
                <w:bCs/>
                <w:color w:val="000000"/>
                <w:sz w:val="18"/>
                <w:szCs w:val="18"/>
              </w:rPr>
              <w:t>30</w:t>
            </w:r>
          </w:p>
        </w:tc>
        <w:tc>
          <w:tcPr>
            <w:tcW w:w="1858" w:type="dxa"/>
            <w:vAlign w:val="center"/>
          </w:tcPr>
          <w:p w14:paraId="66C95BF2">
            <w:pPr>
              <w:pStyle w:val="12"/>
              <w:tabs>
                <w:tab w:val="left" w:pos="993"/>
              </w:tabs>
              <w:spacing w:line="240" w:lineRule="auto"/>
              <w:rPr>
                <w:bCs/>
                <w:color w:val="000000"/>
                <w:sz w:val="18"/>
                <w:szCs w:val="18"/>
              </w:rPr>
            </w:pPr>
            <w:r>
              <w:rPr>
                <w:bCs/>
                <w:color w:val="000000"/>
                <w:sz w:val="18"/>
                <w:szCs w:val="18"/>
              </w:rPr>
              <w:t>乙苯</w:t>
            </w:r>
          </w:p>
        </w:tc>
        <w:tc>
          <w:tcPr>
            <w:tcW w:w="722" w:type="dxa"/>
            <w:vAlign w:val="center"/>
          </w:tcPr>
          <w:p w14:paraId="7B0AC268">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3EE49058">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4C82A308">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C5CD400">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ED11D7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009BBD2">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3848C0C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522C9C16">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06FAE1A0">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1833B1E2">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3A2A354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3C5404AB">
            <w:pPr>
              <w:pStyle w:val="12"/>
              <w:tabs>
                <w:tab w:val="left" w:pos="993"/>
              </w:tabs>
              <w:spacing w:line="240" w:lineRule="auto"/>
              <w:rPr>
                <w:bCs/>
                <w:color w:val="000000"/>
                <w:sz w:val="18"/>
                <w:szCs w:val="18"/>
              </w:rPr>
            </w:pPr>
            <w:r>
              <w:rPr>
                <w:bCs/>
                <w:color w:val="000000"/>
                <w:sz w:val="18"/>
                <w:szCs w:val="18"/>
              </w:rPr>
              <w:t>28</w:t>
            </w:r>
          </w:p>
        </w:tc>
        <w:tc>
          <w:tcPr>
            <w:tcW w:w="989" w:type="dxa"/>
            <w:vAlign w:val="center"/>
          </w:tcPr>
          <w:p w14:paraId="1851F15C">
            <w:pPr>
              <w:pStyle w:val="12"/>
              <w:shd w:val="clear" w:color="FFFFFF" w:fill="auto"/>
              <w:tabs>
                <w:tab w:val="left" w:pos="993"/>
              </w:tabs>
              <w:spacing w:line="240" w:lineRule="auto"/>
              <w:rPr>
                <w:color w:val="000000"/>
                <w:sz w:val="21"/>
                <w:szCs w:val="21"/>
              </w:rPr>
            </w:pPr>
            <w:r>
              <w:rPr>
                <w:bCs/>
                <w:color w:val="000000"/>
                <w:sz w:val="18"/>
                <w:szCs w:val="18"/>
              </w:rPr>
              <w:t>＜1</w:t>
            </w:r>
          </w:p>
        </w:tc>
      </w:tr>
      <w:tr w14:paraId="3C91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537A4F8A">
            <w:pPr>
              <w:pStyle w:val="12"/>
              <w:tabs>
                <w:tab w:val="left" w:pos="993"/>
              </w:tabs>
              <w:spacing w:line="240" w:lineRule="auto"/>
              <w:rPr>
                <w:bCs/>
                <w:color w:val="000000"/>
                <w:sz w:val="18"/>
                <w:szCs w:val="18"/>
              </w:rPr>
            </w:pPr>
          </w:p>
        </w:tc>
        <w:tc>
          <w:tcPr>
            <w:tcW w:w="759" w:type="dxa"/>
            <w:vMerge w:val="continue"/>
            <w:vAlign w:val="center"/>
          </w:tcPr>
          <w:p w14:paraId="0DBE88B0">
            <w:pPr>
              <w:pStyle w:val="12"/>
              <w:tabs>
                <w:tab w:val="left" w:pos="993"/>
              </w:tabs>
              <w:spacing w:line="240" w:lineRule="auto"/>
              <w:rPr>
                <w:bCs/>
                <w:color w:val="000000"/>
                <w:sz w:val="18"/>
                <w:szCs w:val="18"/>
              </w:rPr>
            </w:pPr>
          </w:p>
        </w:tc>
        <w:tc>
          <w:tcPr>
            <w:tcW w:w="495" w:type="dxa"/>
            <w:vAlign w:val="center"/>
          </w:tcPr>
          <w:p w14:paraId="05E6C235">
            <w:pPr>
              <w:pStyle w:val="12"/>
              <w:tabs>
                <w:tab w:val="left" w:pos="993"/>
              </w:tabs>
              <w:spacing w:line="240" w:lineRule="auto"/>
              <w:rPr>
                <w:bCs/>
                <w:color w:val="000000"/>
                <w:sz w:val="18"/>
                <w:szCs w:val="18"/>
              </w:rPr>
            </w:pPr>
            <w:r>
              <w:rPr>
                <w:bCs/>
                <w:color w:val="000000"/>
                <w:sz w:val="18"/>
                <w:szCs w:val="18"/>
              </w:rPr>
              <w:t>31</w:t>
            </w:r>
          </w:p>
        </w:tc>
        <w:tc>
          <w:tcPr>
            <w:tcW w:w="1858" w:type="dxa"/>
            <w:vAlign w:val="center"/>
          </w:tcPr>
          <w:p w14:paraId="04E55484">
            <w:pPr>
              <w:pStyle w:val="12"/>
              <w:tabs>
                <w:tab w:val="left" w:pos="993"/>
              </w:tabs>
              <w:spacing w:line="240" w:lineRule="auto"/>
              <w:rPr>
                <w:bCs/>
                <w:color w:val="000000"/>
                <w:sz w:val="18"/>
                <w:szCs w:val="18"/>
              </w:rPr>
            </w:pPr>
            <w:r>
              <w:rPr>
                <w:bCs/>
                <w:color w:val="000000"/>
                <w:sz w:val="18"/>
                <w:szCs w:val="18"/>
              </w:rPr>
              <w:t>苯乙烯</w:t>
            </w:r>
          </w:p>
        </w:tc>
        <w:tc>
          <w:tcPr>
            <w:tcW w:w="722" w:type="dxa"/>
            <w:vAlign w:val="center"/>
          </w:tcPr>
          <w:p w14:paraId="0D2CF7E3">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32B46529">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33F73F36">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05A4AED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E32C544">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7EEF5BB">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0666BC96">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309B883">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667BA549">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18C7A27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2A3CEC4F">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0403D58A">
            <w:pPr>
              <w:pStyle w:val="12"/>
              <w:tabs>
                <w:tab w:val="left" w:pos="993"/>
              </w:tabs>
              <w:spacing w:line="240" w:lineRule="auto"/>
              <w:rPr>
                <w:bCs/>
                <w:color w:val="000000"/>
                <w:sz w:val="18"/>
                <w:szCs w:val="18"/>
              </w:rPr>
            </w:pPr>
            <w:r>
              <w:rPr>
                <w:bCs/>
                <w:color w:val="000000"/>
                <w:sz w:val="18"/>
                <w:szCs w:val="18"/>
              </w:rPr>
              <w:t>1290</w:t>
            </w:r>
          </w:p>
        </w:tc>
        <w:tc>
          <w:tcPr>
            <w:tcW w:w="989" w:type="dxa"/>
            <w:vAlign w:val="center"/>
          </w:tcPr>
          <w:p w14:paraId="48A769A4">
            <w:pPr>
              <w:pStyle w:val="12"/>
              <w:shd w:val="clear" w:color="FFFFFF" w:fill="auto"/>
              <w:tabs>
                <w:tab w:val="left" w:pos="993"/>
              </w:tabs>
              <w:spacing w:line="240" w:lineRule="auto"/>
              <w:rPr>
                <w:color w:val="000000"/>
                <w:sz w:val="21"/>
                <w:szCs w:val="21"/>
              </w:rPr>
            </w:pPr>
            <w:r>
              <w:rPr>
                <w:bCs/>
                <w:color w:val="000000"/>
                <w:sz w:val="18"/>
                <w:szCs w:val="18"/>
              </w:rPr>
              <w:t>＜1</w:t>
            </w:r>
          </w:p>
        </w:tc>
      </w:tr>
      <w:tr w14:paraId="11D7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22D50289">
            <w:pPr>
              <w:pStyle w:val="12"/>
              <w:tabs>
                <w:tab w:val="left" w:pos="993"/>
              </w:tabs>
              <w:spacing w:line="240" w:lineRule="auto"/>
              <w:rPr>
                <w:bCs/>
                <w:color w:val="000000"/>
                <w:sz w:val="18"/>
                <w:szCs w:val="18"/>
              </w:rPr>
            </w:pPr>
          </w:p>
        </w:tc>
        <w:tc>
          <w:tcPr>
            <w:tcW w:w="759" w:type="dxa"/>
            <w:vMerge w:val="continue"/>
            <w:vAlign w:val="center"/>
          </w:tcPr>
          <w:p w14:paraId="3D964D0D">
            <w:pPr>
              <w:pStyle w:val="12"/>
              <w:tabs>
                <w:tab w:val="left" w:pos="993"/>
              </w:tabs>
              <w:spacing w:line="240" w:lineRule="auto"/>
              <w:rPr>
                <w:bCs/>
                <w:color w:val="000000"/>
                <w:sz w:val="18"/>
                <w:szCs w:val="18"/>
              </w:rPr>
            </w:pPr>
          </w:p>
        </w:tc>
        <w:tc>
          <w:tcPr>
            <w:tcW w:w="495" w:type="dxa"/>
            <w:vAlign w:val="center"/>
          </w:tcPr>
          <w:p w14:paraId="410ACE5D">
            <w:pPr>
              <w:pStyle w:val="12"/>
              <w:tabs>
                <w:tab w:val="left" w:pos="993"/>
              </w:tabs>
              <w:spacing w:line="240" w:lineRule="auto"/>
              <w:rPr>
                <w:bCs/>
                <w:color w:val="000000"/>
                <w:sz w:val="18"/>
                <w:szCs w:val="18"/>
              </w:rPr>
            </w:pPr>
            <w:r>
              <w:rPr>
                <w:bCs/>
                <w:color w:val="000000"/>
                <w:sz w:val="18"/>
                <w:szCs w:val="18"/>
              </w:rPr>
              <w:t>32</w:t>
            </w:r>
          </w:p>
        </w:tc>
        <w:tc>
          <w:tcPr>
            <w:tcW w:w="1858" w:type="dxa"/>
            <w:vAlign w:val="center"/>
          </w:tcPr>
          <w:p w14:paraId="7E0BEFF9">
            <w:pPr>
              <w:pStyle w:val="12"/>
              <w:tabs>
                <w:tab w:val="left" w:pos="993"/>
              </w:tabs>
              <w:spacing w:line="240" w:lineRule="auto"/>
              <w:rPr>
                <w:bCs/>
                <w:color w:val="000000"/>
                <w:sz w:val="18"/>
                <w:szCs w:val="18"/>
              </w:rPr>
            </w:pPr>
            <w:r>
              <w:rPr>
                <w:bCs/>
                <w:color w:val="000000"/>
                <w:sz w:val="18"/>
                <w:szCs w:val="18"/>
              </w:rPr>
              <w:t>甲苯</w:t>
            </w:r>
          </w:p>
        </w:tc>
        <w:tc>
          <w:tcPr>
            <w:tcW w:w="722" w:type="dxa"/>
            <w:vAlign w:val="center"/>
          </w:tcPr>
          <w:p w14:paraId="1D3E0E44">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705F799E">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4EFA9F2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B3A05F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22B1C70">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50D8D6C">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13E7A91C">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6732CCA">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714F03A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4F6D92A9">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2710E687">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2CB035CF">
            <w:pPr>
              <w:pStyle w:val="12"/>
              <w:tabs>
                <w:tab w:val="left" w:pos="993"/>
              </w:tabs>
              <w:spacing w:line="240" w:lineRule="auto"/>
              <w:rPr>
                <w:bCs/>
                <w:color w:val="000000"/>
                <w:sz w:val="18"/>
                <w:szCs w:val="18"/>
              </w:rPr>
            </w:pPr>
            <w:r>
              <w:rPr>
                <w:bCs/>
                <w:color w:val="000000"/>
                <w:sz w:val="18"/>
                <w:szCs w:val="18"/>
              </w:rPr>
              <w:t>1200</w:t>
            </w:r>
          </w:p>
        </w:tc>
        <w:tc>
          <w:tcPr>
            <w:tcW w:w="989" w:type="dxa"/>
            <w:vAlign w:val="center"/>
          </w:tcPr>
          <w:p w14:paraId="1DB15801">
            <w:pPr>
              <w:pStyle w:val="12"/>
              <w:shd w:val="clear" w:color="FFFFFF" w:fill="auto"/>
              <w:tabs>
                <w:tab w:val="left" w:pos="993"/>
              </w:tabs>
              <w:spacing w:line="240" w:lineRule="auto"/>
              <w:rPr>
                <w:color w:val="000000"/>
                <w:sz w:val="21"/>
                <w:szCs w:val="21"/>
              </w:rPr>
            </w:pPr>
            <w:r>
              <w:rPr>
                <w:bCs/>
                <w:color w:val="000000"/>
                <w:sz w:val="18"/>
                <w:szCs w:val="18"/>
              </w:rPr>
              <w:t>＜1</w:t>
            </w:r>
          </w:p>
        </w:tc>
      </w:tr>
      <w:tr w14:paraId="1E02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44D60416">
            <w:pPr>
              <w:pStyle w:val="12"/>
              <w:tabs>
                <w:tab w:val="left" w:pos="993"/>
              </w:tabs>
              <w:spacing w:line="240" w:lineRule="auto"/>
              <w:rPr>
                <w:bCs/>
                <w:color w:val="000000"/>
                <w:sz w:val="18"/>
                <w:szCs w:val="18"/>
              </w:rPr>
            </w:pPr>
          </w:p>
        </w:tc>
        <w:tc>
          <w:tcPr>
            <w:tcW w:w="759" w:type="dxa"/>
            <w:vMerge w:val="continue"/>
            <w:vAlign w:val="center"/>
          </w:tcPr>
          <w:p w14:paraId="01FC335E">
            <w:pPr>
              <w:pStyle w:val="12"/>
              <w:tabs>
                <w:tab w:val="left" w:pos="993"/>
              </w:tabs>
              <w:spacing w:line="240" w:lineRule="auto"/>
              <w:rPr>
                <w:bCs/>
                <w:color w:val="000000"/>
                <w:sz w:val="18"/>
                <w:szCs w:val="18"/>
              </w:rPr>
            </w:pPr>
          </w:p>
        </w:tc>
        <w:tc>
          <w:tcPr>
            <w:tcW w:w="495" w:type="dxa"/>
            <w:vAlign w:val="center"/>
          </w:tcPr>
          <w:p w14:paraId="763BFD50">
            <w:pPr>
              <w:pStyle w:val="12"/>
              <w:tabs>
                <w:tab w:val="left" w:pos="993"/>
              </w:tabs>
              <w:spacing w:line="240" w:lineRule="auto"/>
              <w:rPr>
                <w:bCs/>
                <w:color w:val="000000"/>
                <w:sz w:val="18"/>
                <w:szCs w:val="18"/>
              </w:rPr>
            </w:pPr>
            <w:r>
              <w:rPr>
                <w:bCs/>
                <w:color w:val="000000"/>
                <w:sz w:val="18"/>
                <w:szCs w:val="18"/>
              </w:rPr>
              <w:t>33</w:t>
            </w:r>
          </w:p>
        </w:tc>
        <w:tc>
          <w:tcPr>
            <w:tcW w:w="1858" w:type="dxa"/>
            <w:vAlign w:val="center"/>
          </w:tcPr>
          <w:p w14:paraId="6D1FF9B2">
            <w:pPr>
              <w:pStyle w:val="12"/>
              <w:tabs>
                <w:tab w:val="left" w:pos="993"/>
              </w:tabs>
              <w:spacing w:line="240" w:lineRule="auto"/>
              <w:rPr>
                <w:bCs/>
                <w:color w:val="000000"/>
                <w:sz w:val="18"/>
                <w:szCs w:val="18"/>
              </w:rPr>
            </w:pPr>
            <w:r>
              <w:rPr>
                <w:bCs/>
                <w:color w:val="000000"/>
                <w:sz w:val="18"/>
                <w:szCs w:val="18"/>
              </w:rPr>
              <w:t>对+间二甲苯</w:t>
            </w:r>
          </w:p>
        </w:tc>
        <w:tc>
          <w:tcPr>
            <w:tcW w:w="722" w:type="dxa"/>
            <w:vAlign w:val="center"/>
          </w:tcPr>
          <w:p w14:paraId="07005489">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465B4B13">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7FEC41C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4ED65E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B63443C">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E52BB1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4BEDBD1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E95EC9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7E2C1CB2">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039C17B7">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6A369A8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25601661">
            <w:pPr>
              <w:pStyle w:val="12"/>
              <w:tabs>
                <w:tab w:val="left" w:pos="993"/>
              </w:tabs>
              <w:spacing w:line="240" w:lineRule="auto"/>
              <w:rPr>
                <w:bCs/>
                <w:color w:val="000000"/>
                <w:sz w:val="18"/>
                <w:szCs w:val="18"/>
              </w:rPr>
            </w:pPr>
            <w:r>
              <w:rPr>
                <w:bCs/>
                <w:color w:val="000000"/>
                <w:sz w:val="18"/>
                <w:szCs w:val="18"/>
              </w:rPr>
              <w:t>570</w:t>
            </w:r>
          </w:p>
        </w:tc>
        <w:tc>
          <w:tcPr>
            <w:tcW w:w="989" w:type="dxa"/>
            <w:vAlign w:val="center"/>
          </w:tcPr>
          <w:p w14:paraId="0AA829CD">
            <w:pPr>
              <w:pStyle w:val="12"/>
              <w:shd w:val="clear" w:color="FFFFFF" w:fill="auto"/>
              <w:tabs>
                <w:tab w:val="left" w:pos="993"/>
              </w:tabs>
              <w:spacing w:line="240" w:lineRule="auto"/>
              <w:rPr>
                <w:color w:val="000000"/>
                <w:sz w:val="21"/>
                <w:szCs w:val="21"/>
              </w:rPr>
            </w:pPr>
            <w:r>
              <w:rPr>
                <w:bCs/>
                <w:color w:val="000000"/>
                <w:sz w:val="18"/>
                <w:szCs w:val="18"/>
              </w:rPr>
              <w:t>＜1</w:t>
            </w:r>
          </w:p>
        </w:tc>
      </w:tr>
      <w:tr w14:paraId="510D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3C20DFE8">
            <w:pPr>
              <w:pStyle w:val="12"/>
              <w:tabs>
                <w:tab w:val="left" w:pos="993"/>
              </w:tabs>
              <w:spacing w:line="240" w:lineRule="auto"/>
              <w:rPr>
                <w:bCs/>
                <w:color w:val="000000"/>
                <w:sz w:val="18"/>
                <w:szCs w:val="18"/>
              </w:rPr>
            </w:pPr>
          </w:p>
        </w:tc>
        <w:tc>
          <w:tcPr>
            <w:tcW w:w="759" w:type="dxa"/>
            <w:vMerge w:val="continue"/>
            <w:vAlign w:val="center"/>
          </w:tcPr>
          <w:p w14:paraId="5253B536">
            <w:pPr>
              <w:pStyle w:val="12"/>
              <w:tabs>
                <w:tab w:val="left" w:pos="993"/>
              </w:tabs>
              <w:spacing w:line="240" w:lineRule="auto"/>
              <w:rPr>
                <w:bCs/>
                <w:color w:val="000000"/>
                <w:sz w:val="18"/>
                <w:szCs w:val="18"/>
              </w:rPr>
            </w:pPr>
          </w:p>
        </w:tc>
        <w:tc>
          <w:tcPr>
            <w:tcW w:w="495" w:type="dxa"/>
            <w:vAlign w:val="center"/>
          </w:tcPr>
          <w:p w14:paraId="7F06F57E">
            <w:pPr>
              <w:pStyle w:val="12"/>
              <w:tabs>
                <w:tab w:val="left" w:pos="993"/>
              </w:tabs>
              <w:spacing w:line="240" w:lineRule="auto"/>
              <w:rPr>
                <w:bCs/>
                <w:color w:val="000000"/>
                <w:sz w:val="18"/>
                <w:szCs w:val="18"/>
              </w:rPr>
            </w:pPr>
            <w:r>
              <w:rPr>
                <w:bCs/>
                <w:color w:val="000000"/>
                <w:sz w:val="18"/>
                <w:szCs w:val="18"/>
              </w:rPr>
              <w:t>34</w:t>
            </w:r>
          </w:p>
        </w:tc>
        <w:tc>
          <w:tcPr>
            <w:tcW w:w="1858" w:type="dxa"/>
            <w:vAlign w:val="center"/>
          </w:tcPr>
          <w:p w14:paraId="250B3BBC">
            <w:pPr>
              <w:pStyle w:val="12"/>
              <w:tabs>
                <w:tab w:val="left" w:pos="993"/>
              </w:tabs>
              <w:spacing w:line="240" w:lineRule="auto"/>
              <w:rPr>
                <w:bCs/>
                <w:color w:val="000000"/>
                <w:sz w:val="18"/>
                <w:szCs w:val="18"/>
              </w:rPr>
            </w:pPr>
            <w:r>
              <w:rPr>
                <w:bCs/>
                <w:color w:val="000000"/>
                <w:sz w:val="18"/>
                <w:szCs w:val="18"/>
              </w:rPr>
              <w:t>邻二甲苯</w:t>
            </w:r>
          </w:p>
        </w:tc>
        <w:tc>
          <w:tcPr>
            <w:tcW w:w="722" w:type="dxa"/>
            <w:vAlign w:val="center"/>
          </w:tcPr>
          <w:p w14:paraId="6C92BC95">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1041F6B2">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464022F9">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F24E047">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5510BD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5928316D">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513760B0">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07DD934">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28847A7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62467B0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38568ED6">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75EC3433">
            <w:pPr>
              <w:pStyle w:val="12"/>
              <w:tabs>
                <w:tab w:val="left" w:pos="993"/>
              </w:tabs>
              <w:spacing w:line="240" w:lineRule="auto"/>
              <w:rPr>
                <w:bCs/>
                <w:color w:val="000000"/>
                <w:sz w:val="18"/>
                <w:szCs w:val="18"/>
              </w:rPr>
            </w:pPr>
            <w:r>
              <w:rPr>
                <w:bCs/>
                <w:color w:val="000000"/>
                <w:sz w:val="18"/>
                <w:szCs w:val="18"/>
              </w:rPr>
              <w:t>640</w:t>
            </w:r>
          </w:p>
        </w:tc>
        <w:tc>
          <w:tcPr>
            <w:tcW w:w="989" w:type="dxa"/>
            <w:vAlign w:val="center"/>
          </w:tcPr>
          <w:p w14:paraId="70549CB5">
            <w:pPr>
              <w:pStyle w:val="12"/>
              <w:shd w:val="clear" w:color="FFFFFF" w:fill="auto"/>
              <w:tabs>
                <w:tab w:val="left" w:pos="993"/>
              </w:tabs>
              <w:spacing w:line="240" w:lineRule="auto"/>
              <w:rPr>
                <w:color w:val="000000"/>
                <w:sz w:val="21"/>
                <w:szCs w:val="21"/>
              </w:rPr>
            </w:pPr>
            <w:r>
              <w:rPr>
                <w:bCs/>
                <w:color w:val="000000"/>
                <w:sz w:val="18"/>
                <w:szCs w:val="18"/>
              </w:rPr>
              <w:t>＜1</w:t>
            </w:r>
          </w:p>
        </w:tc>
      </w:tr>
      <w:tr w14:paraId="3E00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690F7375">
            <w:pPr>
              <w:pStyle w:val="12"/>
              <w:tabs>
                <w:tab w:val="left" w:pos="993"/>
              </w:tabs>
              <w:spacing w:line="240" w:lineRule="auto"/>
              <w:rPr>
                <w:bCs/>
                <w:color w:val="000000"/>
                <w:sz w:val="18"/>
                <w:szCs w:val="18"/>
              </w:rPr>
            </w:pPr>
          </w:p>
        </w:tc>
        <w:tc>
          <w:tcPr>
            <w:tcW w:w="759" w:type="dxa"/>
            <w:vMerge w:val="restart"/>
            <w:vAlign w:val="center"/>
          </w:tcPr>
          <w:p w14:paraId="4ADDAEAA">
            <w:pPr>
              <w:pStyle w:val="12"/>
              <w:tabs>
                <w:tab w:val="left" w:pos="993"/>
              </w:tabs>
              <w:spacing w:line="240" w:lineRule="auto"/>
              <w:rPr>
                <w:bCs/>
                <w:color w:val="000000"/>
                <w:sz w:val="18"/>
                <w:szCs w:val="18"/>
              </w:rPr>
            </w:pPr>
            <w:r>
              <w:rPr>
                <w:bCs/>
                <w:color w:val="000000"/>
                <w:sz w:val="18"/>
                <w:szCs w:val="18"/>
              </w:rPr>
              <w:t>半挥发性有机物</w:t>
            </w:r>
          </w:p>
        </w:tc>
        <w:tc>
          <w:tcPr>
            <w:tcW w:w="495" w:type="dxa"/>
            <w:vAlign w:val="center"/>
          </w:tcPr>
          <w:p w14:paraId="62EE417B">
            <w:pPr>
              <w:pStyle w:val="12"/>
              <w:tabs>
                <w:tab w:val="left" w:pos="993"/>
              </w:tabs>
              <w:spacing w:line="240" w:lineRule="auto"/>
              <w:rPr>
                <w:bCs/>
                <w:color w:val="000000"/>
                <w:sz w:val="18"/>
                <w:szCs w:val="18"/>
              </w:rPr>
            </w:pPr>
            <w:r>
              <w:rPr>
                <w:bCs/>
                <w:color w:val="000000"/>
                <w:sz w:val="18"/>
                <w:szCs w:val="18"/>
              </w:rPr>
              <w:t>35</w:t>
            </w:r>
          </w:p>
        </w:tc>
        <w:tc>
          <w:tcPr>
            <w:tcW w:w="1858" w:type="dxa"/>
            <w:vAlign w:val="center"/>
          </w:tcPr>
          <w:p w14:paraId="3AEA2B85">
            <w:pPr>
              <w:pStyle w:val="12"/>
              <w:tabs>
                <w:tab w:val="left" w:pos="993"/>
              </w:tabs>
              <w:spacing w:line="240" w:lineRule="auto"/>
              <w:rPr>
                <w:bCs/>
                <w:color w:val="000000"/>
                <w:sz w:val="18"/>
                <w:szCs w:val="18"/>
              </w:rPr>
            </w:pPr>
            <w:r>
              <w:rPr>
                <w:bCs/>
                <w:color w:val="000000"/>
                <w:sz w:val="18"/>
                <w:szCs w:val="18"/>
              </w:rPr>
              <w:t>硝基苯</w:t>
            </w:r>
          </w:p>
        </w:tc>
        <w:tc>
          <w:tcPr>
            <w:tcW w:w="722" w:type="dxa"/>
            <w:vAlign w:val="center"/>
          </w:tcPr>
          <w:p w14:paraId="0DDDA5C3">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512534EF">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75B52ADB">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7B47ED4">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189E78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473201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7738F910">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5E78C0D1">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439A3C2A">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75EE4BC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6058D60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7AC7916F">
            <w:pPr>
              <w:pStyle w:val="12"/>
              <w:tabs>
                <w:tab w:val="left" w:pos="993"/>
              </w:tabs>
              <w:spacing w:line="240" w:lineRule="auto"/>
              <w:rPr>
                <w:bCs/>
                <w:color w:val="000000"/>
                <w:sz w:val="18"/>
                <w:szCs w:val="18"/>
              </w:rPr>
            </w:pPr>
            <w:r>
              <w:rPr>
                <w:bCs/>
                <w:color w:val="000000"/>
                <w:sz w:val="18"/>
                <w:szCs w:val="18"/>
              </w:rPr>
              <w:t>76</w:t>
            </w:r>
          </w:p>
        </w:tc>
        <w:tc>
          <w:tcPr>
            <w:tcW w:w="989" w:type="dxa"/>
            <w:vAlign w:val="center"/>
          </w:tcPr>
          <w:p w14:paraId="7F631478">
            <w:pPr>
              <w:pStyle w:val="12"/>
              <w:shd w:val="clear" w:color="FFFFFF" w:fill="auto"/>
              <w:tabs>
                <w:tab w:val="left" w:pos="993"/>
              </w:tabs>
              <w:spacing w:line="240" w:lineRule="auto"/>
              <w:rPr>
                <w:color w:val="000000"/>
                <w:sz w:val="21"/>
                <w:szCs w:val="21"/>
              </w:rPr>
            </w:pPr>
            <w:r>
              <w:rPr>
                <w:bCs/>
                <w:color w:val="000000"/>
                <w:sz w:val="18"/>
                <w:szCs w:val="18"/>
              </w:rPr>
              <w:t>＜1</w:t>
            </w:r>
          </w:p>
        </w:tc>
      </w:tr>
      <w:tr w14:paraId="1AB4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7" w:hRule="atLeast"/>
          <w:jc w:val="center"/>
        </w:trPr>
        <w:tc>
          <w:tcPr>
            <w:tcW w:w="485" w:type="dxa"/>
            <w:vMerge w:val="continue"/>
            <w:vAlign w:val="center"/>
          </w:tcPr>
          <w:p w14:paraId="493AB091">
            <w:pPr>
              <w:pStyle w:val="12"/>
              <w:tabs>
                <w:tab w:val="left" w:pos="993"/>
              </w:tabs>
              <w:spacing w:line="240" w:lineRule="auto"/>
              <w:rPr>
                <w:bCs/>
                <w:color w:val="000000"/>
                <w:sz w:val="18"/>
                <w:szCs w:val="18"/>
              </w:rPr>
            </w:pPr>
          </w:p>
        </w:tc>
        <w:tc>
          <w:tcPr>
            <w:tcW w:w="759" w:type="dxa"/>
            <w:vMerge w:val="continue"/>
            <w:vAlign w:val="center"/>
          </w:tcPr>
          <w:p w14:paraId="141AA26A">
            <w:pPr>
              <w:pStyle w:val="12"/>
              <w:tabs>
                <w:tab w:val="left" w:pos="993"/>
              </w:tabs>
              <w:spacing w:line="240" w:lineRule="auto"/>
              <w:rPr>
                <w:bCs/>
                <w:color w:val="000000"/>
                <w:sz w:val="18"/>
                <w:szCs w:val="18"/>
              </w:rPr>
            </w:pPr>
          </w:p>
        </w:tc>
        <w:tc>
          <w:tcPr>
            <w:tcW w:w="495" w:type="dxa"/>
            <w:vAlign w:val="center"/>
          </w:tcPr>
          <w:p w14:paraId="2B0A5DC9">
            <w:pPr>
              <w:pStyle w:val="12"/>
              <w:tabs>
                <w:tab w:val="left" w:pos="993"/>
              </w:tabs>
              <w:spacing w:line="240" w:lineRule="auto"/>
              <w:rPr>
                <w:bCs/>
                <w:color w:val="000000"/>
                <w:sz w:val="18"/>
                <w:szCs w:val="18"/>
              </w:rPr>
            </w:pPr>
            <w:r>
              <w:rPr>
                <w:bCs/>
                <w:color w:val="000000"/>
                <w:sz w:val="18"/>
                <w:szCs w:val="18"/>
              </w:rPr>
              <w:t>36</w:t>
            </w:r>
          </w:p>
        </w:tc>
        <w:tc>
          <w:tcPr>
            <w:tcW w:w="1858" w:type="dxa"/>
            <w:vAlign w:val="center"/>
          </w:tcPr>
          <w:p w14:paraId="3B1C2C2C">
            <w:pPr>
              <w:pStyle w:val="12"/>
              <w:tabs>
                <w:tab w:val="left" w:pos="993"/>
              </w:tabs>
              <w:spacing w:line="240" w:lineRule="auto"/>
              <w:rPr>
                <w:bCs/>
                <w:color w:val="000000"/>
                <w:sz w:val="18"/>
                <w:szCs w:val="18"/>
              </w:rPr>
            </w:pPr>
            <w:r>
              <w:rPr>
                <w:bCs/>
                <w:color w:val="000000"/>
                <w:sz w:val="18"/>
                <w:szCs w:val="18"/>
              </w:rPr>
              <w:t>苯胺</w:t>
            </w:r>
          </w:p>
        </w:tc>
        <w:tc>
          <w:tcPr>
            <w:tcW w:w="722" w:type="dxa"/>
            <w:vAlign w:val="center"/>
          </w:tcPr>
          <w:p w14:paraId="7D91A11E">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25EDD574">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7324950B">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404CBB9">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FF7E5CA">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7411396">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1BF436C3">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15DA4A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472BC71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2E653301">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203CD551">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0CB7B575">
            <w:pPr>
              <w:pStyle w:val="12"/>
              <w:tabs>
                <w:tab w:val="left" w:pos="993"/>
              </w:tabs>
              <w:spacing w:line="240" w:lineRule="auto"/>
              <w:rPr>
                <w:bCs/>
                <w:color w:val="000000"/>
                <w:sz w:val="18"/>
                <w:szCs w:val="18"/>
              </w:rPr>
            </w:pPr>
            <w:r>
              <w:rPr>
                <w:bCs/>
                <w:color w:val="000000"/>
                <w:sz w:val="18"/>
                <w:szCs w:val="18"/>
              </w:rPr>
              <w:t>260</w:t>
            </w:r>
          </w:p>
        </w:tc>
        <w:tc>
          <w:tcPr>
            <w:tcW w:w="989" w:type="dxa"/>
            <w:vAlign w:val="center"/>
          </w:tcPr>
          <w:p w14:paraId="4AC7971C">
            <w:pPr>
              <w:pStyle w:val="12"/>
              <w:shd w:val="clear" w:color="FFFFFF" w:fill="auto"/>
              <w:tabs>
                <w:tab w:val="left" w:pos="993"/>
              </w:tabs>
              <w:spacing w:line="240" w:lineRule="auto"/>
              <w:rPr>
                <w:color w:val="000000"/>
                <w:sz w:val="21"/>
                <w:szCs w:val="21"/>
              </w:rPr>
            </w:pPr>
            <w:r>
              <w:rPr>
                <w:bCs/>
                <w:color w:val="000000"/>
                <w:sz w:val="18"/>
                <w:szCs w:val="18"/>
              </w:rPr>
              <w:t>＜1</w:t>
            </w:r>
          </w:p>
        </w:tc>
      </w:tr>
      <w:tr w14:paraId="7A9D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772690A2">
            <w:pPr>
              <w:pStyle w:val="12"/>
              <w:tabs>
                <w:tab w:val="left" w:pos="993"/>
              </w:tabs>
              <w:spacing w:line="240" w:lineRule="auto"/>
              <w:rPr>
                <w:bCs/>
                <w:color w:val="000000"/>
                <w:sz w:val="18"/>
                <w:szCs w:val="18"/>
              </w:rPr>
            </w:pPr>
          </w:p>
        </w:tc>
        <w:tc>
          <w:tcPr>
            <w:tcW w:w="759" w:type="dxa"/>
            <w:vMerge w:val="continue"/>
            <w:vAlign w:val="center"/>
          </w:tcPr>
          <w:p w14:paraId="28D9752A">
            <w:pPr>
              <w:pStyle w:val="12"/>
              <w:tabs>
                <w:tab w:val="left" w:pos="993"/>
              </w:tabs>
              <w:spacing w:line="240" w:lineRule="auto"/>
              <w:rPr>
                <w:bCs/>
                <w:color w:val="000000"/>
                <w:sz w:val="18"/>
                <w:szCs w:val="18"/>
              </w:rPr>
            </w:pPr>
          </w:p>
        </w:tc>
        <w:tc>
          <w:tcPr>
            <w:tcW w:w="495" w:type="dxa"/>
            <w:vAlign w:val="center"/>
          </w:tcPr>
          <w:p w14:paraId="7DEC7C3A">
            <w:pPr>
              <w:pStyle w:val="12"/>
              <w:tabs>
                <w:tab w:val="left" w:pos="993"/>
              </w:tabs>
              <w:spacing w:line="240" w:lineRule="auto"/>
              <w:rPr>
                <w:bCs/>
                <w:color w:val="000000"/>
                <w:sz w:val="18"/>
                <w:szCs w:val="18"/>
              </w:rPr>
            </w:pPr>
            <w:r>
              <w:rPr>
                <w:bCs/>
                <w:color w:val="000000"/>
                <w:sz w:val="18"/>
                <w:szCs w:val="18"/>
              </w:rPr>
              <w:t>37</w:t>
            </w:r>
          </w:p>
        </w:tc>
        <w:tc>
          <w:tcPr>
            <w:tcW w:w="1858" w:type="dxa"/>
            <w:vAlign w:val="center"/>
          </w:tcPr>
          <w:p w14:paraId="1AECFC39">
            <w:pPr>
              <w:pStyle w:val="12"/>
              <w:tabs>
                <w:tab w:val="left" w:pos="993"/>
              </w:tabs>
              <w:spacing w:line="240" w:lineRule="auto"/>
              <w:rPr>
                <w:bCs/>
                <w:color w:val="000000"/>
                <w:sz w:val="18"/>
                <w:szCs w:val="18"/>
              </w:rPr>
            </w:pPr>
            <w:r>
              <w:rPr>
                <w:bCs/>
                <w:color w:val="000000"/>
                <w:sz w:val="18"/>
                <w:szCs w:val="18"/>
              </w:rPr>
              <w:t>2-氯苯酚</w:t>
            </w:r>
          </w:p>
        </w:tc>
        <w:tc>
          <w:tcPr>
            <w:tcW w:w="722" w:type="dxa"/>
            <w:vAlign w:val="center"/>
          </w:tcPr>
          <w:p w14:paraId="097DC462">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1498BF7E">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0F294AE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C8E19A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DD9C104">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C22D4D4">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3A9EFFEE">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E5BA283">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3DEC7C43">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0E10E86F">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4EEF1F49">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4E1714CA">
            <w:pPr>
              <w:pStyle w:val="12"/>
              <w:tabs>
                <w:tab w:val="left" w:pos="993"/>
              </w:tabs>
              <w:spacing w:line="240" w:lineRule="auto"/>
              <w:rPr>
                <w:bCs/>
                <w:color w:val="000000"/>
                <w:sz w:val="18"/>
                <w:szCs w:val="18"/>
              </w:rPr>
            </w:pPr>
            <w:r>
              <w:rPr>
                <w:bCs/>
                <w:color w:val="000000"/>
                <w:sz w:val="18"/>
                <w:szCs w:val="18"/>
              </w:rPr>
              <w:t>2256</w:t>
            </w:r>
          </w:p>
        </w:tc>
        <w:tc>
          <w:tcPr>
            <w:tcW w:w="989" w:type="dxa"/>
            <w:vAlign w:val="center"/>
          </w:tcPr>
          <w:p w14:paraId="57514E09">
            <w:pPr>
              <w:pStyle w:val="12"/>
              <w:shd w:val="clear" w:color="FFFFFF" w:fill="auto"/>
              <w:tabs>
                <w:tab w:val="left" w:pos="993"/>
              </w:tabs>
              <w:spacing w:line="240" w:lineRule="auto"/>
              <w:rPr>
                <w:color w:val="000000"/>
                <w:sz w:val="21"/>
                <w:szCs w:val="21"/>
              </w:rPr>
            </w:pPr>
            <w:r>
              <w:rPr>
                <w:bCs/>
                <w:color w:val="000000"/>
                <w:sz w:val="18"/>
                <w:szCs w:val="18"/>
              </w:rPr>
              <w:t>＜1</w:t>
            </w:r>
          </w:p>
        </w:tc>
      </w:tr>
      <w:tr w14:paraId="06CB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6281EE8A">
            <w:pPr>
              <w:pStyle w:val="12"/>
              <w:tabs>
                <w:tab w:val="left" w:pos="993"/>
              </w:tabs>
              <w:spacing w:line="240" w:lineRule="auto"/>
              <w:rPr>
                <w:bCs/>
                <w:color w:val="000000"/>
                <w:sz w:val="18"/>
                <w:szCs w:val="18"/>
              </w:rPr>
            </w:pPr>
          </w:p>
        </w:tc>
        <w:tc>
          <w:tcPr>
            <w:tcW w:w="759" w:type="dxa"/>
            <w:vMerge w:val="continue"/>
            <w:vAlign w:val="center"/>
          </w:tcPr>
          <w:p w14:paraId="6C401AB4">
            <w:pPr>
              <w:pStyle w:val="12"/>
              <w:tabs>
                <w:tab w:val="left" w:pos="993"/>
              </w:tabs>
              <w:spacing w:line="240" w:lineRule="auto"/>
              <w:rPr>
                <w:bCs/>
                <w:color w:val="000000"/>
                <w:sz w:val="18"/>
                <w:szCs w:val="18"/>
              </w:rPr>
            </w:pPr>
          </w:p>
        </w:tc>
        <w:tc>
          <w:tcPr>
            <w:tcW w:w="495" w:type="dxa"/>
            <w:vAlign w:val="center"/>
          </w:tcPr>
          <w:p w14:paraId="23F87BCE">
            <w:pPr>
              <w:pStyle w:val="12"/>
              <w:tabs>
                <w:tab w:val="left" w:pos="993"/>
              </w:tabs>
              <w:spacing w:line="240" w:lineRule="auto"/>
              <w:rPr>
                <w:bCs/>
                <w:color w:val="000000"/>
                <w:sz w:val="18"/>
                <w:szCs w:val="18"/>
              </w:rPr>
            </w:pPr>
            <w:r>
              <w:rPr>
                <w:bCs/>
                <w:color w:val="000000"/>
                <w:sz w:val="18"/>
                <w:szCs w:val="18"/>
              </w:rPr>
              <w:t>38</w:t>
            </w:r>
          </w:p>
        </w:tc>
        <w:tc>
          <w:tcPr>
            <w:tcW w:w="1858" w:type="dxa"/>
            <w:vAlign w:val="center"/>
          </w:tcPr>
          <w:p w14:paraId="347A4359">
            <w:pPr>
              <w:pStyle w:val="12"/>
              <w:tabs>
                <w:tab w:val="left" w:pos="993"/>
              </w:tabs>
              <w:spacing w:line="240" w:lineRule="auto"/>
              <w:rPr>
                <w:bCs/>
                <w:color w:val="000000"/>
                <w:sz w:val="18"/>
                <w:szCs w:val="18"/>
              </w:rPr>
            </w:pPr>
            <w:r>
              <w:rPr>
                <w:bCs/>
                <w:color w:val="000000"/>
                <w:sz w:val="18"/>
                <w:szCs w:val="18"/>
              </w:rPr>
              <w:t>苯并[a]蒽</w:t>
            </w:r>
          </w:p>
        </w:tc>
        <w:tc>
          <w:tcPr>
            <w:tcW w:w="722" w:type="dxa"/>
            <w:vAlign w:val="center"/>
          </w:tcPr>
          <w:p w14:paraId="4CC0644D">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13B2C394">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7F2B964D">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3F1E2FB">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A2898C5">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49F657E">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63F76BD3">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512D9D71">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124668B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737EDF8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39D33E58">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5D44E6D5">
            <w:pPr>
              <w:pStyle w:val="12"/>
              <w:tabs>
                <w:tab w:val="left" w:pos="993"/>
              </w:tabs>
              <w:spacing w:line="240" w:lineRule="auto"/>
              <w:rPr>
                <w:bCs/>
                <w:color w:val="000000"/>
                <w:sz w:val="18"/>
                <w:szCs w:val="18"/>
              </w:rPr>
            </w:pPr>
            <w:r>
              <w:rPr>
                <w:bCs/>
                <w:color w:val="000000"/>
                <w:sz w:val="18"/>
                <w:szCs w:val="18"/>
              </w:rPr>
              <w:t>15</w:t>
            </w:r>
          </w:p>
        </w:tc>
        <w:tc>
          <w:tcPr>
            <w:tcW w:w="989" w:type="dxa"/>
            <w:vAlign w:val="center"/>
          </w:tcPr>
          <w:p w14:paraId="4597A3ED">
            <w:pPr>
              <w:pStyle w:val="12"/>
              <w:shd w:val="clear" w:color="FFFFFF" w:fill="auto"/>
              <w:tabs>
                <w:tab w:val="left" w:pos="993"/>
              </w:tabs>
              <w:spacing w:line="240" w:lineRule="auto"/>
              <w:rPr>
                <w:color w:val="000000"/>
                <w:sz w:val="21"/>
                <w:szCs w:val="21"/>
              </w:rPr>
            </w:pPr>
            <w:r>
              <w:rPr>
                <w:bCs/>
                <w:color w:val="000000"/>
                <w:sz w:val="18"/>
                <w:szCs w:val="18"/>
              </w:rPr>
              <w:t>＜1</w:t>
            </w:r>
          </w:p>
        </w:tc>
      </w:tr>
      <w:tr w14:paraId="2A6B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170A09C7">
            <w:pPr>
              <w:pStyle w:val="12"/>
              <w:tabs>
                <w:tab w:val="left" w:pos="993"/>
              </w:tabs>
              <w:spacing w:line="240" w:lineRule="auto"/>
              <w:rPr>
                <w:bCs/>
                <w:color w:val="000000"/>
                <w:sz w:val="18"/>
                <w:szCs w:val="18"/>
              </w:rPr>
            </w:pPr>
          </w:p>
        </w:tc>
        <w:tc>
          <w:tcPr>
            <w:tcW w:w="759" w:type="dxa"/>
            <w:vMerge w:val="continue"/>
            <w:vAlign w:val="center"/>
          </w:tcPr>
          <w:p w14:paraId="5A4E2960">
            <w:pPr>
              <w:pStyle w:val="12"/>
              <w:tabs>
                <w:tab w:val="left" w:pos="993"/>
              </w:tabs>
              <w:spacing w:line="240" w:lineRule="auto"/>
              <w:rPr>
                <w:bCs/>
                <w:color w:val="000000"/>
                <w:sz w:val="18"/>
                <w:szCs w:val="18"/>
              </w:rPr>
            </w:pPr>
          </w:p>
        </w:tc>
        <w:tc>
          <w:tcPr>
            <w:tcW w:w="495" w:type="dxa"/>
            <w:vAlign w:val="center"/>
          </w:tcPr>
          <w:p w14:paraId="64958386">
            <w:pPr>
              <w:pStyle w:val="12"/>
              <w:tabs>
                <w:tab w:val="left" w:pos="993"/>
              </w:tabs>
              <w:spacing w:line="240" w:lineRule="auto"/>
              <w:rPr>
                <w:bCs/>
                <w:color w:val="000000"/>
                <w:sz w:val="18"/>
                <w:szCs w:val="18"/>
              </w:rPr>
            </w:pPr>
            <w:r>
              <w:rPr>
                <w:bCs/>
                <w:color w:val="000000"/>
                <w:sz w:val="18"/>
                <w:szCs w:val="18"/>
              </w:rPr>
              <w:t>39</w:t>
            </w:r>
          </w:p>
        </w:tc>
        <w:tc>
          <w:tcPr>
            <w:tcW w:w="1858" w:type="dxa"/>
            <w:vAlign w:val="center"/>
          </w:tcPr>
          <w:p w14:paraId="7C0BF6D0">
            <w:pPr>
              <w:pStyle w:val="12"/>
              <w:tabs>
                <w:tab w:val="left" w:pos="993"/>
              </w:tabs>
              <w:spacing w:line="240" w:lineRule="auto"/>
              <w:rPr>
                <w:bCs/>
                <w:color w:val="000000"/>
                <w:sz w:val="18"/>
                <w:szCs w:val="18"/>
              </w:rPr>
            </w:pPr>
            <w:r>
              <w:rPr>
                <w:bCs/>
                <w:color w:val="000000"/>
                <w:sz w:val="18"/>
                <w:szCs w:val="18"/>
              </w:rPr>
              <w:t>苯并[a]芘</w:t>
            </w:r>
          </w:p>
        </w:tc>
        <w:tc>
          <w:tcPr>
            <w:tcW w:w="722" w:type="dxa"/>
            <w:vAlign w:val="center"/>
          </w:tcPr>
          <w:p w14:paraId="7A28686D">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0B3BE083">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3BE8FB2B">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A1AA02D">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0258A4DC">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4EF773B">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0CAB8ABA">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B133FD6">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29D0CF02">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1DF1DABB">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6BCBCDF8">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7BA1AE30">
            <w:pPr>
              <w:pStyle w:val="12"/>
              <w:tabs>
                <w:tab w:val="left" w:pos="993"/>
              </w:tabs>
              <w:spacing w:line="240" w:lineRule="auto"/>
              <w:rPr>
                <w:bCs/>
                <w:color w:val="000000"/>
                <w:sz w:val="18"/>
                <w:szCs w:val="18"/>
              </w:rPr>
            </w:pPr>
            <w:r>
              <w:rPr>
                <w:bCs/>
                <w:color w:val="000000"/>
                <w:sz w:val="18"/>
                <w:szCs w:val="18"/>
              </w:rPr>
              <w:t>1.5</w:t>
            </w:r>
          </w:p>
        </w:tc>
        <w:tc>
          <w:tcPr>
            <w:tcW w:w="989" w:type="dxa"/>
            <w:vAlign w:val="center"/>
          </w:tcPr>
          <w:p w14:paraId="24D09F96">
            <w:pPr>
              <w:pStyle w:val="12"/>
              <w:shd w:val="clear" w:color="FFFFFF" w:fill="auto"/>
              <w:tabs>
                <w:tab w:val="left" w:pos="993"/>
              </w:tabs>
              <w:spacing w:line="240" w:lineRule="auto"/>
              <w:rPr>
                <w:color w:val="000000"/>
                <w:sz w:val="21"/>
                <w:szCs w:val="21"/>
              </w:rPr>
            </w:pPr>
            <w:r>
              <w:rPr>
                <w:bCs/>
                <w:color w:val="000000"/>
                <w:sz w:val="18"/>
                <w:szCs w:val="18"/>
              </w:rPr>
              <w:t>＜1</w:t>
            </w:r>
          </w:p>
        </w:tc>
      </w:tr>
      <w:tr w14:paraId="6985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41DE1979">
            <w:pPr>
              <w:pStyle w:val="12"/>
              <w:tabs>
                <w:tab w:val="left" w:pos="993"/>
              </w:tabs>
              <w:spacing w:line="240" w:lineRule="auto"/>
              <w:rPr>
                <w:bCs/>
                <w:color w:val="000000"/>
                <w:sz w:val="18"/>
                <w:szCs w:val="18"/>
              </w:rPr>
            </w:pPr>
          </w:p>
        </w:tc>
        <w:tc>
          <w:tcPr>
            <w:tcW w:w="759" w:type="dxa"/>
            <w:vMerge w:val="continue"/>
            <w:vAlign w:val="center"/>
          </w:tcPr>
          <w:p w14:paraId="2F8FD867">
            <w:pPr>
              <w:pStyle w:val="12"/>
              <w:tabs>
                <w:tab w:val="left" w:pos="993"/>
              </w:tabs>
              <w:spacing w:line="240" w:lineRule="auto"/>
              <w:rPr>
                <w:bCs/>
                <w:color w:val="000000"/>
                <w:sz w:val="18"/>
                <w:szCs w:val="18"/>
              </w:rPr>
            </w:pPr>
          </w:p>
        </w:tc>
        <w:tc>
          <w:tcPr>
            <w:tcW w:w="495" w:type="dxa"/>
            <w:vAlign w:val="center"/>
          </w:tcPr>
          <w:p w14:paraId="5D6292AE">
            <w:pPr>
              <w:pStyle w:val="12"/>
              <w:tabs>
                <w:tab w:val="left" w:pos="993"/>
              </w:tabs>
              <w:spacing w:line="240" w:lineRule="auto"/>
              <w:rPr>
                <w:bCs/>
                <w:color w:val="000000"/>
                <w:sz w:val="18"/>
                <w:szCs w:val="18"/>
              </w:rPr>
            </w:pPr>
            <w:r>
              <w:rPr>
                <w:bCs/>
                <w:color w:val="000000"/>
                <w:sz w:val="18"/>
                <w:szCs w:val="18"/>
              </w:rPr>
              <w:t>40</w:t>
            </w:r>
          </w:p>
        </w:tc>
        <w:tc>
          <w:tcPr>
            <w:tcW w:w="1858" w:type="dxa"/>
            <w:vAlign w:val="center"/>
          </w:tcPr>
          <w:p w14:paraId="7E482A90">
            <w:pPr>
              <w:pStyle w:val="12"/>
              <w:tabs>
                <w:tab w:val="left" w:pos="993"/>
              </w:tabs>
              <w:spacing w:line="240" w:lineRule="auto"/>
              <w:rPr>
                <w:bCs/>
                <w:color w:val="000000"/>
                <w:sz w:val="18"/>
                <w:szCs w:val="18"/>
              </w:rPr>
            </w:pPr>
            <w:r>
              <w:rPr>
                <w:bCs/>
                <w:color w:val="000000"/>
                <w:sz w:val="18"/>
                <w:szCs w:val="18"/>
              </w:rPr>
              <w:t>苯并[b]荧蒽</w:t>
            </w:r>
          </w:p>
        </w:tc>
        <w:tc>
          <w:tcPr>
            <w:tcW w:w="722" w:type="dxa"/>
            <w:vAlign w:val="center"/>
          </w:tcPr>
          <w:p w14:paraId="2CC00297">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51A3A1D8">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7F1F8AEC">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A397873">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7949DBC3">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08DE0C65">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72BFB105">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E81081A">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5AE61ECF">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0AEBBE2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45B8E865">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49921634">
            <w:pPr>
              <w:pStyle w:val="12"/>
              <w:tabs>
                <w:tab w:val="left" w:pos="993"/>
              </w:tabs>
              <w:spacing w:line="240" w:lineRule="auto"/>
              <w:rPr>
                <w:bCs/>
                <w:color w:val="000000"/>
                <w:sz w:val="18"/>
                <w:szCs w:val="18"/>
              </w:rPr>
            </w:pPr>
            <w:r>
              <w:rPr>
                <w:bCs/>
                <w:color w:val="000000"/>
                <w:sz w:val="18"/>
                <w:szCs w:val="18"/>
              </w:rPr>
              <w:t>15</w:t>
            </w:r>
          </w:p>
        </w:tc>
        <w:tc>
          <w:tcPr>
            <w:tcW w:w="989" w:type="dxa"/>
            <w:vAlign w:val="center"/>
          </w:tcPr>
          <w:p w14:paraId="387A1375">
            <w:pPr>
              <w:pStyle w:val="12"/>
              <w:shd w:val="clear" w:color="FFFFFF" w:fill="auto"/>
              <w:tabs>
                <w:tab w:val="left" w:pos="993"/>
              </w:tabs>
              <w:spacing w:line="240" w:lineRule="auto"/>
              <w:rPr>
                <w:color w:val="000000"/>
                <w:sz w:val="21"/>
                <w:szCs w:val="21"/>
              </w:rPr>
            </w:pPr>
            <w:r>
              <w:rPr>
                <w:bCs/>
                <w:color w:val="000000"/>
                <w:sz w:val="18"/>
                <w:szCs w:val="18"/>
              </w:rPr>
              <w:t>＜1</w:t>
            </w:r>
          </w:p>
        </w:tc>
      </w:tr>
      <w:tr w14:paraId="0238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6271EFFA">
            <w:pPr>
              <w:pStyle w:val="12"/>
              <w:tabs>
                <w:tab w:val="left" w:pos="993"/>
              </w:tabs>
              <w:spacing w:line="240" w:lineRule="auto"/>
              <w:rPr>
                <w:bCs/>
                <w:color w:val="000000"/>
                <w:sz w:val="18"/>
                <w:szCs w:val="18"/>
              </w:rPr>
            </w:pPr>
          </w:p>
        </w:tc>
        <w:tc>
          <w:tcPr>
            <w:tcW w:w="759" w:type="dxa"/>
            <w:vMerge w:val="continue"/>
            <w:vAlign w:val="center"/>
          </w:tcPr>
          <w:p w14:paraId="16A66ADB">
            <w:pPr>
              <w:pStyle w:val="12"/>
              <w:tabs>
                <w:tab w:val="left" w:pos="993"/>
              </w:tabs>
              <w:spacing w:line="240" w:lineRule="auto"/>
              <w:rPr>
                <w:bCs/>
                <w:color w:val="000000"/>
                <w:sz w:val="18"/>
                <w:szCs w:val="18"/>
              </w:rPr>
            </w:pPr>
          </w:p>
        </w:tc>
        <w:tc>
          <w:tcPr>
            <w:tcW w:w="495" w:type="dxa"/>
            <w:vAlign w:val="center"/>
          </w:tcPr>
          <w:p w14:paraId="5C610DE3">
            <w:pPr>
              <w:pStyle w:val="12"/>
              <w:tabs>
                <w:tab w:val="left" w:pos="993"/>
              </w:tabs>
              <w:spacing w:line="240" w:lineRule="auto"/>
              <w:rPr>
                <w:bCs/>
                <w:color w:val="000000"/>
                <w:sz w:val="18"/>
                <w:szCs w:val="18"/>
              </w:rPr>
            </w:pPr>
            <w:r>
              <w:rPr>
                <w:bCs/>
                <w:color w:val="000000"/>
                <w:sz w:val="18"/>
                <w:szCs w:val="18"/>
              </w:rPr>
              <w:t>41</w:t>
            </w:r>
          </w:p>
        </w:tc>
        <w:tc>
          <w:tcPr>
            <w:tcW w:w="1858" w:type="dxa"/>
            <w:vAlign w:val="center"/>
          </w:tcPr>
          <w:p w14:paraId="4A55E40C">
            <w:pPr>
              <w:pStyle w:val="12"/>
              <w:tabs>
                <w:tab w:val="left" w:pos="993"/>
              </w:tabs>
              <w:spacing w:line="240" w:lineRule="auto"/>
              <w:rPr>
                <w:bCs/>
                <w:color w:val="000000"/>
                <w:sz w:val="18"/>
                <w:szCs w:val="18"/>
              </w:rPr>
            </w:pPr>
            <w:r>
              <w:rPr>
                <w:bCs/>
                <w:color w:val="000000"/>
                <w:sz w:val="18"/>
                <w:szCs w:val="18"/>
              </w:rPr>
              <w:t>苯并[k]荧蒽</w:t>
            </w:r>
          </w:p>
        </w:tc>
        <w:tc>
          <w:tcPr>
            <w:tcW w:w="722" w:type="dxa"/>
            <w:vAlign w:val="center"/>
          </w:tcPr>
          <w:p w14:paraId="7C846A34">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6497341F">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1410AD3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0656CCA2">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FF2B6B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E9C6F74">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63F2487E">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5ABFD57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2E450691">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33FA54C1">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1EEB7EC8">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20ABBB21">
            <w:pPr>
              <w:pStyle w:val="12"/>
              <w:tabs>
                <w:tab w:val="left" w:pos="993"/>
              </w:tabs>
              <w:spacing w:line="240" w:lineRule="auto"/>
              <w:rPr>
                <w:bCs/>
                <w:color w:val="000000"/>
                <w:sz w:val="18"/>
                <w:szCs w:val="18"/>
              </w:rPr>
            </w:pPr>
            <w:r>
              <w:rPr>
                <w:bCs/>
                <w:color w:val="000000"/>
                <w:sz w:val="18"/>
                <w:szCs w:val="18"/>
              </w:rPr>
              <w:t>151</w:t>
            </w:r>
          </w:p>
        </w:tc>
        <w:tc>
          <w:tcPr>
            <w:tcW w:w="989" w:type="dxa"/>
            <w:vAlign w:val="center"/>
          </w:tcPr>
          <w:p w14:paraId="4434D442">
            <w:pPr>
              <w:pStyle w:val="12"/>
              <w:shd w:val="clear" w:color="FFFFFF" w:fill="auto"/>
              <w:tabs>
                <w:tab w:val="left" w:pos="993"/>
              </w:tabs>
              <w:spacing w:line="240" w:lineRule="auto"/>
              <w:rPr>
                <w:color w:val="000000"/>
                <w:sz w:val="21"/>
                <w:szCs w:val="21"/>
              </w:rPr>
            </w:pPr>
            <w:r>
              <w:rPr>
                <w:bCs/>
                <w:color w:val="000000"/>
                <w:sz w:val="18"/>
                <w:szCs w:val="18"/>
              </w:rPr>
              <w:t>＜1</w:t>
            </w:r>
          </w:p>
        </w:tc>
      </w:tr>
      <w:tr w14:paraId="1C9C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1FE33DA9">
            <w:pPr>
              <w:pStyle w:val="12"/>
              <w:tabs>
                <w:tab w:val="left" w:pos="993"/>
              </w:tabs>
              <w:spacing w:line="240" w:lineRule="auto"/>
              <w:rPr>
                <w:bCs/>
                <w:color w:val="000000"/>
                <w:sz w:val="18"/>
                <w:szCs w:val="18"/>
              </w:rPr>
            </w:pPr>
          </w:p>
        </w:tc>
        <w:tc>
          <w:tcPr>
            <w:tcW w:w="759" w:type="dxa"/>
            <w:vMerge w:val="continue"/>
            <w:vAlign w:val="center"/>
          </w:tcPr>
          <w:p w14:paraId="657952D4">
            <w:pPr>
              <w:pStyle w:val="12"/>
              <w:tabs>
                <w:tab w:val="left" w:pos="993"/>
              </w:tabs>
              <w:spacing w:line="240" w:lineRule="auto"/>
              <w:rPr>
                <w:bCs/>
                <w:color w:val="000000"/>
                <w:sz w:val="18"/>
                <w:szCs w:val="18"/>
              </w:rPr>
            </w:pPr>
          </w:p>
        </w:tc>
        <w:tc>
          <w:tcPr>
            <w:tcW w:w="495" w:type="dxa"/>
            <w:vAlign w:val="center"/>
          </w:tcPr>
          <w:p w14:paraId="135C0979">
            <w:pPr>
              <w:pStyle w:val="12"/>
              <w:tabs>
                <w:tab w:val="left" w:pos="993"/>
              </w:tabs>
              <w:spacing w:line="240" w:lineRule="auto"/>
              <w:rPr>
                <w:bCs/>
                <w:color w:val="000000"/>
                <w:sz w:val="18"/>
                <w:szCs w:val="18"/>
              </w:rPr>
            </w:pPr>
            <w:r>
              <w:rPr>
                <w:bCs/>
                <w:color w:val="000000"/>
                <w:sz w:val="18"/>
                <w:szCs w:val="18"/>
              </w:rPr>
              <w:t>42</w:t>
            </w:r>
          </w:p>
        </w:tc>
        <w:tc>
          <w:tcPr>
            <w:tcW w:w="1858" w:type="dxa"/>
            <w:vAlign w:val="center"/>
          </w:tcPr>
          <w:p w14:paraId="04F4A096">
            <w:pPr>
              <w:pStyle w:val="12"/>
              <w:tabs>
                <w:tab w:val="left" w:pos="993"/>
              </w:tabs>
              <w:spacing w:line="240" w:lineRule="auto"/>
              <w:rPr>
                <w:bCs/>
                <w:color w:val="000000"/>
                <w:sz w:val="18"/>
                <w:szCs w:val="18"/>
              </w:rPr>
            </w:pPr>
            <w:r>
              <w:rPr>
                <w:bCs/>
                <w:color w:val="000000"/>
                <w:sz w:val="18"/>
                <w:szCs w:val="18"/>
              </w:rPr>
              <w:t>䓛</w:t>
            </w:r>
          </w:p>
        </w:tc>
        <w:tc>
          <w:tcPr>
            <w:tcW w:w="722" w:type="dxa"/>
            <w:vAlign w:val="center"/>
          </w:tcPr>
          <w:p w14:paraId="2DDE5FAD">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272E12FD">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02EF2EB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7BB8CC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477F2253">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34E47905">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51A4FB8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8A93B82">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7E98E688">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0481766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43ABA2E7">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6444E505">
            <w:pPr>
              <w:pStyle w:val="12"/>
              <w:tabs>
                <w:tab w:val="left" w:pos="993"/>
              </w:tabs>
              <w:spacing w:line="240" w:lineRule="auto"/>
              <w:rPr>
                <w:bCs/>
                <w:color w:val="000000"/>
                <w:sz w:val="18"/>
                <w:szCs w:val="18"/>
              </w:rPr>
            </w:pPr>
            <w:r>
              <w:rPr>
                <w:bCs/>
                <w:color w:val="000000"/>
                <w:sz w:val="18"/>
                <w:szCs w:val="18"/>
              </w:rPr>
              <w:t>1293</w:t>
            </w:r>
          </w:p>
        </w:tc>
        <w:tc>
          <w:tcPr>
            <w:tcW w:w="989" w:type="dxa"/>
            <w:vAlign w:val="center"/>
          </w:tcPr>
          <w:p w14:paraId="06BFBD7F">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2B3F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709965FD">
            <w:pPr>
              <w:pStyle w:val="12"/>
              <w:tabs>
                <w:tab w:val="left" w:pos="993"/>
              </w:tabs>
              <w:spacing w:line="240" w:lineRule="auto"/>
              <w:rPr>
                <w:bCs/>
                <w:color w:val="000000"/>
                <w:sz w:val="18"/>
                <w:szCs w:val="18"/>
              </w:rPr>
            </w:pPr>
          </w:p>
        </w:tc>
        <w:tc>
          <w:tcPr>
            <w:tcW w:w="759" w:type="dxa"/>
            <w:vMerge w:val="continue"/>
            <w:vAlign w:val="center"/>
          </w:tcPr>
          <w:p w14:paraId="7B422E42">
            <w:pPr>
              <w:pStyle w:val="12"/>
              <w:tabs>
                <w:tab w:val="left" w:pos="993"/>
              </w:tabs>
              <w:spacing w:line="240" w:lineRule="auto"/>
              <w:rPr>
                <w:bCs/>
                <w:color w:val="000000"/>
                <w:sz w:val="18"/>
                <w:szCs w:val="18"/>
              </w:rPr>
            </w:pPr>
          </w:p>
        </w:tc>
        <w:tc>
          <w:tcPr>
            <w:tcW w:w="495" w:type="dxa"/>
            <w:vAlign w:val="center"/>
          </w:tcPr>
          <w:p w14:paraId="4E77B5D3">
            <w:pPr>
              <w:pStyle w:val="12"/>
              <w:tabs>
                <w:tab w:val="left" w:pos="993"/>
              </w:tabs>
              <w:spacing w:line="240" w:lineRule="auto"/>
              <w:rPr>
                <w:bCs/>
                <w:color w:val="000000"/>
                <w:sz w:val="18"/>
                <w:szCs w:val="18"/>
              </w:rPr>
            </w:pPr>
            <w:r>
              <w:rPr>
                <w:bCs/>
                <w:color w:val="000000"/>
                <w:sz w:val="18"/>
                <w:szCs w:val="18"/>
              </w:rPr>
              <w:t>43</w:t>
            </w:r>
          </w:p>
        </w:tc>
        <w:tc>
          <w:tcPr>
            <w:tcW w:w="1858" w:type="dxa"/>
            <w:vAlign w:val="center"/>
          </w:tcPr>
          <w:p w14:paraId="6FB0A1B9">
            <w:pPr>
              <w:pStyle w:val="12"/>
              <w:tabs>
                <w:tab w:val="left" w:pos="993"/>
              </w:tabs>
              <w:spacing w:line="240" w:lineRule="auto"/>
              <w:rPr>
                <w:bCs/>
                <w:color w:val="000000"/>
                <w:sz w:val="18"/>
                <w:szCs w:val="18"/>
              </w:rPr>
            </w:pPr>
            <w:r>
              <w:rPr>
                <w:bCs/>
                <w:color w:val="000000"/>
                <w:sz w:val="18"/>
                <w:szCs w:val="18"/>
              </w:rPr>
              <w:t>二苯并[a,h]蒽</w:t>
            </w:r>
          </w:p>
        </w:tc>
        <w:tc>
          <w:tcPr>
            <w:tcW w:w="722" w:type="dxa"/>
            <w:vAlign w:val="center"/>
          </w:tcPr>
          <w:p w14:paraId="5CDFB5A1">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6857AC54">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16131A93">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5C84C8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74064F9">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A217D7E">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4F971411">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B2CDF47">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0375F295">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5EAC451F">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6B145109">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06CFFE3A">
            <w:pPr>
              <w:pStyle w:val="12"/>
              <w:tabs>
                <w:tab w:val="left" w:pos="993"/>
              </w:tabs>
              <w:spacing w:line="240" w:lineRule="auto"/>
              <w:rPr>
                <w:bCs/>
                <w:color w:val="000000"/>
                <w:sz w:val="18"/>
                <w:szCs w:val="18"/>
              </w:rPr>
            </w:pPr>
            <w:r>
              <w:rPr>
                <w:bCs/>
                <w:color w:val="000000"/>
                <w:sz w:val="18"/>
                <w:szCs w:val="18"/>
              </w:rPr>
              <w:t>1.5</w:t>
            </w:r>
          </w:p>
        </w:tc>
        <w:tc>
          <w:tcPr>
            <w:tcW w:w="989" w:type="dxa"/>
            <w:vAlign w:val="center"/>
          </w:tcPr>
          <w:p w14:paraId="707A4D3F">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0719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2F489F02">
            <w:pPr>
              <w:pStyle w:val="12"/>
              <w:tabs>
                <w:tab w:val="left" w:pos="993"/>
              </w:tabs>
              <w:spacing w:line="240" w:lineRule="auto"/>
              <w:rPr>
                <w:bCs/>
                <w:color w:val="000000"/>
                <w:sz w:val="18"/>
                <w:szCs w:val="18"/>
              </w:rPr>
            </w:pPr>
          </w:p>
        </w:tc>
        <w:tc>
          <w:tcPr>
            <w:tcW w:w="759" w:type="dxa"/>
            <w:vMerge w:val="continue"/>
            <w:vAlign w:val="center"/>
          </w:tcPr>
          <w:p w14:paraId="3E303B3F">
            <w:pPr>
              <w:pStyle w:val="12"/>
              <w:tabs>
                <w:tab w:val="left" w:pos="993"/>
              </w:tabs>
              <w:spacing w:line="240" w:lineRule="auto"/>
              <w:rPr>
                <w:bCs/>
                <w:color w:val="000000"/>
                <w:sz w:val="18"/>
                <w:szCs w:val="18"/>
              </w:rPr>
            </w:pPr>
          </w:p>
        </w:tc>
        <w:tc>
          <w:tcPr>
            <w:tcW w:w="495" w:type="dxa"/>
            <w:vAlign w:val="center"/>
          </w:tcPr>
          <w:p w14:paraId="673FBF2C">
            <w:pPr>
              <w:pStyle w:val="12"/>
              <w:tabs>
                <w:tab w:val="left" w:pos="993"/>
              </w:tabs>
              <w:spacing w:line="240" w:lineRule="auto"/>
              <w:rPr>
                <w:bCs/>
                <w:color w:val="000000"/>
                <w:sz w:val="18"/>
                <w:szCs w:val="18"/>
              </w:rPr>
            </w:pPr>
            <w:r>
              <w:rPr>
                <w:bCs/>
                <w:color w:val="000000"/>
                <w:sz w:val="18"/>
                <w:szCs w:val="18"/>
              </w:rPr>
              <w:t>44</w:t>
            </w:r>
          </w:p>
        </w:tc>
        <w:tc>
          <w:tcPr>
            <w:tcW w:w="1858" w:type="dxa"/>
            <w:vAlign w:val="center"/>
          </w:tcPr>
          <w:p w14:paraId="597D4371">
            <w:pPr>
              <w:pStyle w:val="12"/>
              <w:tabs>
                <w:tab w:val="left" w:pos="993"/>
              </w:tabs>
              <w:spacing w:line="240" w:lineRule="auto"/>
              <w:rPr>
                <w:bCs/>
                <w:color w:val="000000"/>
                <w:sz w:val="18"/>
                <w:szCs w:val="18"/>
              </w:rPr>
            </w:pPr>
            <w:r>
              <w:rPr>
                <w:bCs/>
                <w:color w:val="000000"/>
                <w:sz w:val="18"/>
                <w:szCs w:val="18"/>
              </w:rPr>
              <w:t>茚并[1,2,3-cd]芘</w:t>
            </w:r>
          </w:p>
        </w:tc>
        <w:tc>
          <w:tcPr>
            <w:tcW w:w="722" w:type="dxa"/>
            <w:vAlign w:val="center"/>
          </w:tcPr>
          <w:p w14:paraId="3D253009">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71C53CB9">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61420E64">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0E3BE1E">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C9D6FCA">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5524E2B4">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212BFB15">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AA29A4D">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4BBAF854">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237D553E">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7FFACC79">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1BD4BBBD">
            <w:pPr>
              <w:pStyle w:val="12"/>
              <w:tabs>
                <w:tab w:val="left" w:pos="993"/>
              </w:tabs>
              <w:spacing w:line="240" w:lineRule="auto"/>
              <w:rPr>
                <w:bCs/>
                <w:color w:val="000000"/>
                <w:sz w:val="18"/>
                <w:szCs w:val="18"/>
              </w:rPr>
            </w:pPr>
            <w:r>
              <w:rPr>
                <w:bCs/>
                <w:color w:val="000000"/>
                <w:sz w:val="18"/>
                <w:szCs w:val="18"/>
              </w:rPr>
              <w:t>15</w:t>
            </w:r>
          </w:p>
        </w:tc>
        <w:tc>
          <w:tcPr>
            <w:tcW w:w="989" w:type="dxa"/>
            <w:vAlign w:val="center"/>
          </w:tcPr>
          <w:p w14:paraId="04CDC98D">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2350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Merge w:val="continue"/>
            <w:vAlign w:val="center"/>
          </w:tcPr>
          <w:p w14:paraId="3212E33D">
            <w:pPr>
              <w:pStyle w:val="12"/>
              <w:tabs>
                <w:tab w:val="left" w:pos="993"/>
              </w:tabs>
              <w:spacing w:line="240" w:lineRule="auto"/>
              <w:rPr>
                <w:bCs/>
                <w:color w:val="000000"/>
                <w:sz w:val="18"/>
                <w:szCs w:val="18"/>
              </w:rPr>
            </w:pPr>
          </w:p>
        </w:tc>
        <w:tc>
          <w:tcPr>
            <w:tcW w:w="759" w:type="dxa"/>
            <w:vMerge w:val="continue"/>
            <w:vAlign w:val="center"/>
          </w:tcPr>
          <w:p w14:paraId="34F421F7">
            <w:pPr>
              <w:pStyle w:val="12"/>
              <w:tabs>
                <w:tab w:val="left" w:pos="993"/>
              </w:tabs>
              <w:spacing w:line="240" w:lineRule="auto"/>
              <w:rPr>
                <w:bCs/>
                <w:color w:val="000000"/>
                <w:sz w:val="18"/>
                <w:szCs w:val="18"/>
              </w:rPr>
            </w:pPr>
          </w:p>
        </w:tc>
        <w:tc>
          <w:tcPr>
            <w:tcW w:w="495" w:type="dxa"/>
            <w:vAlign w:val="center"/>
          </w:tcPr>
          <w:p w14:paraId="5551D33B">
            <w:pPr>
              <w:pStyle w:val="12"/>
              <w:tabs>
                <w:tab w:val="left" w:pos="993"/>
              </w:tabs>
              <w:spacing w:line="240" w:lineRule="auto"/>
              <w:rPr>
                <w:bCs/>
                <w:color w:val="000000"/>
                <w:sz w:val="18"/>
                <w:szCs w:val="18"/>
              </w:rPr>
            </w:pPr>
            <w:r>
              <w:rPr>
                <w:bCs/>
                <w:color w:val="000000"/>
                <w:sz w:val="18"/>
                <w:szCs w:val="18"/>
              </w:rPr>
              <w:t>45</w:t>
            </w:r>
          </w:p>
        </w:tc>
        <w:tc>
          <w:tcPr>
            <w:tcW w:w="1858" w:type="dxa"/>
            <w:vAlign w:val="center"/>
          </w:tcPr>
          <w:p w14:paraId="0A5A9F3D">
            <w:pPr>
              <w:pStyle w:val="12"/>
              <w:tabs>
                <w:tab w:val="left" w:pos="993"/>
              </w:tabs>
              <w:spacing w:line="240" w:lineRule="auto"/>
              <w:rPr>
                <w:bCs/>
                <w:color w:val="000000"/>
                <w:sz w:val="18"/>
                <w:szCs w:val="18"/>
              </w:rPr>
            </w:pPr>
            <w:r>
              <w:rPr>
                <w:bCs/>
                <w:color w:val="000000"/>
                <w:sz w:val="18"/>
                <w:szCs w:val="18"/>
              </w:rPr>
              <w:t>萘</w:t>
            </w:r>
          </w:p>
        </w:tc>
        <w:tc>
          <w:tcPr>
            <w:tcW w:w="722" w:type="dxa"/>
            <w:vAlign w:val="center"/>
          </w:tcPr>
          <w:p w14:paraId="42F6881D">
            <w:pPr>
              <w:pStyle w:val="12"/>
              <w:tabs>
                <w:tab w:val="left" w:pos="993"/>
              </w:tabs>
              <w:spacing w:line="240" w:lineRule="auto"/>
              <w:rPr>
                <w:bCs/>
                <w:color w:val="000000"/>
                <w:sz w:val="18"/>
                <w:szCs w:val="18"/>
              </w:rPr>
            </w:pPr>
            <w:r>
              <w:rPr>
                <w:bCs/>
                <w:color w:val="000000"/>
                <w:sz w:val="18"/>
                <w:szCs w:val="18"/>
              </w:rPr>
              <w:t>mg/kg</w:t>
            </w:r>
          </w:p>
        </w:tc>
        <w:tc>
          <w:tcPr>
            <w:tcW w:w="753" w:type="dxa"/>
            <w:vAlign w:val="center"/>
          </w:tcPr>
          <w:p w14:paraId="160408FB">
            <w:pPr>
              <w:pStyle w:val="12"/>
              <w:tabs>
                <w:tab w:val="left" w:pos="993"/>
              </w:tabs>
              <w:spacing w:line="240" w:lineRule="auto"/>
              <w:rPr>
                <w:bCs/>
                <w:color w:val="000000"/>
                <w:sz w:val="18"/>
                <w:szCs w:val="18"/>
              </w:rPr>
            </w:pPr>
            <w:r>
              <w:rPr>
                <w:bCs/>
                <w:color w:val="000000"/>
                <w:sz w:val="18"/>
                <w:szCs w:val="18"/>
              </w:rPr>
              <w:t>ND</w:t>
            </w:r>
          </w:p>
        </w:tc>
        <w:tc>
          <w:tcPr>
            <w:tcW w:w="753" w:type="dxa"/>
            <w:vAlign w:val="center"/>
          </w:tcPr>
          <w:p w14:paraId="67EB6B13">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680073A4">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6C09A5A">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2EBB096A">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61" w:type="dxa"/>
            <w:vAlign w:val="center"/>
          </w:tcPr>
          <w:p w14:paraId="3B3D096F">
            <w:pPr>
              <w:pStyle w:val="12"/>
              <w:shd w:val="clear" w:color="FFFFFF" w:fill="auto"/>
              <w:tabs>
                <w:tab w:val="left" w:pos="993"/>
              </w:tabs>
              <w:spacing w:line="240" w:lineRule="auto"/>
              <w:rPr>
                <w:bCs/>
                <w:color w:val="000000"/>
                <w:sz w:val="18"/>
                <w:szCs w:val="18"/>
              </w:rPr>
            </w:pPr>
            <w:r>
              <w:rPr>
                <w:bCs/>
                <w:color w:val="000000"/>
                <w:sz w:val="18"/>
                <w:szCs w:val="18"/>
              </w:rPr>
              <w:t>ND</w:t>
            </w:r>
          </w:p>
        </w:tc>
        <w:tc>
          <w:tcPr>
            <w:tcW w:w="753" w:type="dxa"/>
            <w:vAlign w:val="center"/>
          </w:tcPr>
          <w:p w14:paraId="1632DF0C">
            <w:pPr>
              <w:pStyle w:val="12"/>
              <w:shd w:val="clear" w:color="FFFFFF" w:fill="auto"/>
              <w:tabs>
                <w:tab w:val="left" w:pos="993"/>
              </w:tabs>
              <w:spacing w:line="240" w:lineRule="auto"/>
              <w:rPr>
                <w:bCs/>
                <w:color w:val="000000"/>
                <w:sz w:val="18"/>
                <w:szCs w:val="18"/>
              </w:rPr>
            </w:pPr>
            <w:r>
              <w:rPr>
                <w:bCs/>
                <w:color w:val="000000"/>
                <w:sz w:val="18"/>
                <w:szCs w:val="18"/>
              </w:rPr>
              <w:t>/</w:t>
            </w:r>
          </w:p>
        </w:tc>
        <w:tc>
          <w:tcPr>
            <w:tcW w:w="753" w:type="dxa"/>
            <w:vAlign w:val="center"/>
          </w:tcPr>
          <w:p w14:paraId="4F1CE80F">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34" w:type="dxa"/>
            <w:vAlign w:val="center"/>
          </w:tcPr>
          <w:p w14:paraId="182AF347">
            <w:pPr>
              <w:pStyle w:val="12"/>
              <w:shd w:val="clear" w:color="FFFFFF" w:fill="auto"/>
              <w:tabs>
                <w:tab w:val="left" w:pos="993"/>
              </w:tabs>
              <w:spacing w:line="240" w:lineRule="auto"/>
              <w:rPr>
                <w:bCs/>
                <w:color w:val="000000"/>
                <w:sz w:val="18"/>
                <w:szCs w:val="18"/>
              </w:rPr>
            </w:pPr>
            <w:r>
              <w:rPr>
                <w:bCs/>
                <w:color w:val="000000"/>
                <w:sz w:val="18"/>
                <w:szCs w:val="18"/>
              </w:rPr>
              <w:t>/</w:t>
            </w:r>
          </w:p>
        </w:tc>
        <w:tc>
          <w:tcPr>
            <w:tcW w:w="843" w:type="dxa"/>
            <w:vAlign w:val="center"/>
          </w:tcPr>
          <w:p w14:paraId="6F037F75">
            <w:pPr>
              <w:pStyle w:val="12"/>
              <w:shd w:val="clear" w:color="FFFFFF" w:fill="auto"/>
              <w:tabs>
                <w:tab w:val="left" w:pos="993"/>
              </w:tabs>
              <w:spacing w:line="240" w:lineRule="auto"/>
              <w:rPr>
                <w:bCs/>
                <w:color w:val="000000"/>
                <w:sz w:val="18"/>
                <w:szCs w:val="18"/>
              </w:rPr>
            </w:pPr>
            <w:r>
              <w:rPr>
                <w:bCs/>
                <w:color w:val="000000"/>
                <w:sz w:val="18"/>
                <w:szCs w:val="18"/>
              </w:rPr>
              <w:t>/</w:t>
            </w:r>
          </w:p>
        </w:tc>
        <w:tc>
          <w:tcPr>
            <w:tcW w:w="989" w:type="dxa"/>
            <w:vAlign w:val="center"/>
          </w:tcPr>
          <w:p w14:paraId="49903A54">
            <w:pPr>
              <w:pStyle w:val="12"/>
              <w:tabs>
                <w:tab w:val="left" w:pos="993"/>
              </w:tabs>
              <w:spacing w:line="240" w:lineRule="auto"/>
              <w:rPr>
                <w:bCs/>
                <w:color w:val="000000"/>
                <w:sz w:val="18"/>
                <w:szCs w:val="18"/>
              </w:rPr>
            </w:pPr>
            <w:r>
              <w:rPr>
                <w:bCs/>
                <w:color w:val="000000"/>
                <w:sz w:val="18"/>
                <w:szCs w:val="18"/>
              </w:rPr>
              <w:t>70</w:t>
            </w:r>
          </w:p>
        </w:tc>
        <w:tc>
          <w:tcPr>
            <w:tcW w:w="989" w:type="dxa"/>
            <w:vAlign w:val="center"/>
          </w:tcPr>
          <w:p w14:paraId="66B43575">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61E4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85" w:type="dxa"/>
            <w:vAlign w:val="center"/>
          </w:tcPr>
          <w:p w14:paraId="4939467B">
            <w:pPr>
              <w:pStyle w:val="12"/>
              <w:tabs>
                <w:tab w:val="left" w:pos="993"/>
              </w:tabs>
              <w:spacing w:line="240" w:lineRule="auto"/>
              <w:rPr>
                <w:bCs/>
                <w:color w:val="000000"/>
                <w:sz w:val="18"/>
                <w:szCs w:val="18"/>
              </w:rPr>
            </w:pPr>
            <w:r>
              <w:rPr>
                <w:bCs/>
                <w:color w:val="000000"/>
                <w:sz w:val="18"/>
                <w:szCs w:val="18"/>
              </w:rPr>
              <w:t>特征因子</w:t>
            </w:r>
          </w:p>
        </w:tc>
        <w:tc>
          <w:tcPr>
            <w:tcW w:w="759" w:type="dxa"/>
            <w:vAlign w:val="center"/>
          </w:tcPr>
          <w:p w14:paraId="5781AF1B">
            <w:pPr>
              <w:pStyle w:val="12"/>
              <w:tabs>
                <w:tab w:val="left" w:pos="993"/>
              </w:tabs>
              <w:spacing w:line="240" w:lineRule="auto"/>
              <w:rPr>
                <w:bCs/>
                <w:color w:val="000000"/>
                <w:sz w:val="18"/>
                <w:szCs w:val="18"/>
              </w:rPr>
            </w:pPr>
            <w:r>
              <w:rPr>
                <w:bCs/>
                <w:color w:val="000000"/>
                <w:sz w:val="18"/>
                <w:szCs w:val="18"/>
              </w:rPr>
              <w:t>石油烃类</w:t>
            </w:r>
          </w:p>
        </w:tc>
        <w:tc>
          <w:tcPr>
            <w:tcW w:w="495" w:type="dxa"/>
            <w:vAlign w:val="center"/>
          </w:tcPr>
          <w:p w14:paraId="751356BF">
            <w:pPr>
              <w:pStyle w:val="12"/>
              <w:tabs>
                <w:tab w:val="left" w:pos="993"/>
              </w:tabs>
              <w:spacing w:line="240" w:lineRule="auto"/>
              <w:rPr>
                <w:bCs/>
                <w:color w:val="000000"/>
                <w:sz w:val="18"/>
                <w:szCs w:val="18"/>
              </w:rPr>
            </w:pPr>
            <w:r>
              <w:rPr>
                <w:bCs/>
                <w:color w:val="000000"/>
                <w:sz w:val="18"/>
                <w:szCs w:val="18"/>
              </w:rPr>
              <w:t>46</w:t>
            </w:r>
          </w:p>
        </w:tc>
        <w:tc>
          <w:tcPr>
            <w:tcW w:w="1858" w:type="dxa"/>
            <w:vAlign w:val="center"/>
          </w:tcPr>
          <w:p w14:paraId="61FB185D">
            <w:pPr>
              <w:pStyle w:val="12"/>
              <w:shd w:val="clear" w:color="FFFFFF" w:fill="auto"/>
              <w:tabs>
                <w:tab w:val="left" w:pos="993"/>
              </w:tabs>
              <w:spacing w:line="240" w:lineRule="auto"/>
              <w:rPr>
                <w:bCs/>
                <w:color w:val="000000"/>
                <w:sz w:val="18"/>
                <w:szCs w:val="18"/>
              </w:rPr>
            </w:pPr>
            <w:r>
              <w:rPr>
                <w:bCs/>
                <w:color w:val="000000"/>
                <w:sz w:val="18"/>
                <w:szCs w:val="18"/>
              </w:rPr>
              <w:t>石油烃（C</w:t>
            </w:r>
            <w:r>
              <w:rPr>
                <w:bCs/>
                <w:color w:val="000000"/>
                <w:sz w:val="18"/>
                <w:szCs w:val="18"/>
                <w:vertAlign w:val="subscript"/>
              </w:rPr>
              <w:t>10</w:t>
            </w:r>
            <w:r>
              <w:rPr>
                <w:bCs/>
                <w:color w:val="000000"/>
                <w:sz w:val="18"/>
                <w:szCs w:val="18"/>
              </w:rPr>
              <w:t>~C</w:t>
            </w:r>
            <w:r>
              <w:rPr>
                <w:bCs/>
                <w:color w:val="000000"/>
                <w:sz w:val="18"/>
                <w:szCs w:val="18"/>
                <w:vertAlign w:val="subscript"/>
              </w:rPr>
              <w:t>40</w:t>
            </w:r>
            <w:r>
              <w:rPr>
                <w:bCs/>
                <w:color w:val="000000"/>
                <w:sz w:val="18"/>
                <w:szCs w:val="18"/>
              </w:rPr>
              <w:t>）</w:t>
            </w:r>
          </w:p>
        </w:tc>
        <w:tc>
          <w:tcPr>
            <w:tcW w:w="722" w:type="dxa"/>
            <w:vAlign w:val="center"/>
          </w:tcPr>
          <w:p w14:paraId="685F1058">
            <w:pPr>
              <w:pStyle w:val="12"/>
              <w:shd w:val="clear" w:color="FFFFFF" w:fill="auto"/>
              <w:tabs>
                <w:tab w:val="left" w:pos="993"/>
              </w:tabs>
              <w:spacing w:line="240" w:lineRule="auto"/>
              <w:rPr>
                <w:bCs/>
                <w:color w:val="000000"/>
                <w:sz w:val="18"/>
                <w:szCs w:val="18"/>
              </w:rPr>
            </w:pPr>
            <w:r>
              <w:rPr>
                <w:bCs/>
                <w:color w:val="000000"/>
                <w:sz w:val="18"/>
                <w:szCs w:val="18"/>
              </w:rPr>
              <w:t>mg/kg</w:t>
            </w:r>
          </w:p>
        </w:tc>
        <w:tc>
          <w:tcPr>
            <w:tcW w:w="753" w:type="dxa"/>
            <w:vAlign w:val="center"/>
          </w:tcPr>
          <w:p w14:paraId="406208BF">
            <w:pPr>
              <w:pStyle w:val="12"/>
              <w:shd w:val="clear" w:color="FFFFFF" w:fill="auto"/>
              <w:tabs>
                <w:tab w:val="left" w:pos="993"/>
              </w:tabs>
              <w:spacing w:line="240" w:lineRule="auto"/>
              <w:rPr>
                <w:bCs/>
                <w:color w:val="000000"/>
                <w:sz w:val="18"/>
                <w:szCs w:val="18"/>
              </w:rPr>
            </w:pPr>
            <w:r>
              <w:rPr>
                <w:bCs/>
                <w:color w:val="000000"/>
                <w:sz w:val="18"/>
                <w:szCs w:val="18"/>
              </w:rPr>
              <w:t>144</w:t>
            </w:r>
          </w:p>
        </w:tc>
        <w:tc>
          <w:tcPr>
            <w:tcW w:w="753" w:type="dxa"/>
            <w:vAlign w:val="center"/>
          </w:tcPr>
          <w:p w14:paraId="3BA51F55">
            <w:pPr>
              <w:pStyle w:val="12"/>
              <w:shd w:val="clear" w:color="FFFFFF" w:fill="auto"/>
              <w:tabs>
                <w:tab w:val="left" w:pos="993"/>
              </w:tabs>
              <w:spacing w:line="240" w:lineRule="auto"/>
              <w:rPr>
                <w:bCs/>
                <w:color w:val="000000"/>
                <w:sz w:val="18"/>
                <w:szCs w:val="18"/>
              </w:rPr>
            </w:pPr>
            <w:r>
              <w:rPr>
                <w:bCs/>
                <w:color w:val="000000"/>
                <w:sz w:val="18"/>
                <w:szCs w:val="18"/>
              </w:rPr>
              <w:t>54</w:t>
            </w:r>
          </w:p>
        </w:tc>
        <w:tc>
          <w:tcPr>
            <w:tcW w:w="753" w:type="dxa"/>
            <w:vAlign w:val="center"/>
          </w:tcPr>
          <w:p w14:paraId="2F6BE67E">
            <w:pPr>
              <w:pStyle w:val="12"/>
              <w:shd w:val="clear" w:color="FFFFFF" w:fill="auto"/>
              <w:tabs>
                <w:tab w:val="left" w:pos="993"/>
              </w:tabs>
              <w:spacing w:line="240" w:lineRule="auto"/>
              <w:rPr>
                <w:bCs/>
                <w:color w:val="000000"/>
                <w:sz w:val="18"/>
                <w:szCs w:val="18"/>
              </w:rPr>
            </w:pPr>
            <w:r>
              <w:rPr>
                <w:bCs/>
                <w:color w:val="000000"/>
                <w:sz w:val="18"/>
                <w:szCs w:val="18"/>
              </w:rPr>
              <w:t>78</w:t>
            </w:r>
          </w:p>
        </w:tc>
        <w:tc>
          <w:tcPr>
            <w:tcW w:w="753" w:type="dxa"/>
            <w:vAlign w:val="center"/>
          </w:tcPr>
          <w:p w14:paraId="5D2519B1">
            <w:pPr>
              <w:pStyle w:val="12"/>
              <w:shd w:val="clear" w:color="FFFFFF" w:fill="auto"/>
              <w:tabs>
                <w:tab w:val="left" w:pos="993"/>
              </w:tabs>
              <w:spacing w:line="240" w:lineRule="auto"/>
              <w:rPr>
                <w:bCs/>
                <w:color w:val="000000"/>
                <w:sz w:val="18"/>
                <w:szCs w:val="18"/>
              </w:rPr>
            </w:pPr>
            <w:r>
              <w:rPr>
                <w:bCs/>
                <w:color w:val="000000"/>
                <w:sz w:val="18"/>
                <w:szCs w:val="18"/>
              </w:rPr>
              <w:t>64</w:t>
            </w:r>
          </w:p>
        </w:tc>
        <w:tc>
          <w:tcPr>
            <w:tcW w:w="753" w:type="dxa"/>
            <w:vAlign w:val="center"/>
          </w:tcPr>
          <w:p w14:paraId="035BAB61">
            <w:pPr>
              <w:pStyle w:val="12"/>
              <w:shd w:val="clear" w:color="FFFFFF" w:fill="auto"/>
              <w:tabs>
                <w:tab w:val="left" w:pos="993"/>
              </w:tabs>
              <w:spacing w:line="240" w:lineRule="auto"/>
              <w:rPr>
                <w:bCs/>
                <w:color w:val="000000"/>
                <w:sz w:val="18"/>
                <w:szCs w:val="18"/>
              </w:rPr>
            </w:pPr>
            <w:r>
              <w:rPr>
                <w:bCs/>
                <w:color w:val="000000"/>
                <w:sz w:val="18"/>
                <w:szCs w:val="18"/>
              </w:rPr>
              <w:t>66</w:t>
            </w:r>
          </w:p>
        </w:tc>
        <w:tc>
          <w:tcPr>
            <w:tcW w:w="761" w:type="dxa"/>
            <w:vAlign w:val="center"/>
          </w:tcPr>
          <w:p w14:paraId="59FEE02C">
            <w:pPr>
              <w:pStyle w:val="12"/>
              <w:shd w:val="clear" w:color="FFFFFF" w:fill="auto"/>
              <w:tabs>
                <w:tab w:val="left" w:pos="993"/>
              </w:tabs>
              <w:spacing w:line="240" w:lineRule="auto"/>
              <w:rPr>
                <w:bCs/>
                <w:color w:val="000000"/>
                <w:sz w:val="18"/>
                <w:szCs w:val="18"/>
              </w:rPr>
            </w:pPr>
            <w:r>
              <w:rPr>
                <w:bCs/>
                <w:color w:val="000000"/>
                <w:sz w:val="18"/>
                <w:szCs w:val="18"/>
              </w:rPr>
              <w:t>53</w:t>
            </w:r>
          </w:p>
        </w:tc>
        <w:tc>
          <w:tcPr>
            <w:tcW w:w="753" w:type="dxa"/>
            <w:vAlign w:val="center"/>
          </w:tcPr>
          <w:p w14:paraId="4B0EF169">
            <w:pPr>
              <w:pStyle w:val="12"/>
              <w:shd w:val="clear" w:color="FFFFFF" w:fill="auto"/>
              <w:tabs>
                <w:tab w:val="left" w:pos="993"/>
              </w:tabs>
              <w:spacing w:line="240" w:lineRule="auto"/>
              <w:rPr>
                <w:bCs/>
                <w:color w:val="000000"/>
                <w:sz w:val="18"/>
                <w:szCs w:val="18"/>
              </w:rPr>
            </w:pPr>
            <w:r>
              <w:rPr>
                <w:bCs/>
                <w:color w:val="000000"/>
                <w:sz w:val="18"/>
                <w:szCs w:val="18"/>
              </w:rPr>
              <w:t>143</w:t>
            </w:r>
          </w:p>
        </w:tc>
        <w:tc>
          <w:tcPr>
            <w:tcW w:w="753" w:type="dxa"/>
            <w:vAlign w:val="center"/>
          </w:tcPr>
          <w:p w14:paraId="2789E190">
            <w:pPr>
              <w:pStyle w:val="12"/>
              <w:shd w:val="clear" w:color="FFFFFF" w:fill="auto"/>
              <w:tabs>
                <w:tab w:val="left" w:pos="993"/>
              </w:tabs>
              <w:spacing w:line="240" w:lineRule="auto"/>
              <w:rPr>
                <w:bCs/>
                <w:color w:val="000000"/>
                <w:sz w:val="18"/>
                <w:szCs w:val="18"/>
              </w:rPr>
            </w:pPr>
            <w:r>
              <w:rPr>
                <w:bCs/>
                <w:color w:val="000000"/>
                <w:sz w:val="18"/>
                <w:szCs w:val="18"/>
              </w:rPr>
              <w:t>81</w:t>
            </w:r>
          </w:p>
        </w:tc>
        <w:tc>
          <w:tcPr>
            <w:tcW w:w="834" w:type="dxa"/>
            <w:vAlign w:val="center"/>
          </w:tcPr>
          <w:p w14:paraId="5F88170B">
            <w:pPr>
              <w:pStyle w:val="12"/>
              <w:shd w:val="clear" w:color="FFFFFF" w:fill="auto"/>
              <w:tabs>
                <w:tab w:val="left" w:pos="993"/>
              </w:tabs>
              <w:spacing w:line="240" w:lineRule="auto"/>
              <w:rPr>
                <w:bCs/>
                <w:color w:val="000000"/>
                <w:sz w:val="18"/>
                <w:szCs w:val="18"/>
              </w:rPr>
            </w:pPr>
            <w:r>
              <w:rPr>
                <w:bCs/>
                <w:color w:val="000000"/>
                <w:sz w:val="18"/>
                <w:szCs w:val="18"/>
              </w:rPr>
              <w:t>40</w:t>
            </w:r>
          </w:p>
        </w:tc>
        <w:tc>
          <w:tcPr>
            <w:tcW w:w="843" w:type="dxa"/>
            <w:vAlign w:val="center"/>
          </w:tcPr>
          <w:p w14:paraId="442D7C8D">
            <w:pPr>
              <w:pStyle w:val="12"/>
              <w:shd w:val="clear" w:color="FFFFFF" w:fill="auto"/>
              <w:tabs>
                <w:tab w:val="left" w:pos="993"/>
              </w:tabs>
              <w:spacing w:line="240" w:lineRule="auto"/>
              <w:rPr>
                <w:bCs/>
                <w:color w:val="000000"/>
                <w:sz w:val="18"/>
                <w:szCs w:val="18"/>
              </w:rPr>
            </w:pPr>
            <w:r>
              <w:rPr>
                <w:bCs/>
                <w:color w:val="000000"/>
                <w:sz w:val="18"/>
                <w:szCs w:val="18"/>
              </w:rPr>
              <w:t>44</w:t>
            </w:r>
          </w:p>
        </w:tc>
        <w:tc>
          <w:tcPr>
            <w:tcW w:w="989" w:type="dxa"/>
            <w:vAlign w:val="center"/>
          </w:tcPr>
          <w:p w14:paraId="2CA70FEE">
            <w:pPr>
              <w:pStyle w:val="12"/>
              <w:shd w:val="clear" w:color="FFFFFF" w:fill="auto"/>
              <w:tabs>
                <w:tab w:val="left" w:pos="993"/>
              </w:tabs>
              <w:spacing w:line="240" w:lineRule="auto"/>
              <w:rPr>
                <w:bCs/>
                <w:color w:val="000000"/>
                <w:sz w:val="18"/>
                <w:szCs w:val="18"/>
              </w:rPr>
            </w:pPr>
            <w:r>
              <w:rPr>
                <w:bCs/>
                <w:color w:val="000000"/>
                <w:sz w:val="18"/>
                <w:szCs w:val="18"/>
              </w:rPr>
              <w:t>4500</w:t>
            </w:r>
          </w:p>
        </w:tc>
        <w:tc>
          <w:tcPr>
            <w:tcW w:w="989" w:type="dxa"/>
            <w:vAlign w:val="center"/>
          </w:tcPr>
          <w:p w14:paraId="390C356E">
            <w:pPr>
              <w:pStyle w:val="12"/>
              <w:shd w:val="clear" w:color="FFFFFF" w:fill="auto"/>
              <w:tabs>
                <w:tab w:val="left" w:pos="993"/>
              </w:tabs>
              <w:spacing w:line="240" w:lineRule="auto"/>
              <w:rPr>
                <w:bCs/>
                <w:color w:val="000000"/>
                <w:sz w:val="18"/>
                <w:szCs w:val="18"/>
              </w:rPr>
            </w:pPr>
            <w:r>
              <w:rPr>
                <w:bCs/>
                <w:color w:val="000000"/>
                <w:sz w:val="18"/>
                <w:szCs w:val="18"/>
              </w:rPr>
              <w:t>＜1</w:t>
            </w:r>
          </w:p>
        </w:tc>
      </w:tr>
      <w:tr w14:paraId="2064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244" w:type="dxa"/>
            <w:gridSpan w:val="2"/>
            <w:vAlign w:val="center"/>
          </w:tcPr>
          <w:p w14:paraId="630405DE">
            <w:pPr>
              <w:pStyle w:val="12"/>
              <w:tabs>
                <w:tab w:val="left" w:pos="993"/>
              </w:tabs>
              <w:spacing w:line="240" w:lineRule="auto"/>
              <w:rPr>
                <w:bCs/>
                <w:color w:val="000000"/>
                <w:sz w:val="18"/>
                <w:szCs w:val="18"/>
              </w:rPr>
            </w:pPr>
            <w:r>
              <w:rPr>
                <w:bCs/>
                <w:color w:val="000000"/>
                <w:sz w:val="18"/>
                <w:szCs w:val="18"/>
              </w:rPr>
              <w:t>PH</w:t>
            </w:r>
          </w:p>
        </w:tc>
        <w:tc>
          <w:tcPr>
            <w:tcW w:w="495" w:type="dxa"/>
            <w:vAlign w:val="center"/>
          </w:tcPr>
          <w:p w14:paraId="70E7CC61">
            <w:pPr>
              <w:pStyle w:val="12"/>
              <w:tabs>
                <w:tab w:val="left" w:pos="993"/>
              </w:tabs>
              <w:spacing w:line="240" w:lineRule="auto"/>
              <w:rPr>
                <w:bCs/>
                <w:color w:val="000000"/>
                <w:sz w:val="18"/>
                <w:szCs w:val="18"/>
              </w:rPr>
            </w:pPr>
            <w:r>
              <w:rPr>
                <w:bCs/>
                <w:color w:val="000000"/>
                <w:sz w:val="18"/>
                <w:szCs w:val="18"/>
              </w:rPr>
              <w:t>47</w:t>
            </w:r>
          </w:p>
        </w:tc>
        <w:tc>
          <w:tcPr>
            <w:tcW w:w="1858" w:type="dxa"/>
            <w:vAlign w:val="center"/>
          </w:tcPr>
          <w:p w14:paraId="62944779">
            <w:pPr>
              <w:pStyle w:val="12"/>
              <w:tabs>
                <w:tab w:val="left" w:pos="993"/>
              </w:tabs>
              <w:spacing w:line="240" w:lineRule="auto"/>
              <w:rPr>
                <w:bCs/>
                <w:color w:val="000000"/>
                <w:sz w:val="18"/>
                <w:szCs w:val="18"/>
              </w:rPr>
            </w:pPr>
            <w:r>
              <w:rPr>
                <w:bCs/>
                <w:color w:val="000000"/>
                <w:sz w:val="18"/>
                <w:szCs w:val="18"/>
              </w:rPr>
              <w:t>PH</w:t>
            </w:r>
          </w:p>
        </w:tc>
        <w:tc>
          <w:tcPr>
            <w:tcW w:w="722" w:type="dxa"/>
            <w:vAlign w:val="center"/>
          </w:tcPr>
          <w:p w14:paraId="413A9119">
            <w:pPr>
              <w:pStyle w:val="12"/>
              <w:tabs>
                <w:tab w:val="left" w:pos="993"/>
              </w:tabs>
              <w:spacing w:line="240" w:lineRule="auto"/>
              <w:rPr>
                <w:bCs/>
                <w:color w:val="000000"/>
                <w:sz w:val="18"/>
                <w:szCs w:val="18"/>
              </w:rPr>
            </w:pPr>
            <w:r>
              <w:rPr>
                <w:bCs/>
                <w:color w:val="000000"/>
                <w:sz w:val="18"/>
                <w:szCs w:val="18"/>
              </w:rPr>
              <w:t>无量纲</w:t>
            </w:r>
          </w:p>
        </w:tc>
        <w:tc>
          <w:tcPr>
            <w:tcW w:w="753" w:type="dxa"/>
            <w:vAlign w:val="center"/>
          </w:tcPr>
          <w:p w14:paraId="433F37CA">
            <w:pPr>
              <w:jc w:val="center"/>
              <w:textAlignment w:val="center"/>
              <w:rPr>
                <w:bCs/>
                <w:color w:val="000000"/>
                <w:sz w:val="18"/>
                <w:szCs w:val="18"/>
              </w:rPr>
            </w:pPr>
            <w:r>
              <w:rPr>
                <w:bCs/>
                <w:color w:val="000000"/>
                <w:kern w:val="0"/>
                <w:sz w:val="18"/>
                <w:szCs w:val="18"/>
              </w:rPr>
              <w:t>8.31</w:t>
            </w:r>
          </w:p>
        </w:tc>
        <w:tc>
          <w:tcPr>
            <w:tcW w:w="753" w:type="dxa"/>
            <w:vAlign w:val="center"/>
          </w:tcPr>
          <w:p w14:paraId="3FD9798B">
            <w:pPr>
              <w:jc w:val="center"/>
              <w:textAlignment w:val="center"/>
              <w:rPr>
                <w:bCs/>
                <w:color w:val="000000"/>
                <w:sz w:val="18"/>
                <w:szCs w:val="18"/>
              </w:rPr>
            </w:pPr>
            <w:r>
              <w:rPr>
                <w:bCs/>
                <w:color w:val="000000"/>
                <w:kern w:val="0"/>
                <w:sz w:val="18"/>
                <w:szCs w:val="18"/>
              </w:rPr>
              <w:t>8.31</w:t>
            </w:r>
          </w:p>
        </w:tc>
        <w:tc>
          <w:tcPr>
            <w:tcW w:w="753" w:type="dxa"/>
            <w:vAlign w:val="center"/>
          </w:tcPr>
          <w:p w14:paraId="08DD7FDA">
            <w:pPr>
              <w:jc w:val="center"/>
              <w:textAlignment w:val="center"/>
              <w:rPr>
                <w:bCs/>
                <w:color w:val="000000"/>
                <w:sz w:val="18"/>
                <w:szCs w:val="18"/>
              </w:rPr>
            </w:pPr>
            <w:r>
              <w:rPr>
                <w:bCs/>
                <w:color w:val="000000"/>
                <w:kern w:val="0"/>
                <w:sz w:val="18"/>
                <w:szCs w:val="18"/>
              </w:rPr>
              <w:t>8.10</w:t>
            </w:r>
          </w:p>
        </w:tc>
        <w:tc>
          <w:tcPr>
            <w:tcW w:w="753" w:type="dxa"/>
            <w:vAlign w:val="center"/>
          </w:tcPr>
          <w:p w14:paraId="151159A9">
            <w:pPr>
              <w:jc w:val="center"/>
              <w:textAlignment w:val="center"/>
              <w:rPr>
                <w:bCs/>
                <w:color w:val="000000"/>
                <w:sz w:val="18"/>
                <w:szCs w:val="18"/>
              </w:rPr>
            </w:pPr>
            <w:r>
              <w:rPr>
                <w:bCs/>
                <w:color w:val="000000"/>
                <w:kern w:val="0"/>
                <w:sz w:val="18"/>
                <w:szCs w:val="18"/>
              </w:rPr>
              <w:t>8.36</w:t>
            </w:r>
          </w:p>
        </w:tc>
        <w:tc>
          <w:tcPr>
            <w:tcW w:w="753" w:type="dxa"/>
            <w:vAlign w:val="center"/>
          </w:tcPr>
          <w:p w14:paraId="178DFA32">
            <w:pPr>
              <w:jc w:val="center"/>
              <w:textAlignment w:val="center"/>
              <w:rPr>
                <w:bCs/>
                <w:color w:val="000000"/>
                <w:sz w:val="18"/>
                <w:szCs w:val="18"/>
              </w:rPr>
            </w:pPr>
            <w:r>
              <w:rPr>
                <w:bCs/>
                <w:color w:val="000000"/>
                <w:kern w:val="0"/>
                <w:sz w:val="18"/>
                <w:szCs w:val="18"/>
              </w:rPr>
              <w:t>8.40</w:t>
            </w:r>
          </w:p>
        </w:tc>
        <w:tc>
          <w:tcPr>
            <w:tcW w:w="761" w:type="dxa"/>
            <w:vAlign w:val="center"/>
          </w:tcPr>
          <w:p w14:paraId="2ED94CC9">
            <w:pPr>
              <w:jc w:val="center"/>
              <w:textAlignment w:val="center"/>
              <w:rPr>
                <w:bCs/>
                <w:color w:val="000000"/>
                <w:sz w:val="18"/>
                <w:szCs w:val="18"/>
              </w:rPr>
            </w:pPr>
            <w:r>
              <w:rPr>
                <w:bCs/>
                <w:color w:val="000000"/>
                <w:kern w:val="0"/>
                <w:sz w:val="18"/>
                <w:szCs w:val="18"/>
              </w:rPr>
              <w:t>8.36</w:t>
            </w:r>
          </w:p>
        </w:tc>
        <w:tc>
          <w:tcPr>
            <w:tcW w:w="753" w:type="dxa"/>
            <w:vAlign w:val="center"/>
          </w:tcPr>
          <w:p w14:paraId="0565980A">
            <w:pPr>
              <w:pStyle w:val="12"/>
              <w:tabs>
                <w:tab w:val="left" w:pos="993"/>
              </w:tabs>
              <w:spacing w:line="240" w:lineRule="auto"/>
              <w:rPr>
                <w:bCs/>
                <w:color w:val="000000"/>
                <w:sz w:val="18"/>
                <w:szCs w:val="18"/>
              </w:rPr>
            </w:pPr>
            <w:r>
              <w:rPr>
                <w:bCs/>
                <w:color w:val="000000"/>
                <w:sz w:val="18"/>
                <w:szCs w:val="18"/>
              </w:rPr>
              <w:t>8.41</w:t>
            </w:r>
          </w:p>
        </w:tc>
        <w:tc>
          <w:tcPr>
            <w:tcW w:w="753" w:type="dxa"/>
            <w:vAlign w:val="center"/>
          </w:tcPr>
          <w:p w14:paraId="78ACDA1E">
            <w:pPr>
              <w:pStyle w:val="12"/>
              <w:shd w:val="clear" w:color="FFFFFF" w:fill="auto"/>
              <w:tabs>
                <w:tab w:val="left" w:pos="993"/>
              </w:tabs>
              <w:spacing w:line="240" w:lineRule="auto"/>
              <w:rPr>
                <w:bCs/>
                <w:color w:val="000000"/>
                <w:sz w:val="18"/>
                <w:szCs w:val="18"/>
              </w:rPr>
            </w:pPr>
            <w:r>
              <w:rPr>
                <w:bCs/>
                <w:color w:val="000000"/>
                <w:sz w:val="18"/>
                <w:szCs w:val="18"/>
              </w:rPr>
              <w:t>8.45</w:t>
            </w:r>
          </w:p>
        </w:tc>
        <w:tc>
          <w:tcPr>
            <w:tcW w:w="834" w:type="dxa"/>
            <w:vAlign w:val="center"/>
          </w:tcPr>
          <w:p w14:paraId="0C08E38D">
            <w:pPr>
              <w:pStyle w:val="12"/>
              <w:shd w:val="clear" w:color="FFFFFF" w:fill="auto"/>
              <w:tabs>
                <w:tab w:val="left" w:pos="993"/>
              </w:tabs>
              <w:spacing w:line="240" w:lineRule="auto"/>
              <w:rPr>
                <w:bCs/>
                <w:color w:val="000000"/>
                <w:sz w:val="18"/>
                <w:szCs w:val="18"/>
              </w:rPr>
            </w:pPr>
            <w:r>
              <w:rPr>
                <w:bCs/>
                <w:color w:val="000000"/>
                <w:sz w:val="18"/>
                <w:szCs w:val="18"/>
              </w:rPr>
              <w:t>8.43</w:t>
            </w:r>
          </w:p>
        </w:tc>
        <w:tc>
          <w:tcPr>
            <w:tcW w:w="843" w:type="dxa"/>
            <w:vAlign w:val="center"/>
          </w:tcPr>
          <w:p w14:paraId="563906F0">
            <w:pPr>
              <w:pStyle w:val="12"/>
              <w:shd w:val="clear" w:color="FFFFFF" w:fill="auto"/>
              <w:tabs>
                <w:tab w:val="left" w:pos="993"/>
              </w:tabs>
              <w:spacing w:line="240" w:lineRule="auto"/>
              <w:rPr>
                <w:bCs/>
                <w:color w:val="000000"/>
                <w:sz w:val="18"/>
                <w:szCs w:val="18"/>
              </w:rPr>
            </w:pPr>
            <w:r>
              <w:rPr>
                <w:bCs/>
                <w:color w:val="000000"/>
                <w:sz w:val="18"/>
                <w:szCs w:val="18"/>
              </w:rPr>
              <w:t>8.37</w:t>
            </w:r>
          </w:p>
        </w:tc>
        <w:tc>
          <w:tcPr>
            <w:tcW w:w="989" w:type="dxa"/>
            <w:vAlign w:val="center"/>
          </w:tcPr>
          <w:p w14:paraId="6A09463D">
            <w:pPr>
              <w:pStyle w:val="12"/>
              <w:tabs>
                <w:tab w:val="left" w:pos="993"/>
              </w:tabs>
              <w:spacing w:line="240" w:lineRule="auto"/>
              <w:rPr>
                <w:bCs/>
                <w:color w:val="000000"/>
                <w:sz w:val="18"/>
                <w:szCs w:val="18"/>
              </w:rPr>
            </w:pPr>
            <w:r>
              <w:rPr>
                <w:bCs/>
                <w:color w:val="000000"/>
                <w:sz w:val="18"/>
                <w:szCs w:val="18"/>
              </w:rPr>
              <w:t>/</w:t>
            </w:r>
          </w:p>
        </w:tc>
        <w:tc>
          <w:tcPr>
            <w:tcW w:w="989" w:type="dxa"/>
            <w:vAlign w:val="center"/>
          </w:tcPr>
          <w:p w14:paraId="3648BEB1">
            <w:pPr>
              <w:pStyle w:val="12"/>
              <w:shd w:val="clear" w:color="FFFFFF" w:fill="auto"/>
              <w:tabs>
                <w:tab w:val="left" w:pos="993"/>
              </w:tabs>
              <w:spacing w:line="240" w:lineRule="auto"/>
              <w:rPr>
                <w:bCs/>
                <w:color w:val="000000"/>
                <w:sz w:val="18"/>
                <w:szCs w:val="18"/>
              </w:rPr>
            </w:pPr>
            <w:r>
              <w:rPr>
                <w:bCs/>
                <w:color w:val="000000"/>
                <w:sz w:val="18"/>
                <w:szCs w:val="18"/>
              </w:rPr>
              <w:t>＜1</w:t>
            </w:r>
          </w:p>
        </w:tc>
      </w:tr>
    </w:tbl>
    <w:p w14:paraId="3EF6D6DA">
      <w:pPr>
        <w:rPr>
          <w:color w:val="000000"/>
        </w:rPr>
      </w:pPr>
    </w:p>
    <w:p w14:paraId="7D8680B3">
      <w:pPr>
        <w:rPr>
          <w:color w:val="000000"/>
        </w:rPr>
        <w:sectPr>
          <w:pgSz w:w="16838" w:h="11905" w:orient="landscape"/>
          <w:pgMar w:top="1803" w:right="1440" w:bottom="1803" w:left="1440" w:header="850" w:footer="907" w:gutter="0"/>
          <w:cols w:space="720" w:num="1"/>
          <w:docGrid w:type="lines" w:linePitch="332" w:charSpace="0"/>
        </w:sectPr>
      </w:pPr>
    </w:p>
    <w:p w14:paraId="59136189">
      <w:pPr>
        <w:pStyle w:val="13"/>
        <w:spacing w:beforeLines="50"/>
        <w:ind w:firstLine="0"/>
        <w:jc w:val="center"/>
        <w:rPr>
          <w:color w:val="000000"/>
          <w:sz w:val="21"/>
          <w:szCs w:val="21"/>
          <w:lang w:val="zh-CN"/>
        </w:rPr>
      </w:pPr>
      <w:r>
        <w:rPr>
          <w:color w:val="000000"/>
          <w:sz w:val="21"/>
          <w:szCs w:val="21"/>
          <w:lang w:val="zh-CN"/>
        </w:rPr>
        <w:t>表</w:t>
      </w:r>
      <w:r>
        <w:rPr>
          <w:color w:val="000000"/>
          <w:sz w:val="21"/>
          <w:szCs w:val="21"/>
        </w:rPr>
        <w:t>4</w:t>
      </w:r>
      <w:r>
        <w:rPr>
          <w:color w:val="000000"/>
          <w:sz w:val="21"/>
          <w:szCs w:val="21"/>
          <w:lang w:val="zh-CN"/>
        </w:rPr>
        <w:t>.3.5-</w:t>
      </w:r>
      <w:r>
        <w:rPr>
          <w:color w:val="000000"/>
          <w:sz w:val="21"/>
          <w:szCs w:val="21"/>
        </w:rPr>
        <w:t>3</w:t>
      </w:r>
      <w:r>
        <w:rPr>
          <w:color w:val="000000"/>
          <w:sz w:val="21"/>
          <w:szCs w:val="21"/>
          <w:lang w:val="zh-CN"/>
        </w:rPr>
        <w:t>-</w:t>
      </w:r>
      <w:r>
        <w:rPr>
          <w:color w:val="000000"/>
          <w:sz w:val="21"/>
          <w:szCs w:val="21"/>
        </w:rPr>
        <w:t>2</w:t>
      </w:r>
      <w:r>
        <w:rPr>
          <w:color w:val="000000"/>
          <w:sz w:val="21"/>
          <w:szCs w:val="21"/>
          <w:lang w:val="zh-CN"/>
        </w:rPr>
        <w:t xml:space="preserve">    土壤质量现状监测结果（</w:t>
      </w:r>
      <w:r>
        <w:rPr>
          <w:color w:val="000000"/>
          <w:sz w:val="21"/>
          <w:szCs w:val="21"/>
        </w:rPr>
        <w:t>引用监测</w:t>
      </w:r>
      <w:r>
        <w:rPr>
          <w:color w:val="000000"/>
          <w:sz w:val="21"/>
          <w:szCs w:val="21"/>
          <w:lang w:val="zh-CN"/>
        </w:rPr>
        <w:t>）    单位：mg/kg，pH除外</w:t>
      </w:r>
    </w:p>
    <w:tbl>
      <w:tblPr>
        <w:tblStyle w:val="7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2178"/>
        <w:gridCol w:w="1641"/>
        <w:gridCol w:w="1641"/>
        <w:gridCol w:w="1938"/>
        <w:gridCol w:w="927"/>
      </w:tblGrid>
      <w:tr w14:paraId="4D51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03" w:type="pct"/>
            <w:tcBorders>
              <w:top w:val="single" w:color="000000" w:sz="6" w:space="0"/>
            </w:tcBorders>
            <w:vAlign w:val="center"/>
          </w:tcPr>
          <w:p w14:paraId="37AE3F14">
            <w:pPr>
              <w:spacing w:line="240" w:lineRule="atLeast"/>
              <w:jc w:val="center"/>
              <w:rPr>
                <w:color w:val="000000"/>
                <w:sz w:val="21"/>
              </w:rPr>
            </w:pPr>
            <w:r>
              <w:rPr>
                <w:color w:val="000000"/>
                <w:sz w:val="21"/>
              </w:rPr>
              <w:t>序号</w:t>
            </w:r>
          </w:p>
        </w:tc>
        <w:tc>
          <w:tcPr>
            <w:tcW w:w="1203" w:type="pct"/>
            <w:tcBorders>
              <w:top w:val="single" w:color="000000" w:sz="6" w:space="0"/>
            </w:tcBorders>
            <w:vAlign w:val="center"/>
          </w:tcPr>
          <w:p w14:paraId="56B3FD39">
            <w:pPr>
              <w:spacing w:line="240" w:lineRule="atLeast"/>
              <w:jc w:val="center"/>
              <w:rPr>
                <w:color w:val="000000"/>
                <w:sz w:val="21"/>
              </w:rPr>
            </w:pPr>
            <w:r>
              <w:rPr>
                <w:color w:val="000000"/>
                <w:sz w:val="21"/>
              </w:rPr>
              <w:t>污染物项目</w:t>
            </w:r>
          </w:p>
        </w:tc>
        <w:tc>
          <w:tcPr>
            <w:tcW w:w="906" w:type="pct"/>
            <w:vAlign w:val="center"/>
          </w:tcPr>
          <w:p w14:paraId="2B6D1812">
            <w:pPr>
              <w:spacing w:line="240" w:lineRule="atLeast"/>
              <w:jc w:val="center"/>
              <w:rPr>
                <w:color w:val="000000"/>
                <w:kern w:val="0"/>
                <w:sz w:val="21"/>
                <w:lang w:bidi="en-US"/>
              </w:rPr>
            </w:pPr>
            <w:r>
              <w:rPr>
                <w:color w:val="000000"/>
                <w:kern w:val="0"/>
                <w:sz w:val="21"/>
                <w:lang w:bidi="en-US"/>
              </w:rPr>
              <w:t>T4</w:t>
            </w:r>
          </w:p>
        </w:tc>
        <w:tc>
          <w:tcPr>
            <w:tcW w:w="906" w:type="pct"/>
            <w:tcBorders>
              <w:top w:val="single" w:color="000000" w:sz="6" w:space="0"/>
            </w:tcBorders>
            <w:vAlign w:val="center"/>
          </w:tcPr>
          <w:p w14:paraId="10661794">
            <w:pPr>
              <w:spacing w:line="240" w:lineRule="atLeast"/>
              <w:jc w:val="center"/>
              <w:rPr>
                <w:color w:val="000000"/>
                <w:sz w:val="21"/>
              </w:rPr>
            </w:pPr>
            <w:r>
              <w:rPr>
                <w:color w:val="000000"/>
                <w:sz w:val="21"/>
              </w:rPr>
              <w:t>T14</w:t>
            </w:r>
          </w:p>
        </w:tc>
        <w:tc>
          <w:tcPr>
            <w:tcW w:w="1070" w:type="pct"/>
            <w:tcBorders>
              <w:top w:val="single" w:color="000000" w:sz="6" w:space="0"/>
            </w:tcBorders>
            <w:vAlign w:val="center"/>
          </w:tcPr>
          <w:p w14:paraId="0A9C61E4">
            <w:pPr>
              <w:spacing w:line="240" w:lineRule="atLeast"/>
              <w:jc w:val="center"/>
              <w:rPr>
                <w:color w:val="000000"/>
                <w:sz w:val="21"/>
              </w:rPr>
            </w:pPr>
            <w:r>
              <w:rPr>
                <w:color w:val="000000"/>
                <w:sz w:val="21"/>
              </w:rPr>
              <w:t>第二类用地筛选值</w:t>
            </w:r>
          </w:p>
        </w:tc>
        <w:tc>
          <w:tcPr>
            <w:tcW w:w="510" w:type="pct"/>
            <w:tcBorders>
              <w:top w:val="single" w:color="000000" w:sz="6" w:space="0"/>
            </w:tcBorders>
            <w:vAlign w:val="center"/>
          </w:tcPr>
          <w:p w14:paraId="194CA221">
            <w:pPr>
              <w:spacing w:line="240" w:lineRule="atLeast"/>
              <w:jc w:val="center"/>
              <w:rPr>
                <w:color w:val="000000"/>
                <w:sz w:val="21"/>
              </w:rPr>
            </w:pPr>
            <w:r>
              <w:rPr>
                <w:color w:val="000000"/>
                <w:sz w:val="21"/>
              </w:rPr>
              <w:t>Sij值</w:t>
            </w:r>
          </w:p>
        </w:tc>
      </w:tr>
      <w:tr w14:paraId="38EB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vAlign w:val="center"/>
          </w:tcPr>
          <w:p w14:paraId="29CC6B34">
            <w:pPr>
              <w:spacing w:line="240" w:lineRule="atLeast"/>
              <w:jc w:val="both"/>
              <w:rPr>
                <w:color w:val="000000"/>
                <w:sz w:val="21"/>
              </w:rPr>
            </w:pPr>
            <w:r>
              <w:rPr>
                <w:b/>
                <w:bCs/>
                <w:color w:val="000000"/>
                <w:sz w:val="21"/>
              </w:rPr>
              <w:t>重金属和无机物</w:t>
            </w:r>
          </w:p>
        </w:tc>
      </w:tr>
      <w:tr w14:paraId="2AB0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vAlign w:val="center"/>
          </w:tcPr>
          <w:p w14:paraId="19826F7B">
            <w:pPr>
              <w:spacing w:line="240" w:lineRule="atLeast"/>
              <w:jc w:val="center"/>
              <w:rPr>
                <w:color w:val="000000"/>
                <w:sz w:val="21"/>
              </w:rPr>
            </w:pPr>
            <w:r>
              <w:rPr>
                <w:color w:val="000000"/>
                <w:sz w:val="21"/>
              </w:rPr>
              <w:t>1</w:t>
            </w:r>
          </w:p>
        </w:tc>
        <w:tc>
          <w:tcPr>
            <w:tcW w:w="1203" w:type="pct"/>
            <w:vAlign w:val="center"/>
          </w:tcPr>
          <w:p w14:paraId="728CF96D">
            <w:pPr>
              <w:spacing w:line="240" w:lineRule="atLeast"/>
              <w:jc w:val="center"/>
              <w:rPr>
                <w:color w:val="000000"/>
                <w:sz w:val="21"/>
              </w:rPr>
            </w:pPr>
            <w:r>
              <w:rPr>
                <w:color w:val="000000"/>
                <w:sz w:val="21"/>
              </w:rPr>
              <w:t>砷</w:t>
            </w:r>
          </w:p>
        </w:tc>
        <w:tc>
          <w:tcPr>
            <w:tcW w:w="906" w:type="pct"/>
            <w:vAlign w:val="center"/>
          </w:tcPr>
          <w:p w14:paraId="37A29453">
            <w:pPr>
              <w:spacing w:line="240" w:lineRule="atLeast"/>
              <w:jc w:val="center"/>
              <w:rPr>
                <w:color w:val="000000"/>
                <w:sz w:val="21"/>
              </w:rPr>
            </w:pPr>
            <w:r>
              <w:rPr>
                <w:color w:val="000000"/>
                <w:kern w:val="0"/>
                <w:sz w:val="21"/>
              </w:rPr>
              <w:t>3.19</w:t>
            </w:r>
          </w:p>
        </w:tc>
        <w:tc>
          <w:tcPr>
            <w:tcW w:w="906" w:type="pct"/>
            <w:vAlign w:val="center"/>
          </w:tcPr>
          <w:p w14:paraId="30DB0B5E">
            <w:pPr>
              <w:spacing w:line="240" w:lineRule="atLeast"/>
              <w:jc w:val="center"/>
              <w:rPr>
                <w:color w:val="000000"/>
                <w:sz w:val="21"/>
              </w:rPr>
            </w:pPr>
            <w:r>
              <w:rPr>
                <w:color w:val="000000"/>
                <w:sz w:val="21"/>
              </w:rPr>
              <w:t>4.11</w:t>
            </w:r>
          </w:p>
        </w:tc>
        <w:tc>
          <w:tcPr>
            <w:tcW w:w="1070" w:type="pct"/>
            <w:vAlign w:val="center"/>
          </w:tcPr>
          <w:p w14:paraId="01602A1E">
            <w:pPr>
              <w:pStyle w:val="12"/>
              <w:tabs>
                <w:tab w:val="left" w:pos="993"/>
              </w:tabs>
              <w:spacing w:line="240" w:lineRule="auto"/>
              <w:rPr>
                <w:color w:val="000000"/>
                <w:sz w:val="21"/>
                <w:szCs w:val="21"/>
              </w:rPr>
            </w:pPr>
            <w:r>
              <w:rPr>
                <w:bCs/>
                <w:color w:val="000000"/>
                <w:sz w:val="18"/>
                <w:szCs w:val="18"/>
              </w:rPr>
              <w:t>60</w:t>
            </w:r>
          </w:p>
        </w:tc>
        <w:tc>
          <w:tcPr>
            <w:tcW w:w="510" w:type="pct"/>
            <w:vAlign w:val="center"/>
          </w:tcPr>
          <w:p w14:paraId="2E7B2D6B">
            <w:pPr>
              <w:spacing w:line="240" w:lineRule="atLeast"/>
              <w:jc w:val="center"/>
              <w:rPr>
                <w:color w:val="000000"/>
                <w:sz w:val="21"/>
              </w:rPr>
            </w:pPr>
            <w:r>
              <w:rPr>
                <w:color w:val="000000"/>
                <w:sz w:val="21"/>
              </w:rPr>
              <w:t>＜1</w:t>
            </w:r>
          </w:p>
        </w:tc>
      </w:tr>
      <w:tr w14:paraId="280A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403" w:type="pct"/>
            <w:vAlign w:val="center"/>
          </w:tcPr>
          <w:p w14:paraId="678863BD">
            <w:pPr>
              <w:spacing w:line="240" w:lineRule="atLeast"/>
              <w:jc w:val="center"/>
              <w:rPr>
                <w:color w:val="000000"/>
                <w:sz w:val="21"/>
              </w:rPr>
            </w:pPr>
            <w:r>
              <w:rPr>
                <w:color w:val="000000"/>
                <w:sz w:val="21"/>
              </w:rPr>
              <w:t>2</w:t>
            </w:r>
          </w:p>
        </w:tc>
        <w:tc>
          <w:tcPr>
            <w:tcW w:w="1203" w:type="pct"/>
            <w:vAlign w:val="center"/>
          </w:tcPr>
          <w:p w14:paraId="49741AB8">
            <w:pPr>
              <w:spacing w:line="240" w:lineRule="atLeast"/>
              <w:jc w:val="center"/>
              <w:rPr>
                <w:color w:val="000000"/>
                <w:sz w:val="21"/>
              </w:rPr>
            </w:pPr>
            <w:r>
              <w:rPr>
                <w:color w:val="000000"/>
                <w:sz w:val="21"/>
              </w:rPr>
              <w:t>镉</w:t>
            </w:r>
          </w:p>
        </w:tc>
        <w:tc>
          <w:tcPr>
            <w:tcW w:w="906" w:type="pct"/>
            <w:vAlign w:val="center"/>
          </w:tcPr>
          <w:p w14:paraId="37EDF500">
            <w:pPr>
              <w:spacing w:line="240" w:lineRule="atLeast"/>
              <w:jc w:val="center"/>
              <w:rPr>
                <w:color w:val="000000"/>
                <w:sz w:val="21"/>
              </w:rPr>
            </w:pPr>
            <w:r>
              <w:rPr>
                <w:color w:val="000000"/>
                <w:kern w:val="0"/>
                <w:sz w:val="21"/>
              </w:rPr>
              <w:t>0.318</w:t>
            </w:r>
          </w:p>
        </w:tc>
        <w:tc>
          <w:tcPr>
            <w:tcW w:w="906" w:type="pct"/>
            <w:vAlign w:val="center"/>
          </w:tcPr>
          <w:p w14:paraId="0FBAE768">
            <w:pPr>
              <w:spacing w:line="240" w:lineRule="atLeast"/>
              <w:jc w:val="center"/>
              <w:rPr>
                <w:color w:val="000000"/>
                <w:sz w:val="21"/>
              </w:rPr>
            </w:pPr>
            <w:r>
              <w:rPr>
                <w:color w:val="000000"/>
                <w:sz w:val="21"/>
              </w:rPr>
              <w:t>0.267</w:t>
            </w:r>
          </w:p>
        </w:tc>
        <w:tc>
          <w:tcPr>
            <w:tcW w:w="1070" w:type="pct"/>
            <w:vAlign w:val="center"/>
          </w:tcPr>
          <w:p w14:paraId="2A610320">
            <w:pPr>
              <w:pStyle w:val="12"/>
              <w:tabs>
                <w:tab w:val="left" w:pos="993"/>
              </w:tabs>
              <w:spacing w:line="240" w:lineRule="auto"/>
              <w:rPr>
                <w:color w:val="000000"/>
                <w:sz w:val="21"/>
                <w:szCs w:val="21"/>
              </w:rPr>
            </w:pPr>
            <w:r>
              <w:rPr>
                <w:bCs/>
                <w:color w:val="000000"/>
                <w:sz w:val="18"/>
                <w:szCs w:val="18"/>
              </w:rPr>
              <w:t>65</w:t>
            </w:r>
          </w:p>
        </w:tc>
        <w:tc>
          <w:tcPr>
            <w:tcW w:w="510" w:type="pct"/>
            <w:vAlign w:val="center"/>
          </w:tcPr>
          <w:p w14:paraId="1ABC683C">
            <w:pPr>
              <w:spacing w:line="240" w:lineRule="atLeast"/>
              <w:jc w:val="center"/>
              <w:rPr>
                <w:color w:val="000000"/>
                <w:sz w:val="21"/>
              </w:rPr>
            </w:pPr>
            <w:r>
              <w:rPr>
                <w:color w:val="000000"/>
                <w:sz w:val="21"/>
              </w:rPr>
              <w:t>＜1</w:t>
            </w:r>
          </w:p>
        </w:tc>
      </w:tr>
      <w:tr w14:paraId="434D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vAlign w:val="center"/>
          </w:tcPr>
          <w:p w14:paraId="31379B2C">
            <w:pPr>
              <w:spacing w:line="240" w:lineRule="atLeast"/>
              <w:jc w:val="center"/>
              <w:rPr>
                <w:color w:val="000000"/>
                <w:sz w:val="21"/>
              </w:rPr>
            </w:pPr>
            <w:r>
              <w:rPr>
                <w:color w:val="000000"/>
                <w:sz w:val="21"/>
              </w:rPr>
              <w:t>3</w:t>
            </w:r>
          </w:p>
        </w:tc>
        <w:tc>
          <w:tcPr>
            <w:tcW w:w="1203" w:type="pct"/>
            <w:vAlign w:val="center"/>
          </w:tcPr>
          <w:p w14:paraId="6EACC1E5">
            <w:pPr>
              <w:spacing w:line="240" w:lineRule="atLeast"/>
              <w:jc w:val="center"/>
              <w:rPr>
                <w:color w:val="000000"/>
                <w:sz w:val="21"/>
              </w:rPr>
            </w:pPr>
            <w:r>
              <w:rPr>
                <w:color w:val="000000"/>
                <w:sz w:val="21"/>
              </w:rPr>
              <w:t>六价铬</w:t>
            </w:r>
          </w:p>
        </w:tc>
        <w:tc>
          <w:tcPr>
            <w:tcW w:w="906" w:type="pct"/>
            <w:vAlign w:val="center"/>
          </w:tcPr>
          <w:p w14:paraId="3C961476">
            <w:pPr>
              <w:spacing w:line="240" w:lineRule="atLeast"/>
              <w:jc w:val="center"/>
              <w:rPr>
                <w:color w:val="000000"/>
                <w:sz w:val="21"/>
              </w:rPr>
            </w:pPr>
            <w:r>
              <w:rPr>
                <w:color w:val="000000"/>
                <w:kern w:val="0"/>
                <w:sz w:val="21"/>
              </w:rPr>
              <w:t>0.5L</w:t>
            </w:r>
          </w:p>
        </w:tc>
        <w:tc>
          <w:tcPr>
            <w:tcW w:w="906" w:type="pct"/>
            <w:vAlign w:val="center"/>
          </w:tcPr>
          <w:p w14:paraId="3629DCA2">
            <w:pPr>
              <w:spacing w:line="240" w:lineRule="atLeast"/>
              <w:jc w:val="center"/>
              <w:rPr>
                <w:color w:val="000000"/>
                <w:sz w:val="21"/>
              </w:rPr>
            </w:pPr>
            <w:r>
              <w:rPr>
                <w:color w:val="000000"/>
                <w:sz w:val="21"/>
              </w:rPr>
              <w:t>0.5L</w:t>
            </w:r>
          </w:p>
        </w:tc>
        <w:tc>
          <w:tcPr>
            <w:tcW w:w="1070" w:type="pct"/>
            <w:vAlign w:val="center"/>
          </w:tcPr>
          <w:p w14:paraId="01764F07">
            <w:pPr>
              <w:pStyle w:val="12"/>
              <w:tabs>
                <w:tab w:val="left" w:pos="993"/>
              </w:tabs>
              <w:spacing w:line="240" w:lineRule="auto"/>
              <w:rPr>
                <w:color w:val="000000"/>
                <w:sz w:val="21"/>
                <w:szCs w:val="21"/>
              </w:rPr>
            </w:pPr>
            <w:r>
              <w:rPr>
                <w:bCs/>
                <w:color w:val="000000"/>
                <w:sz w:val="18"/>
                <w:szCs w:val="18"/>
              </w:rPr>
              <w:t>5.7</w:t>
            </w:r>
          </w:p>
        </w:tc>
        <w:tc>
          <w:tcPr>
            <w:tcW w:w="510" w:type="pct"/>
            <w:vAlign w:val="center"/>
          </w:tcPr>
          <w:p w14:paraId="25F38A50">
            <w:pPr>
              <w:spacing w:line="240" w:lineRule="atLeast"/>
              <w:jc w:val="center"/>
              <w:rPr>
                <w:color w:val="000000"/>
                <w:sz w:val="21"/>
              </w:rPr>
            </w:pPr>
            <w:r>
              <w:rPr>
                <w:color w:val="000000"/>
                <w:sz w:val="21"/>
              </w:rPr>
              <w:t>＜1</w:t>
            </w:r>
          </w:p>
        </w:tc>
      </w:tr>
      <w:tr w14:paraId="39B1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vAlign w:val="center"/>
          </w:tcPr>
          <w:p w14:paraId="702FB57A">
            <w:pPr>
              <w:spacing w:line="240" w:lineRule="atLeast"/>
              <w:jc w:val="center"/>
              <w:rPr>
                <w:color w:val="000000"/>
                <w:sz w:val="21"/>
              </w:rPr>
            </w:pPr>
            <w:r>
              <w:rPr>
                <w:color w:val="000000"/>
                <w:sz w:val="21"/>
              </w:rPr>
              <w:t>4</w:t>
            </w:r>
          </w:p>
        </w:tc>
        <w:tc>
          <w:tcPr>
            <w:tcW w:w="1203" w:type="pct"/>
            <w:vAlign w:val="center"/>
          </w:tcPr>
          <w:p w14:paraId="4E214C56">
            <w:pPr>
              <w:spacing w:line="240" w:lineRule="atLeast"/>
              <w:jc w:val="center"/>
              <w:rPr>
                <w:color w:val="000000"/>
                <w:sz w:val="21"/>
              </w:rPr>
            </w:pPr>
            <w:r>
              <w:rPr>
                <w:color w:val="000000"/>
                <w:sz w:val="21"/>
              </w:rPr>
              <w:t>铜</w:t>
            </w:r>
          </w:p>
        </w:tc>
        <w:tc>
          <w:tcPr>
            <w:tcW w:w="906" w:type="pct"/>
            <w:vAlign w:val="center"/>
          </w:tcPr>
          <w:p w14:paraId="0BF7BB19">
            <w:pPr>
              <w:spacing w:line="240" w:lineRule="atLeast"/>
              <w:jc w:val="center"/>
              <w:rPr>
                <w:color w:val="000000"/>
                <w:sz w:val="21"/>
              </w:rPr>
            </w:pPr>
            <w:r>
              <w:rPr>
                <w:color w:val="000000"/>
                <w:kern w:val="0"/>
                <w:sz w:val="21"/>
              </w:rPr>
              <w:t>29</w:t>
            </w:r>
          </w:p>
        </w:tc>
        <w:tc>
          <w:tcPr>
            <w:tcW w:w="906" w:type="pct"/>
            <w:vAlign w:val="center"/>
          </w:tcPr>
          <w:p w14:paraId="652095F8">
            <w:pPr>
              <w:spacing w:line="240" w:lineRule="atLeast"/>
              <w:jc w:val="center"/>
              <w:rPr>
                <w:color w:val="000000"/>
                <w:sz w:val="21"/>
              </w:rPr>
            </w:pPr>
            <w:r>
              <w:rPr>
                <w:color w:val="000000"/>
                <w:sz w:val="21"/>
              </w:rPr>
              <w:t>28</w:t>
            </w:r>
          </w:p>
        </w:tc>
        <w:tc>
          <w:tcPr>
            <w:tcW w:w="1070" w:type="pct"/>
            <w:vAlign w:val="center"/>
          </w:tcPr>
          <w:p w14:paraId="0C14453E">
            <w:pPr>
              <w:pStyle w:val="12"/>
              <w:tabs>
                <w:tab w:val="left" w:pos="993"/>
              </w:tabs>
              <w:spacing w:line="240" w:lineRule="auto"/>
              <w:rPr>
                <w:color w:val="000000"/>
                <w:sz w:val="21"/>
                <w:szCs w:val="21"/>
              </w:rPr>
            </w:pPr>
            <w:r>
              <w:rPr>
                <w:bCs/>
                <w:color w:val="000000"/>
                <w:sz w:val="18"/>
                <w:szCs w:val="18"/>
              </w:rPr>
              <w:t>18000</w:t>
            </w:r>
          </w:p>
        </w:tc>
        <w:tc>
          <w:tcPr>
            <w:tcW w:w="510" w:type="pct"/>
            <w:vAlign w:val="center"/>
          </w:tcPr>
          <w:p w14:paraId="6C333636">
            <w:pPr>
              <w:spacing w:line="240" w:lineRule="atLeast"/>
              <w:jc w:val="center"/>
              <w:rPr>
                <w:color w:val="000000"/>
                <w:sz w:val="21"/>
              </w:rPr>
            </w:pPr>
            <w:r>
              <w:rPr>
                <w:color w:val="000000"/>
                <w:sz w:val="21"/>
              </w:rPr>
              <w:t>＜1</w:t>
            </w:r>
          </w:p>
        </w:tc>
      </w:tr>
      <w:tr w14:paraId="527C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0E31E565">
            <w:pPr>
              <w:spacing w:line="240" w:lineRule="atLeast"/>
              <w:jc w:val="center"/>
              <w:rPr>
                <w:color w:val="000000"/>
                <w:sz w:val="21"/>
              </w:rPr>
            </w:pPr>
            <w:r>
              <w:rPr>
                <w:color w:val="000000"/>
                <w:sz w:val="21"/>
              </w:rPr>
              <w:t>5</w:t>
            </w:r>
          </w:p>
        </w:tc>
        <w:tc>
          <w:tcPr>
            <w:tcW w:w="1203" w:type="pct"/>
            <w:vAlign w:val="center"/>
          </w:tcPr>
          <w:p w14:paraId="6E77BAD6">
            <w:pPr>
              <w:spacing w:line="240" w:lineRule="atLeast"/>
              <w:jc w:val="center"/>
              <w:rPr>
                <w:color w:val="000000"/>
                <w:sz w:val="21"/>
              </w:rPr>
            </w:pPr>
            <w:r>
              <w:rPr>
                <w:color w:val="000000"/>
                <w:sz w:val="21"/>
              </w:rPr>
              <w:t>铅</w:t>
            </w:r>
          </w:p>
        </w:tc>
        <w:tc>
          <w:tcPr>
            <w:tcW w:w="906" w:type="pct"/>
            <w:vAlign w:val="center"/>
          </w:tcPr>
          <w:p w14:paraId="26E7D88F">
            <w:pPr>
              <w:spacing w:line="240" w:lineRule="atLeast"/>
              <w:jc w:val="center"/>
              <w:rPr>
                <w:color w:val="000000"/>
                <w:sz w:val="21"/>
              </w:rPr>
            </w:pPr>
            <w:r>
              <w:rPr>
                <w:color w:val="000000"/>
                <w:kern w:val="0"/>
                <w:sz w:val="21"/>
              </w:rPr>
              <w:t>40</w:t>
            </w:r>
          </w:p>
        </w:tc>
        <w:tc>
          <w:tcPr>
            <w:tcW w:w="906" w:type="pct"/>
            <w:vAlign w:val="center"/>
          </w:tcPr>
          <w:p w14:paraId="0329256B">
            <w:pPr>
              <w:spacing w:line="240" w:lineRule="atLeast"/>
              <w:jc w:val="center"/>
              <w:rPr>
                <w:color w:val="000000"/>
                <w:sz w:val="21"/>
              </w:rPr>
            </w:pPr>
            <w:r>
              <w:rPr>
                <w:color w:val="000000"/>
                <w:sz w:val="21"/>
              </w:rPr>
              <w:t>34</w:t>
            </w:r>
          </w:p>
        </w:tc>
        <w:tc>
          <w:tcPr>
            <w:tcW w:w="1070" w:type="pct"/>
            <w:vAlign w:val="center"/>
          </w:tcPr>
          <w:p w14:paraId="677BC1AE">
            <w:pPr>
              <w:pStyle w:val="12"/>
              <w:tabs>
                <w:tab w:val="left" w:pos="993"/>
              </w:tabs>
              <w:spacing w:line="240" w:lineRule="auto"/>
              <w:rPr>
                <w:color w:val="000000"/>
                <w:sz w:val="21"/>
                <w:szCs w:val="21"/>
              </w:rPr>
            </w:pPr>
            <w:r>
              <w:rPr>
                <w:bCs/>
                <w:color w:val="000000"/>
                <w:sz w:val="18"/>
                <w:szCs w:val="18"/>
              </w:rPr>
              <w:t>800</w:t>
            </w:r>
          </w:p>
        </w:tc>
        <w:tc>
          <w:tcPr>
            <w:tcW w:w="510" w:type="pct"/>
            <w:vAlign w:val="center"/>
          </w:tcPr>
          <w:p w14:paraId="201E6E4D">
            <w:pPr>
              <w:spacing w:line="240" w:lineRule="atLeast"/>
              <w:jc w:val="center"/>
              <w:rPr>
                <w:color w:val="000000"/>
                <w:sz w:val="21"/>
              </w:rPr>
            </w:pPr>
            <w:r>
              <w:rPr>
                <w:color w:val="000000"/>
                <w:sz w:val="21"/>
              </w:rPr>
              <w:t>＜1</w:t>
            </w:r>
          </w:p>
        </w:tc>
      </w:tr>
      <w:tr w14:paraId="694A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3463604A">
            <w:pPr>
              <w:spacing w:line="240" w:lineRule="atLeast"/>
              <w:jc w:val="center"/>
              <w:rPr>
                <w:color w:val="000000"/>
                <w:sz w:val="21"/>
              </w:rPr>
            </w:pPr>
            <w:r>
              <w:rPr>
                <w:color w:val="000000"/>
                <w:sz w:val="21"/>
              </w:rPr>
              <w:t>6</w:t>
            </w:r>
          </w:p>
        </w:tc>
        <w:tc>
          <w:tcPr>
            <w:tcW w:w="1203" w:type="pct"/>
            <w:vAlign w:val="center"/>
          </w:tcPr>
          <w:p w14:paraId="4D6184A7">
            <w:pPr>
              <w:spacing w:line="240" w:lineRule="atLeast"/>
              <w:jc w:val="center"/>
              <w:rPr>
                <w:color w:val="000000"/>
                <w:sz w:val="21"/>
              </w:rPr>
            </w:pPr>
            <w:r>
              <w:rPr>
                <w:color w:val="000000"/>
                <w:sz w:val="21"/>
              </w:rPr>
              <w:t>汞</w:t>
            </w:r>
          </w:p>
        </w:tc>
        <w:tc>
          <w:tcPr>
            <w:tcW w:w="906" w:type="pct"/>
            <w:vAlign w:val="center"/>
          </w:tcPr>
          <w:p w14:paraId="35EA11DA">
            <w:pPr>
              <w:spacing w:line="240" w:lineRule="atLeast"/>
              <w:jc w:val="center"/>
              <w:rPr>
                <w:color w:val="000000"/>
                <w:sz w:val="21"/>
              </w:rPr>
            </w:pPr>
            <w:r>
              <w:rPr>
                <w:color w:val="000000"/>
                <w:kern w:val="0"/>
                <w:sz w:val="21"/>
              </w:rPr>
              <w:t>0.169</w:t>
            </w:r>
          </w:p>
        </w:tc>
        <w:tc>
          <w:tcPr>
            <w:tcW w:w="906" w:type="pct"/>
            <w:vAlign w:val="center"/>
          </w:tcPr>
          <w:p w14:paraId="7D406582">
            <w:pPr>
              <w:spacing w:line="240" w:lineRule="atLeast"/>
              <w:jc w:val="center"/>
              <w:rPr>
                <w:color w:val="000000"/>
                <w:sz w:val="21"/>
              </w:rPr>
            </w:pPr>
            <w:r>
              <w:rPr>
                <w:color w:val="000000"/>
                <w:sz w:val="21"/>
              </w:rPr>
              <w:t>0.222</w:t>
            </w:r>
          </w:p>
        </w:tc>
        <w:tc>
          <w:tcPr>
            <w:tcW w:w="1070" w:type="pct"/>
            <w:vAlign w:val="center"/>
          </w:tcPr>
          <w:p w14:paraId="214C327D">
            <w:pPr>
              <w:pStyle w:val="12"/>
              <w:tabs>
                <w:tab w:val="left" w:pos="993"/>
              </w:tabs>
              <w:spacing w:line="240" w:lineRule="auto"/>
              <w:rPr>
                <w:color w:val="000000"/>
                <w:sz w:val="21"/>
                <w:szCs w:val="21"/>
              </w:rPr>
            </w:pPr>
            <w:r>
              <w:rPr>
                <w:bCs/>
                <w:color w:val="000000"/>
                <w:sz w:val="18"/>
                <w:szCs w:val="18"/>
              </w:rPr>
              <w:t>38</w:t>
            </w:r>
          </w:p>
        </w:tc>
        <w:tc>
          <w:tcPr>
            <w:tcW w:w="510" w:type="pct"/>
            <w:vAlign w:val="center"/>
          </w:tcPr>
          <w:p w14:paraId="46CAB254">
            <w:pPr>
              <w:spacing w:line="240" w:lineRule="atLeast"/>
              <w:jc w:val="center"/>
              <w:rPr>
                <w:color w:val="000000"/>
                <w:sz w:val="21"/>
              </w:rPr>
            </w:pPr>
            <w:r>
              <w:rPr>
                <w:color w:val="000000"/>
                <w:sz w:val="21"/>
              </w:rPr>
              <w:t>＜1</w:t>
            </w:r>
          </w:p>
        </w:tc>
      </w:tr>
      <w:tr w14:paraId="3C84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39478787">
            <w:pPr>
              <w:spacing w:line="240" w:lineRule="atLeast"/>
              <w:jc w:val="center"/>
              <w:rPr>
                <w:color w:val="000000"/>
                <w:sz w:val="21"/>
              </w:rPr>
            </w:pPr>
            <w:r>
              <w:rPr>
                <w:color w:val="000000"/>
                <w:sz w:val="21"/>
              </w:rPr>
              <w:t>7</w:t>
            </w:r>
          </w:p>
        </w:tc>
        <w:tc>
          <w:tcPr>
            <w:tcW w:w="1203" w:type="pct"/>
            <w:vAlign w:val="center"/>
          </w:tcPr>
          <w:p w14:paraId="5C149A5D">
            <w:pPr>
              <w:spacing w:line="240" w:lineRule="atLeast"/>
              <w:jc w:val="center"/>
              <w:rPr>
                <w:color w:val="000000"/>
                <w:sz w:val="21"/>
              </w:rPr>
            </w:pPr>
            <w:r>
              <w:rPr>
                <w:color w:val="000000"/>
                <w:sz w:val="21"/>
              </w:rPr>
              <w:t>镍</w:t>
            </w:r>
          </w:p>
        </w:tc>
        <w:tc>
          <w:tcPr>
            <w:tcW w:w="906" w:type="pct"/>
            <w:vAlign w:val="center"/>
          </w:tcPr>
          <w:p w14:paraId="0A9EE1A8">
            <w:pPr>
              <w:spacing w:line="240" w:lineRule="atLeast"/>
              <w:jc w:val="center"/>
              <w:rPr>
                <w:color w:val="000000"/>
                <w:sz w:val="21"/>
              </w:rPr>
            </w:pPr>
            <w:r>
              <w:rPr>
                <w:color w:val="000000"/>
                <w:kern w:val="0"/>
                <w:sz w:val="21"/>
              </w:rPr>
              <w:t>24</w:t>
            </w:r>
          </w:p>
        </w:tc>
        <w:tc>
          <w:tcPr>
            <w:tcW w:w="906" w:type="pct"/>
            <w:vAlign w:val="center"/>
          </w:tcPr>
          <w:p w14:paraId="0372867E">
            <w:pPr>
              <w:spacing w:line="240" w:lineRule="atLeast"/>
              <w:jc w:val="center"/>
              <w:rPr>
                <w:color w:val="000000"/>
                <w:sz w:val="21"/>
              </w:rPr>
            </w:pPr>
            <w:r>
              <w:rPr>
                <w:color w:val="000000"/>
                <w:sz w:val="21"/>
              </w:rPr>
              <w:t>45</w:t>
            </w:r>
          </w:p>
        </w:tc>
        <w:tc>
          <w:tcPr>
            <w:tcW w:w="1070" w:type="pct"/>
            <w:vAlign w:val="center"/>
          </w:tcPr>
          <w:p w14:paraId="1140F282">
            <w:pPr>
              <w:pStyle w:val="12"/>
              <w:tabs>
                <w:tab w:val="left" w:pos="993"/>
              </w:tabs>
              <w:spacing w:line="240" w:lineRule="auto"/>
              <w:rPr>
                <w:color w:val="000000"/>
                <w:sz w:val="21"/>
                <w:szCs w:val="21"/>
              </w:rPr>
            </w:pPr>
            <w:r>
              <w:rPr>
                <w:bCs/>
                <w:color w:val="000000"/>
                <w:sz w:val="18"/>
                <w:szCs w:val="18"/>
              </w:rPr>
              <w:t>900</w:t>
            </w:r>
          </w:p>
        </w:tc>
        <w:tc>
          <w:tcPr>
            <w:tcW w:w="510" w:type="pct"/>
            <w:vAlign w:val="center"/>
          </w:tcPr>
          <w:p w14:paraId="1A2E2A9C">
            <w:pPr>
              <w:spacing w:line="240" w:lineRule="atLeast"/>
              <w:jc w:val="center"/>
              <w:rPr>
                <w:color w:val="000000"/>
                <w:sz w:val="21"/>
              </w:rPr>
            </w:pPr>
            <w:r>
              <w:rPr>
                <w:color w:val="000000"/>
                <w:sz w:val="21"/>
              </w:rPr>
              <w:t>＜1</w:t>
            </w:r>
          </w:p>
        </w:tc>
      </w:tr>
      <w:tr w14:paraId="3DFF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vAlign w:val="center"/>
          </w:tcPr>
          <w:p w14:paraId="141B32B9">
            <w:pPr>
              <w:spacing w:line="240" w:lineRule="atLeast"/>
              <w:jc w:val="both"/>
              <w:rPr>
                <w:color w:val="000000"/>
                <w:sz w:val="21"/>
              </w:rPr>
            </w:pPr>
            <w:r>
              <w:rPr>
                <w:b/>
                <w:bCs/>
                <w:color w:val="000000"/>
                <w:sz w:val="21"/>
              </w:rPr>
              <w:t>挥发性有机物</w:t>
            </w:r>
          </w:p>
        </w:tc>
      </w:tr>
      <w:tr w14:paraId="787F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789632B4">
            <w:pPr>
              <w:spacing w:line="240" w:lineRule="atLeast"/>
              <w:jc w:val="center"/>
              <w:rPr>
                <w:color w:val="000000"/>
                <w:sz w:val="21"/>
              </w:rPr>
            </w:pPr>
            <w:r>
              <w:rPr>
                <w:color w:val="000000"/>
                <w:sz w:val="21"/>
              </w:rPr>
              <w:t>8</w:t>
            </w:r>
          </w:p>
        </w:tc>
        <w:tc>
          <w:tcPr>
            <w:tcW w:w="1203" w:type="pct"/>
            <w:vAlign w:val="center"/>
          </w:tcPr>
          <w:p w14:paraId="09D24789">
            <w:pPr>
              <w:spacing w:line="240" w:lineRule="atLeast"/>
              <w:jc w:val="center"/>
              <w:rPr>
                <w:color w:val="000000"/>
                <w:sz w:val="21"/>
              </w:rPr>
            </w:pPr>
            <w:r>
              <w:rPr>
                <w:color w:val="000000"/>
                <w:sz w:val="21"/>
              </w:rPr>
              <w:t>四氯化碳</w:t>
            </w:r>
          </w:p>
        </w:tc>
        <w:tc>
          <w:tcPr>
            <w:tcW w:w="906" w:type="pct"/>
          </w:tcPr>
          <w:p w14:paraId="2F48543C">
            <w:pPr>
              <w:spacing w:line="240" w:lineRule="atLeast"/>
              <w:jc w:val="center"/>
              <w:rPr>
                <w:color w:val="000000"/>
                <w:sz w:val="21"/>
              </w:rPr>
            </w:pPr>
            <w:r>
              <w:rPr>
                <w:color w:val="000000"/>
                <w:sz w:val="21"/>
              </w:rPr>
              <w:t>0.0013L</w:t>
            </w:r>
          </w:p>
        </w:tc>
        <w:tc>
          <w:tcPr>
            <w:tcW w:w="906" w:type="pct"/>
          </w:tcPr>
          <w:p w14:paraId="0400D176">
            <w:pPr>
              <w:spacing w:line="240" w:lineRule="atLeast"/>
              <w:jc w:val="center"/>
              <w:rPr>
                <w:color w:val="000000"/>
                <w:sz w:val="21"/>
              </w:rPr>
            </w:pPr>
            <w:r>
              <w:rPr>
                <w:color w:val="000000"/>
                <w:sz w:val="21"/>
              </w:rPr>
              <w:t>0.0013L</w:t>
            </w:r>
          </w:p>
        </w:tc>
        <w:tc>
          <w:tcPr>
            <w:tcW w:w="1070" w:type="pct"/>
            <w:vAlign w:val="center"/>
          </w:tcPr>
          <w:p w14:paraId="1482E5F2">
            <w:pPr>
              <w:spacing w:line="240" w:lineRule="atLeast"/>
              <w:jc w:val="center"/>
              <w:rPr>
                <w:color w:val="000000"/>
                <w:sz w:val="21"/>
              </w:rPr>
            </w:pPr>
            <w:r>
              <w:rPr>
                <w:color w:val="000000"/>
                <w:sz w:val="21"/>
              </w:rPr>
              <w:t>2.8</w:t>
            </w:r>
          </w:p>
        </w:tc>
        <w:tc>
          <w:tcPr>
            <w:tcW w:w="510" w:type="pct"/>
            <w:vAlign w:val="center"/>
          </w:tcPr>
          <w:p w14:paraId="11154A41">
            <w:pPr>
              <w:spacing w:line="240" w:lineRule="atLeast"/>
              <w:jc w:val="center"/>
              <w:rPr>
                <w:color w:val="000000"/>
                <w:sz w:val="21"/>
              </w:rPr>
            </w:pPr>
            <w:r>
              <w:rPr>
                <w:color w:val="000000"/>
                <w:sz w:val="21"/>
              </w:rPr>
              <w:t>＜1</w:t>
            </w:r>
          </w:p>
        </w:tc>
      </w:tr>
      <w:tr w14:paraId="672A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24A92A79">
            <w:pPr>
              <w:spacing w:line="240" w:lineRule="atLeast"/>
              <w:jc w:val="center"/>
              <w:rPr>
                <w:color w:val="000000"/>
                <w:sz w:val="21"/>
              </w:rPr>
            </w:pPr>
            <w:r>
              <w:rPr>
                <w:color w:val="000000"/>
                <w:sz w:val="21"/>
              </w:rPr>
              <w:t>9</w:t>
            </w:r>
          </w:p>
        </w:tc>
        <w:tc>
          <w:tcPr>
            <w:tcW w:w="1203" w:type="pct"/>
            <w:vAlign w:val="center"/>
          </w:tcPr>
          <w:p w14:paraId="691FA0AC">
            <w:pPr>
              <w:spacing w:line="240" w:lineRule="atLeast"/>
              <w:jc w:val="center"/>
              <w:rPr>
                <w:color w:val="000000"/>
                <w:sz w:val="21"/>
              </w:rPr>
            </w:pPr>
            <w:r>
              <w:rPr>
                <w:color w:val="000000"/>
                <w:sz w:val="21"/>
              </w:rPr>
              <w:t>氯仿</w:t>
            </w:r>
          </w:p>
        </w:tc>
        <w:tc>
          <w:tcPr>
            <w:tcW w:w="906" w:type="pct"/>
          </w:tcPr>
          <w:p w14:paraId="2EF59F3C">
            <w:pPr>
              <w:spacing w:line="240" w:lineRule="atLeast"/>
              <w:jc w:val="center"/>
              <w:rPr>
                <w:color w:val="000000"/>
                <w:sz w:val="21"/>
              </w:rPr>
            </w:pPr>
            <w:r>
              <w:rPr>
                <w:color w:val="000000"/>
                <w:sz w:val="21"/>
              </w:rPr>
              <w:t>0.0011L</w:t>
            </w:r>
          </w:p>
        </w:tc>
        <w:tc>
          <w:tcPr>
            <w:tcW w:w="906" w:type="pct"/>
          </w:tcPr>
          <w:p w14:paraId="65C71088">
            <w:pPr>
              <w:spacing w:line="240" w:lineRule="atLeast"/>
              <w:jc w:val="center"/>
              <w:rPr>
                <w:color w:val="000000"/>
                <w:sz w:val="21"/>
              </w:rPr>
            </w:pPr>
            <w:r>
              <w:rPr>
                <w:color w:val="000000"/>
                <w:sz w:val="21"/>
              </w:rPr>
              <w:t>0.0011L</w:t>
            </w:r>
          </w:p>
        </w:tc>
        <w:tc>
          <w:tcPr>
            <w:tcW w:w="1070" w:type="pct"/>
            <w:vAlign w:val="center"/>
          </w:tcPr>
          <w:p w14:paraId="0588120B">
            <w:pPr>
              <w:spacing w:line="240" w:lineRule="atLeast"/>
              <w:jc w:val="center"/>
              <w:rPr>
                <w:color w:val="000000"/>
                <w:sz w:val="21"/>
              </w:rPr>
            </w:pPr>
            <w:r>
              <w:rPr>
                <w:color w:val="000000"/>
                <w:sz w:val="21"/>
              </w:rPr>
              <w:t>0.9</w:t>
            </w:r>
          </w:p>
        </w:tc>
        <w:tc>
          <w:tcPr>
            <w:tcW w:w="510" w:type="pct"/>
            <w:vAlign w:val="center"/>
          </w:tcPr>
          <w:p w14:paraId="76EF5F29">
            <w:pPr>
              <w:spacing w:line="240" w:lineRule="atLeast"/>
              <w:jc w:val="center"/>
              <w:rPr>
                <w:color w:val="000000"/>
                <w:sz w:val="21"/>
              </w:rPr>
            </w:pPr>
            <w:r>
              <w:rPr>
                <w:color w:val="000000"/>
                <w:sz w:val="21"/>
              </w:rPr>
              <w:t>＜1</w:t>
            </w:r>
          </w:p>
        </w:tc>
      </w:tr>
      <w:tr w14:paraId="788D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5F1630DD">
            <w:pPr>
              <w:spacing w:line="240" w:lineRule="atLeast"/>
              <w:jc w:val="center"/>
              <w:rPr>
                <w:color w:val="000000"/>
                <w:sz w:val="21"/>
              </w:rPr>
            </w:pPr>
            <w:r>
              <w:rPr>
                <w:color w:val="000000"/>
                <w:sz w:val="21"/>
              </w:rPr>
              <w:t>10</w:t>
            </w:r>
          </w:p>
        </w:tc>
        <w:tc>
          <w:tcPr>
            <w:tcW w:w="1203" w:type="pct"/>
            <w:vAlign w:val="center"/>
          </w:tcPr>
          <w:p w14:paraId="613BFD56">
            <w:pPr>
              <w:spacing w:line="240" w:lineRule="atLeast"/>
              <w:jc w:val="center"/>
              <w:rPr>
                <w:color w:val="000000"/>
                <w:sz w:val="21"/>
              </w:rPr>
            </w:pPr>
            <w:r>
              <w:rPr>
                <w:color w:val="000000"/>
                <w:sz w:val="21"/>
              </w:rPr>
              <w:t>氯甲烷</w:t>
            </w:r>
          </w:p>
        </w:tc>
        <w:tc>
          <w:tcPr>
            <w:tcW w:w="906" w:type="pct"/>
          </w:tcPr>
          <w:p w14:paraId="51C50CE7">
            <w:pPr>
              <w:spacing w:line="240" w:lineRule="atLeast"/>
              <w:jc w:val="center"/>
              <w:rPr>
                <w:color w:val="000000"/>
                <w:sz w:val="21"/>
              </w:rPr>
            </w:pPr>
            <w:r>
              <w:rPr>
                <w:color w:val="000000"/>
                <w:sz w:val="21"/>
              </w:rPr>
              <w:t>0.001L</w:t>
            </w:r>
          </w:p>
        </w:tc>
        <w:tc>
          <w:tcPr>
            <w:tcW w:w="906" w:type="pct"/>
            <w:vAlign w:val="center"/>
          </w:tcPr>
          <w:p w14:paraId="77D734F6">
            <w:pPr>
              <w:spacing w:line="240" w:lineRule="atLeast"/>
              <w:jc w:val="center"/>
              <w:rPr>
                <w:color w:val="000000"/>
                <w:sz w:val="21"/>
              </w:rPr>
            </w:pPr>
            <w:r>
              <w:rPr>
                <w:color w:val="000000"/>
                <w:sz w:val="21"/>
              </w:rPr>
              <w:t>0.001L</w:t>
            </w:r>
          </w:p>
        </w:tc>
        <w:tc>
          <w:tcPr>
            <w:tcW w:w="1070" w:type="pct"/>
            <w:vAlign w:val="center"/>
          </w:tcPr>
          <w:p w14:paraId="4B77AAEA">
            <w:pPr>
              <w:spacing w:line="240" w:lineRule="atLeast"/>
              <w:jc w:val="center"/>
              <w:rPr>
                <w:color w:val="000000"/>
                <w:sz w:val="21"/>
              </w:rPr>
            </w:pPr>
            <w:r>
              <w:rPr>
                <w:color w:val="000000"/>
                <w:sz w:val="21"/>
              </w:rPr>
              <w:t>9</w:t>
            </w:r>
          </w:p>
        </w:tc>
        <w:tc>
          <w:tcPr>
            <w:tcW w:w="510" w:type="pct"/>
            <w:vAlign w:val="center"/>
          </w:tcPr>
          <w:p w14:paraId="7CD6E44B">
            <w:pPr>
              <w:spacing w:line="240" w:lineRule="atLeast"/>
              <w:jc w:val="center"/>
              <w:rPr>
                <w:color w:val="000000"/>
                <w:sz w:val="21"/>
              </w:rPr>
            </w:pPr>
            <w:r>
              <w:rPr>
                <w:color w:val="000000"/>
                <w:sz w:val="21"/>
              </w:rPr>
              <w:t>＜1</w:t>
            </w:r>
          </w:p>
        </w:tc>
      </w:tr>
      <w:tr w14:paraId="7631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56BF3309">
            <w:pPr>
              <w:spacing w:line="240" w:lineRule="atLeast"/>
              <w:jc w:val="center"/>
              <w:rPr>
                <w:color w:val="000000"/>
                <w:sz w:val="21"/>
              </w:rPr>
            </w:pPr>
            <w:r>
              <w:rPr>
                <w:color w:val="000000"/>
                <w:sz w:val="21"/>
              </w:rPr>
              <w:t>11</w:t>
            </w:r>
          </w:p>
        </w:tc>
        <w:tc>
          <w:tcPr>
            <w:tcW w:w="1203" w:type="pct"/>
            <w:vAlign w:val="center"/>
          </w:tcPr>
          <w:p w14:paraId="6D259C0B">
            <w:pPr>
              <w:spacing w:line="240" w:lineRule="atLeast"/>
              <w:jc w:val="center"/>
              <w:rPr>
                <w:color w:val="000000"/>
                <w:sz w:val="21"/>
              </w:rPr>
            </w:pPr>
            <w:r>
              <w:rPr>
                <w:color w:val="000000"/>
                <w:sz w:val="21"/>
              </w:rPr>
              <w:t>1,1-二氯乙烷</w:t>
            </w:r>
          </w:p>
        </w:tc>
        <w:tc>
          <w:tcPr>
            <w:tcW w:w="906" w:type="pct"/>
          </w:tcPr>
          <w:p w14:paraId="61A969A6">
            <w:pPr>
              <w:spacing w:line="240" w:lineRule="atLeast"/>
              <w:jc w:val="center"/>
              <w:rPr>
                <w:color w:val="000000"/>
                <w:sz w:val="21"/>
              </w:rPr>
            </w:pPr>
            <w:r>
              <w:rPr>
                <w:color w:val="000000"/>
                <w:sz w:val="21"/>
              </w:rPr>
              <w:t>0.0012L</w:t>
            </w:r>
          </w:p>
        </w:tc>
        <w:tc>
          <w:tcPr>
            <w:tcW w:w="906" w:type="pct"/>
          </w:tcPr>
          <w:p w14:paraId="37029268">
            <w:pPr>
              <w:spacing w:line="240" w:lineRule="atLeast"/>
              <w:jc w:val="center"/>
              <w:rPr>
                <w:color w:val="000000"/>
                <w:sz w:val="21"/>
              </w:rPr>
            </w:pPr>
            <w:r>
              <w:rPr>
                <w:color w:val="000000"/>
                <w:sz w:val="21"/>
              </w:rPr>
              <w:t>0.0012L</w:t>
            </w:r>
          </w:p>
        </w:tc>
        <w:tc>
          <w:tcPr>
            <w:tcW w:w="1070" w:type="pct"/>
            <w:vAlign w:val="center"/>
          </w:tcPr>
          <w:p w14:paraId="334442E3">
            <w:pPr>
              <w:spacing w:line="240" w:lineRule="atLeast"/>
              <w:jc w:val="center"/>
              <w:rPr>
                <w:color w:val="000000"/>
                <w:sz w:val="21"/>
              </w:rPr>
            </w:pPr>
            <w:r>
              <w:rPr>
                <w:color w:val="000000"/>
                <w:sz w:val="21"/>
              </w:rPr>
              <w:t>5</w:t>
            </w:r>
          </w:p>
        </w:tc>
        <w:tc>
          <w:tcPr>
            <w:tcW w:w="510" w:type="pct"/>
            <w:vAlign w:val="center"/>
          </w:tcPr>
          <w:p w14:paraId="64ACAB9C">
            <w:pPr>
              <w:spacing w:line="240" w:lineRule="atLeast"/>
              <w:jc w:val="center"/>
              <w:rPr>
                <w:color w:val="000000"/>
                <w:sz w:val="21"/>
              </w:rPr>
            </w:pPr>
            <w:r>
              <w:rPr>
                <w:color w:val="000000"/>
                <w:sz w:val="21"/>
              </w:rPr>
              <w:t>＜1</w:t>
            </w:r>
          </w:p>
        </w:tc>
      </w:tr>
      <w:tr w14:paraId="719F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7E0767E5">
            <w:pPr>
              <w:spacing w:line="240" w:lineRule="atLeast"/>
              <w:jc w:val="center"/>
              <w:rPr>
                <w:color w:val="000000"/>
                <w:sz w:val="21"/>
              </w:rPr>
            </w:pPr>
            <w:r>
              <w:rPr>
                <w:color w:val="000000"/>
                <w:sz w:val="21"/>
              </w:rPr>
              <w:t>12</w:t>
            </w:r>
          </w:p>
        </w:tc>
        <w:tc>
          <w:tcPr>
            <w:tcW w:w="1203" w:type="pct"/>
            <w:vAlign w:val="center"/>
          </w:tcPr>
          <w:p w14:paraId="5580C097">
            <w:pPr>
              <w:spacing w:line="240" w:lineRule="atLeast"/>
              <w:jc w:val="center"/>
              <w:rPr>
                <w:color w:val="000000"/>
                <w:sz w:val="21"/>
              </w:rPr>
            </w:pPr>
            <w:r>
              <w:rPr>
                <w:color w:val="000000"/>
                <w:sz w:val="21"/>
              </w:rPr>
              <w:t>1,2-二氯乙烷</w:t>
            </w:r>
          </w:p>
        </w:tc>
        <w:tc>
          <w:tcPr>
            <w:tcW w:w="906" w:type="pct"/>
          </w:tcPr>
          <w:p w14:paraId="43D8BBF0">
            <w:pPr>
              <w:spacing w:line="240" w:lineRule="atLeast"/>
              <w:jc w:val="center"/>
              <w:rPr>
                <w:color w:val="000000"/>
                <w:sz w:val="21"/>
              </w:rPr>
            </w:pPr>
            <w:r>
              <w:rPr>
                <w:color w:val="000000"/>
                <w:sz w:val="21"/>
              </w:rPr>
              <w:t>0.0013L</w:t>
            </w:r>
          </w:p>
        </w:tc>
        <w:tc>
          <w:tcPr>
            <w:tcW w:w="906" w:type="pct"/>
          </w:tcPr>
          <w:p w14:paraId="221054CC">
            <w:pPr>
              <w:spacing w:line="240" w:lineRule="atLeast"/>
              <w:jc w:val="center"/>
              <w:rPr>
                <w:color w:val="000000"/>
                <w:sz w:val="21"/>
              </w:rPr>
            </w:pPr>
            <w:r>
              <w:rPr>
                <w:color w:val="000000"/>
                <w:sz w:val="21"/>
              </w:rPr>
              <w:t>0.0013L</w:t>
            </w:r>
          </w:p>
        </w:tc>
        <w:tc>
          <w:tcPr>
            <w:tcW w:w="1070" w:type="pct"/>
            <w:vAlign w:val="center"/>
          </w:tcPr>
          <w:p w14:paraId="6DD58E69">
            <w:pPr>
              <w:spacing w:line="240" w:lineRule="atLeast"/>
              <w:jc w:val="center"/>
              <w:rPr>
                <w:color w:val="000000"/>
                <w:sz w:val="21"/>
              </w:rPr>
            </w:pPr>
            <w:r>
              <w:rPr>
                <w:color w:val="000000"/>
                <w:sz w:val="21"/>
              </w:rPr>
              <w:t>66</w:t>
            </w:r>
          </w:p>
        </w:tc>
        <w:tc>
          <w:tcPr>
            <w:tcW w:w="510" w:type="pct"/>
            <w:vAlign w:val="center"/>
          </w:tcPr>
          <w:p w14:paraId="16E60FEF">
            <w:pPr>
              <w:spacing w:line="240" w:lineRule="atLeast"/>
              <w:jc w:val="center"/>
              <w:rPr>
                <w:color w:val="000000"/>
                <w:sz w:val="21"/>
              </w:rPr>
            </w:pPr>
            <w:r>
              <w:rPr>
                <w:color w:val="000000"/>
                <w:sz w:val="21"/>
              </w:rPr>
              <w:t>＜1</w:t>
            </w:r>
          </w:p>
        </w:tc>
      </w:tr>
      <w:tr w14:paraId="67A0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782E94CC">
            <w:pPr>
              <w:spacing w:line="240" w:lineRule="atLeast"/>
              <w:jc w:val="center"/>
              <w:rPr>
                <w:color w:val="000000"/>
                <w:sz w:val="21"/>
              </w:rPr>
            </w:pPr>
            <w:r>
              <w:rPr>
                <w:color w:val="000000"/>
                <w:sz w:val="21"/>
              </w:rPr>
              <w:t>13</w:t>
            </w:r>
          </w:p>
        </w:tc>
        <w:tc>
          <w:tcPr>
            <w:tcW w:w="1203" w:type="pct"/>
            <w:vAlign w:val="center"/>
          </w:tcPr>
          <w:p w14:paraId="63809D43">
            <w:pPr>
              <w:spacing w:line="240" w:lineRule="atLeast"/>
              <w:jc w:val="center"/>
              <w:rPr>
                <w:color w:val="000000"/>
                <w:sz w:val="21"/>
              </w:rPr>
            </w:pPr>
            <w:r>
              <w:rPr>
                <w:color w:val="000000"/>
                <w:sz w:val="21"/>
              </w:rPr>
              <w:t>1,1-二氯乙烯</w:t>
            </w:r>
          </w:p>
        </w:tc>
        <w:tc>
          <w:tcPr>
            <w:tcW w:w="906" w:type="pct"/>
          </w:tcPr>
          <w:p w14:paraId="44B95458">
            <w:pPr>
              <w:spacing w:line="240" w:lineRule="atLeast"/>
              <w:jc w:val="center"/>
              <w:rPr>
                <w:color w:val="000000"/>
                <w:sz w:val="21"/>
              </w:rPr>
            </w:pPr>
            <w:r>
              <w:rPr>
                <w:color w:val="000000"/>
                <w:sz w:val="21"/>
              </w:rPr>
              <w:t>0.001L</w:t>
            </w:r>
          </w:p>
        </w:tc>
        <w:tc>
          <w:tcPr>
            <w:tcW w:w="906" w:type="pct"/>
          </w:tcPr>
          <w:p w14:paraId="3F43F5F0">
            <w:pPr>
              <w:spacing w:line="240" w:lineRule="atLeast"/>
              <w:jc w:val="center"/>
              <w:rPr>
                <w:color w:val="000000"/>
                <w:sz w:val="21"/>
              </w:rPr>
            </w:pPr>
            <w:r>
              <w:rPr>
                <w:color w:val="000000"/>
                <w:sz w:val="21"/>
              </w:rPr>
              <w:t>0.001L</w:t>
            </w:r>
          </w:p>
        </w:tc>
        <w:tc>
          <w:tcPr>
            <w:tcW w:w="1070" w:type="pct"/>
            <w:vAlign w:val="center"/>
          </w:tcPr>
          <w:p w14:paraId="025DB0EA">
            <w:pPr>
              <w:spacing w:line="240" w:lineRule="atLeast"/>
              <w:jc w:val="center"/>
              <w:rPr>
                <w:color w:val="000000"/>
                <w:sz w:val="21"/>
              </w:rPr>
            </w:pPr>
            <w:r>
              <w:rPr>
                <w:color w:val="000000"/>
                <w:sz w:val="21"/>
              </w:rPr>
              <w:t>596</w:t>
            </w:r>
          </w:p>
        </w:tc>
        <w:tc>
          <w:tcPr>
            <w:tcW w:w="510" w:type="pct"/>
            <w:vAlign w:val="center"/>
          </w:tcPr>
          <w:p w14:paraId="6DF52542">
            <w:pPr>
              <w:spacing w:line="240" w:lineRule="atLeast"/>
              <w:jc w:val="center"/>
              <w:rPr>
                <w:color w:val="000000"/>
                <w:sz w:val="21"/>
              </w:rPr>
            </w:pPr>
            <w:r>
              <w:rPr>
                <w:color w:val="000000"/>
                <w:sz w:val="21"/>
              </w:rPr>
              <w:t>＜1</w:t>
            </w:r>
          </w:p>
        </w:tc>
      </w:tr>
      <w:tr w14:paraId="398F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5DDFAF4C">
            <w:pPr>
              <w:spacing w:line="240" w:lineRule="atLeast"/>
              <w:jc w:val="center"/>
              <w:rPr>
                <w:color w:val="000000"/>
                <w:sz w:val="21"/>
              </w:rPr>
            </w:pPr>
            <w:r>
              <w:rPr>
                <w:color w:val="000000"/>
                <w:sz w:val="21"/>
              </w:rPr>
              <w:t>14</w:t>
            </w:r>
          </w:p>
        </w:tc>
        <w:tc>
          <w:tcPr>
            <w:tcW w:w="1203" w:type="pct"/>
            <w:vAlign w:val="center"/>
          </w:tcPr>
          <w:p w14:paraId="018B0926">
            <w:pPr>
              <w:spacing w:line="240" w:lineRule="atLeast"/>
              <w:jc w:val="center"/>
              <w:rPr>
                <w:color w:val="000000"/>
                <w:sz w:val="21"/>
              </w:rPr>
            </w:pPr>
            <w:r>
              <w:rPr>
                <w:color w:val="000000"/>
                <w:sz w:val="21"/>
              </w:rPr>
              <w:t>顺-1,2-二氯乙烯</w:t>
            </w:r>
          </w:p>
        </w:tc>
        <w:tc>
          <w:tcPr>
            <w:tcW w:w="906" w:type="pct"/>
          </w:tcPr>
          <w:p w14:paraId="452AF018">
            <w:pPr>
              <w:spacing w:line="240" w:lineRule="atLeast"/>
              <w:jc w:val="center"/>
              <w:rPr>
                <w:color w:val="000000"/>
                <w:sz w:val="21"/>
              </w:rPr>
            </w:pPr>
            <w:r>
              <w:rPr>
                <w:color w:val="000000"/>
                <w:sz w:val="21"/>
              </w:rPr>
              <w:t>0.0013L</w:t>
            </w:r>
          </w:p>
        </w:tc>
        <w:tc>
          <w:tcPr>
            <w:tcW w:w="906" w:type="pct"/>
          </w:tcPr>
          <w:p w14:paraId="408F8881">
            <w:pPr>
              <w:spacing w:line="240" w:lineRule="atLeast"/>
              <w:jc w:val="center"/>
              <w:rPr>
                <w:color w:val="000000"/>
                <w:sz w:val="21"/>
              </w:rPr>
            </w:pPr>
            <w:r>
              <w:rPr>
                <w:color w:val="000000"/>
                <w:sz w:val="21"/>
              </w:rPr>
              <w:t>0.0013L</w:t>
            </w:r>
          </w:p>
        </w:tc>
        <w:tc>
          <w:tcPr>
            <w:tcW w:w="1070" w:type="pct"/>
            <w:vAlign w:val="center"/>
          </w:tcPr>
          <w:p w14:paraId="7BE11B07">
            <w:pPr>
              <w:spacing w:line="240" w:lineRule="atLeast"/>
              <w:jc w:val="center"/>
              <w:rPr>
                <w:color w:val="000000"/>
                <w:sz w:val="21"/>
              </w:rPr>
            </w:pPr>
            <w:r>
              <w:rPr>
                <w:color w:val="000000"/>
                <w:sz w:val="21"/>
              </w:rPr>
              <w:t>54</w:t>
            </w:r>
          </w:p>
        </w:tc>
        <w:tc>
          <w:tcPr>
            <w:tcW w:w="510" w:type="pct"/>
            <w:vAlign w:val="center"/>
          </w:tcPr>
          <w:p w14:paraId="35521EC0">
            <w:pPr>
              <w:spacing w:line="240" w:lineRule="atLeast"/>
              <w:jc w:val="center"/>
              <w:rPr>
                <w:color w:val="000000"/>
                <w:sz w:val="21"/>
              </w:rPr>
            </w:pPr>
            <w:r>
              <w:rPr>
                <w:color w:val="000000"/>
                <w:sz w:val="21"/>
              </w:rPr>
              <w:t>＜1</w:t>
            </w:r>
          </w:p>
        </w:tc>
      </w:tr>
      <w:tr w14:paraId="640A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67325F87">
            <w:pPr>
              <w:spacing w:line="240" w:lineRule="atLeast"/>
              <w:jc w:val="center"/>
              <w:rPr>
                <w:color w:val="000000"/>
                <w:sz w:val="21"/>
              </w:rPr>
            </w:pPr>
            <w:r>
              <w:rPr>
                <w:color w:val="000000"/>
                <w:sz w:val="21"/>
              </w:rPr>
              <w:t>15</w:t>
            </w:r>
          </w:p>
        </w:tc>
        <w:tc>
          <w:tcPr>
            <w:tcW w:w="1203" w:type="pct"/>
            <w:vAlign w:val="center"/>
          </w:tcPr>
          <w:p w14:paraId="70318DE9">
            <w:pPr>
              <w:spacing w:line="240" w:lineRule="atLeast"/>
              <w:jc w:val="center"/>
              <w:rPr>
                <w:color w:val="000000"/>
                <w:sz w:val="21"/>
              </w:rPr>
            </w:pPr>
            <w:r>
              <w:rPr>
                <w:color w:val="000000"/>
                <w:sz w:val="21"/>
              </w:rPr>
              <w:t>反-1,2-二氯乙烯</w:t>
            </w:r>
          </w:p>
        </w:tc>
        <w:tc>
          <w:tcPr>
            <w:tcW w:w="906" w:type="pct"/>
          </w:tcPr>
          <w:p w14:paraId="70DA48E3">
            <w:pPr>
              <w:spacing w:line="240" w:lineRule="atLeast"/>
              <w:jc w:val="center"/>
              <w:rPr>
                <w:color w:val="000000"/>
                <w:sz w:val="21"/>
              </w:rPr>
            </w:pPr>
            <w:r>
              <w:rPr>
                <w:color w:val="000000"/>
                <w:sz w:val="21"/>
              </w:rPr>
              <w:t>0.0014L</w:t>
            </w:r>
          </w:p>
        </w:tc>
        <w:tc>
          <w:tcPr>
            <w:tcW w:w="906" w:type="pct"/>
          </w:tcPr>
          <w:p w14:paraId="684FD9D5">
            <w:pPr>
              <w:spacing w:line="240" w:lineRule="atLeast"/>
              <w:jc w:val="center"/>
              <w:rPr>
                <w:color w:val="000000"/>
                <w:sz w:val="21"/>
              </w:rPr>
            </w:pPr>
            <w:r>
              <w:rPr>
                <w:color w:val="000000"/>
                <w:sz w:val="21"/>
              </w:rPr>
              <w:t>0.0014L</w:t>
            </w:r>
          </w:p>
        </w:tc>
        <w:tc>
          <w:tcPr>
            <w:tcW w:w="1070" w:type="pct"/>
            <w:vAlign w:val="center"/>
          </w:tcPr>
          <w:p w14:paraId="5FDCEF15">
            <w:pPr>
              <w:spacing w:line="240" w:lineRule="atLeast"/>
              <w:jc w:val="center"/>
              <w:rPr>
                <w:color w:val="000000"/>
                <w:sz w:val="21"/>
              </w:rPr>
            </w:pPr>
            <w:r>
              <w:rPr>
                <w:color w:val="000000"/>
                <w:sz w:val="21"/>
              </w:rPr>
              <w:t>616</w:t>
            </w:r>
          </w:p>
        </w:tc>
        <w:tc>
          <w:tcPr>
            <w:tcW w:w="510" w:type="pct"/>
            <w:vAlign w:val="center"/>
          </w:tcPr>
          <w:p w14:paraId="3851CE54">
            <w:pPr>
              <w:spacing w:line="240" w:lineRule="atLeast"/>
              <w:jc w:val="center"/>
              <w:rPr>
                <w:color w:val="000000"/>
                <w:sz w:val="21"/>
              </w:rPr>
            </w:pPr>
            <w:r>
              <w:rPr>
                <w:color w:val="000000"/>
                <w:sz w:val="21"/>
              </w:rPr>
              <w:t>＜1</w:t>
            </w:r>
          </w:p>
        </w:tc>
      </w:tr>
      <w:tr w14:paraId="64B6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vAlign w:val="center"/>
          </w:tcPr>
          <w:p w14:paraId="1DC0F44D">
            <w:pPr>
              <w:spacing w:line="240" w:lineRule="atLeast"/>
              <w:jc w:val="center"/>
              <w:rPr>
                <w:color w:val="000000"/>
                <w:sz w:val="21"/>
              </w:rPr>
            </w:pPr>
            <w:r>
              <w:rPr>
                <w:color w:val="000000"/>
                <w:sz w:val="21"/>
              </w:rPr>
              <w:t>16</w:t>
            </w:r>
          </w:p>
        </w:tc>
        <w:tc>
          <w:tcPr>
            <w:tcW w:w="1203" w:type="pct"/>
            <w:vAlign w:val="center"/>
          </w:tcPr>
          <w:p w14:paraId="5B8B67DC">
            <w:pPr>
              <w:spacing w:line="240" w:lineRule="atLeast"/>
              <w:jc w:val="center"/>
              <w:rPr>
                <w:color w:val="000000"/>
                <w:sz w:val="21"/>
              </w:rPr>
            </w:pPr>
            <w:r>
              <w:rPr>
                <w:color w:val="000000"/>
                <w:sz w:val="21"/>
              </w:rPr>
              <w:t>二氯甲烷</w:t>
            </w:r>
          </w:p>
        </w:tc>
        <w:tc>
          <w:tcPr>
            <w:tcW w:w="906" w:type="pct"/>
          </w:tcPr>
          <w:p w14:paraId="3851E24D">
            <w:pPr>
              <w:spacing w:line="240" w:lineRule="atLeast"/>
              <w:jc w:val="center"/>
              <w:rPr>
                <w:color w:val="000000"/>
                <w:sz w:val="21"/>
              </w:rPr>
            </w:pPr>
            <w:r>
              <w:rPr>
                <w:color w:val="000000"/>
                <w:sz w:val="21"/>
              </w:rPr>
              <w:t>0.0015L</w:t>
            </w:r>
          </w:p>
        </w:tc>
        <w:tc>
          <w:tcPr>
            <w:tcW w:w="906" w:type="pct"/>
          </w:tcPr>
          <w:p w14:paraId="58220687">
            <w:pPr>
              <w:spacing w:line="240" w:lineRule="atLeast"/>
              <w:jc w:val="center"/>
              <w:rPr>
                <w:color w:val="000000"/>
                <w:sz w:val="21"/>
              </w:rPr>
            </w:pPr>
            <w:r>
              <w:rPr>
                <w:color w:val="000000"/>
                <w:sz w:val="21"/>
              </w:rPr>
              <w:t>0.0015L</w:t>
            </w:r>
          </w:p>
        </w:tc>
        <w:tc>
          <w:tcPr>
            <w:tcW w:w="1070" w:type="pct"/>
            <w:vAlign w:val="center"/>
          </w:tcPr>
          <w:p w14:paraId="0737908A">
            <w:pPr>
              <w:spacing w:line="240" w:lineRule="atLeast"/>
              <w:jc w:val="center"/>
              <w:rPr>
                <w:color w:val="000000"/>
                <w:sz w:val="21"/>
              </w:rPr>
            </w:pPr>
            <w:r>
              <w:rPr>
                <w:color w:val="000000"/>
                <w:sz w:val="21"/>
              </w:rPr>
              <w:t>5</w:t>
            </w:r>
          </w:p>
        </w:tc>
        <w:tc>
          <w:tcPr>
            <w:tcW w:w="510" w:type="pct"/>
            <w:vAlign w:val="center"/>
          </w:tcPr>
          <w:p w14:paraId="7E0AFCCE">
            <w:pPr>
              <w:spacing w:line="240" w:lineRule="atLeast"/>
              <w:jc w:val="center"/>
              <w:rPr>
                <w:color w:val="000000"/>
                <w:sz w:val="21"/>
              </w:rPr>
            </w:pPr>
            <w:r>
              <w:rPr>
                <w:color w:val="000000"/>
                <w:sz w:val="21"/>
              </w:rPr>
              <w:t>＜1</w:t>
            </w:r>
          </w:p>
        </w:tc>
      </w:tr>
      <w:tr w14:paraId="6F43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vAlign w:val="center"/>
          </w:tcPr>
          <w:p w14:paraId="292AE8F4">
            <w:pPr>
              <w:spacing w:line="240" w:lineRule="atLeast"/>
              <w:jc w:val="center"/>
              <w:rPr>
                <w:color w:val="000000"/>
                <w:sz w:val="21"/>
              </w:rPr>
            </w:pPr>
            <w:r>
              <w:rPr>
                <w:color w:val="000000"/>
                <w:sz w:val="21"/>
              </w:rPr>
              <w:t>17</w:t>
            </w:r>
          </w:p>
        </w:tc>
        <w:tc>
          <w:tcPr>
            <w:tcW w:w="1203" w:type="pct"/>
            <w:vAlign w:val="center"/>
          </w:tcPr>
          <w:p w14:paraId="18DD8F8D">
            <w:pPr>
              <w:spacing w:line="240" w:lineRule="atLeast"/>
              <w:jc w:val="center"/>
              <w:rPr>
                <w:color w:val="000000"/>
                <w:sz w:val="21"/>
              </w:rPr>
            </w:pPr>
            <w:r>
              <w:rPr>
                <w:color w:val="000000"/>
                <w:sz w:val="21"/>
              </w:rPr>
              <w:t>1,2-二氯丙烷</w:t>
            </w:r>
          </w:p>
        </w:tc>
        <w:tc>
          <w:tcPr>
            <w:tcW w:w="906" w:type="pct"/>
          </w:tcPr>
          <w:p w14:paraId="133DA3F2">
            <w:pPr>
              <w:spacing w:line="240" w:lineRule="atLeast"/>
              <w:jc w:val="center"/>
              <w:rPr>
                <w:color w:val="000000"/>
                <w:sz w:val="21"/>
              </w:rPr>
            </w:pPr>
            <w:r>
              <w:rPr>
                <w:color w:val="000000"/>
                <w:sz w:val="21"/>
              </w:rPr>
              <w:t>0.0011L</w:t>
            </w:r>
          </w:p>
        </w:tc>
        <w:tc>
          <w:tcPr>
            <w:tcW w:w="906" w:type="pct"/>
          </w:tcPr>
          <w:p w14:paraId="183F64F3">
            <w:pPr>
              <w:spacing w:line="240" w:lineRule="atLeast"/>
              <w:jc w:val="center"/>
              <w:rPr>
                <w:color w:val="000000"/>
                <w:sz w:val="21"/>
              </w:rPr>
            </w:pPr>
            <w:r>
              <w:rPr>
                <w:color w:val="000000"/>
                <w:sz w:val="21"/>
              </w:rPr>
              <w:t>0.0011L</w:t>
            </w:r>
          </w:p>
        </w:tc>
        <w:tc>
          <w:tcPr>
            <w:tcW w:w="1070" w:type="pct"/>
            <w:vAlign w:val="center"/>
          </w:tcPr>
          <w:p w14:paraId="3AB8136E">
            <w:pPr>
              <w:spacing w:line="240" w:lineRule="atLeast"/>
              <w:jc w:val="center"/>
              <w:rPr>
                <w:color w:val="000000"/>
                <w:sz w:val="21"/>
              </w:rPr>
            </w:pPr>
            <w:r>
              <w:rPr>
                <w:color w:val="000000"/>
                <w:sz w:val="21"/>
              </w:rPr>
              <w:t>10</w:t>
            </w:r>
          </w:p>
        </w:tc>
        <w:tc>
          <w:tcPr>
            <w:tcW w:w="510" w:type="pct"/>
            <w:vAlign w:val="center"/>
          </w:tcPr>
          <w:p w14:paraId="4C760464">
            <w:pPr>
              <w:spacing w:line="240" w:lineRule="atLeast"/>
              <w:jc w:val="center"/>
              <w:rPr>
                <w:color w:val="000000"/>
                <w:sz w:val="21"/>
              </w:rPr>
            </w:pPr>
            <w:r>
              <w:rPr>
                <w:color w:val="000000"/>
                <w:sz w:val="21"/>
              </w:rPr>
              <w:t>＜1</w:t>
            </w:r>
          </w:p>
        </w:tc>
      </w:tr>
      <w:tr w14:paraId="0082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vAlign w:val="center"/>
          </w:tcPr>
          <w:p w14:paraId="11EDDCD8">
            <w:pPr>
              <w:spacing w:line="240" w:lineRule="atLeast"/>
              <w:jc w:val="center"/>
              <w:rPr>
                <w:color w:val="000000"/>
                <w:sz w:val="21"/>
              </w:rPr>
            </w:pPr>
            <w:r>
              <w:rPr>
                <w:color w:val="000000"/>
                <w:sz w:val="21"/>
              </w:rPr>
              <w:t>18</w:t>
            </w:r>
          </w:p>
        </w:tc>
        <w:tc>
          <w:tcPr>
            <w:tcW w:w="1203" w:type="pct"/>
            <w:vAlign w:val="center"/>
          </w:tcPr>
          <w:p w14:paraId="320AEECB">
            <w:pPr>
              <w:spacing w:line="240" w:lineRule="atLeast"/>
              <w:jc w:val="center"/>
              <w:rPr>
                <w:color w:val="000000"/>
                <w:sz w:val="21"/>
              </w:rPr>
            </w:pPr>
            <w:r>
              <w:rPr>
                <w:color w:val="000000"/>
                <w:sz w:val="21"/>
              </w:rPr>
              <w:t>1,1,1,2-四氯乙烷</w:t>
            </w:r>
          </w:p>
        </w:tc>
        <w:tc>
          <w:tcPr>
            <w:tcW w:w="906" w:type="pct"/>
          </w:tcPr>
          <w:p w14:paraId="31485E52">
            <w:pPr>
              <w:spacing w:line="240" w:lineRule="atLeast"/>
              <w:jc w:val="center"/>
              <w:rPr>
                <w:color w:val="000000"/>
                <w:sz w:val="21"/>
              </w:rPr>
            </w:pPr>
            <w:r>
              <w:rPr>
                <w:color w:val="000000"/>
                <w:sz w:val="21"/>
              </w:rPr>
              <w:t>0.0012L</w:t>
            </w:r>
          </w:p>
        </w:tc>
        <w:tc>
          <w:tcPr>
            <w:tcW w:w="906" w:type="pct"/>
          </w:tcPr>
          <w:p w14:paraId="457953BB">
            <w:pPr>
              <w:spacing w:line="240" w:lineRule="atLeast"/>
              <w:jc w:val="center"/>
              <w:rPr>
                <w:color w:val="000000"/>
                <w:sz w:val="21"/>
              </w:rPr>
            </w:pPr>
            <w:r>
              <w:rPr>
                <w:color w:val="000000"/>
                <w:sz w:val="21"/>
              </w:rPr>
              <w:t>0.0012L</w:t>
            </w:r>
          </w:p>
        </w:tc>
        <w:tc>
          <w:tcPr>
            <w:tcW w:w="1070" w:type="pct"/>
            <w:vAlign w:val="center"/>
          </w:tcPr>
          <w:p w14:paraId="06FEAA55">
            <w:pPr>
              <w:spacing w:line="240" w:lineRule="atLeast"/>
              <w:jc w:val="center"/>
              <w:rPr>
                <w:color w:val="000000"/>
                <w:sz w:val="21"/>
              </w:rPr>
            </w:pPr>
            <w:r>
              <w:rPr>
                <w:color w:val="000000"/>
                <w:sz w:val="21"/>
              </w:rPr>
              <w:t>6.8</w:t>
            </w:r>
          </w:p>
        </w:tc>
        <w:tc>
          <w:tcPr>
            <w:tcW w:w="510" w:type="pct"/>
            <w:vAlign w:val="center"/>
          </w:tcPr>
          <w:p w14:paraId="782CA976">
            <w:pPr>
              <w:spacing w:line="240" w:lineRule="atLeast"/>
              <w:jc w:val="center"/>
              <w:rPr>
                <w:color w:val="000000"/>
                <w:sz w:val="21"/>
              </w:rPr>
            </w:pPr>
            <w:r>
              <w:rPr>
                <w:color w:val="000000"/>
                <w:sz w:val="21"/>
              </w:rPr>
              <w:t>＜1</w:t>
            </w:r>
          </w:p>
        </w:tc>
      </w:tr>
      <w:tr w14:paraId="3352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5AA60527">
            <w:pPr>
              <w:spacing w:line="240" w:lineRule="atLeast"/>
              <w:jc w:val="center"/>
              <w:rPr>
                <w:color w:val="000000"/>
                <w:sz w:val="21"/>
              </w:rPr>
            </w:pPr>
            <w:r>
              <w:rPr>
                <w:color w:val="000000"/>
                <w:sz w:val="21"/>
              </w:rPr>
              <w:t>19</w:t>
            </w:r>
          </w:p>
        </w:tc>
        <w:tc>
          <w:tcPr>
            <w:tcW w:w="1203" w:type="pct"/>
            <w:vAlign w:val="center"/>
          </w:tcPr>
          <w:p w14:paraId="44C5E90B">
            <w:pPr>
              <w:spacing w:line="240" w:lineRule="atLeast"/>
              <w:jc w:val="center"/>
              <w:rPr>
                <w:color w:val="000000"/>
                <w:sz w:val="21"/>
              </w:rPr>
            </w:pPr>
            <w:r>
              <w:rPr>
                <w:color w:val="000000"/>
                <w:sz w:val="21"/>
              </w:rPr>
              <w:t>1,1,2,2-四氯乙烷</w:t>
            </w:r>
          </w:p>
        </w:tc>
        <w:tc>
          <w:tcPr>
            <w:tcW w:w="906" w:type="pct"/>
          </w:tcPr>
          <w:p w14:paraId="00A2D3B6">
            <w:pPr>
              <w:spacing w:line="240" w:lineRule="atLeast"/>
              <w:jc w:val="center"/>
              <w:rPr>
                <w:color w:val="000000"/>
                <w:sz w:val="21"/>
              </w:rPr>
            </w:pPr>
            <w:r>
              <w:rPr>
                <w:color w:val="000000"/>
                <w:sz w:val="21"/>
              </w:rPr>
              <w:t>0.0012L</w:t>
            </w:r>
          </w:p>
        </w:tc>
        <w:tc>
          <w:tcPr>
            <w:tcW w:w="906" w:type="pct"/>
          </w:tcPr>
          <w:p w14:paraId="46BB1865">
            <w:pPr>
              <w:spacing w:line="240" w:lineRule="atLeast"/>
              <w:jc w:val="center"/>
              <w:rPr>
                <w:color w:val="000000"/>
                <w:sz w:val="21"/>
              </w:rPr>
            </w:pPr>
            <w:r>
              <w:rPr>
                <w:color w:val="000000"/>
                <w:sz w:val="21"/>
              </w:rPr>
              <w:t>0.0012L</w:t>
            </w:r>
          </w:p>
        </w:tc>
        <w:tc>
          <w:tcPr>
            <w:tcW w:w="1070" w:type="pct"/>
            <w:vAlign w:val="center"/>
          </w:tcPr>
          <w:p w14:paraId="7EBB0932">
            <w:pPr>
              <w:spacing w:line="240" w:lineRule="atLeast"/>
              <w:jc w:val="center"/>
              <w:rPr>
                <w:color w:val="000000"/>
                <w:sz w:val="21"/>
              </w:rPr>
            </w:pPr>
            <w:r>
              <w:rPr>
                <w:color w:val="000000"/>
                <w:sz w:val="21"/>
              </w:rPr>
              <w:t>53</w:t>
            </w:r>
          </w:p>
        </w:tc>
        <w:tc>
          <w:tcPr>
            <w:tcW w:w="510" w:type="pct"/>
            <w:vAlign w:val="center"/>
          </w:tcPr>
          <w:p w14:paraId="2CAEB3EC">
            <w:pPr>
              <w:spacing w:line="240" w:lineRule="atLeast"/>
              <w:jc w:val="center"/>
              <w:rPr>
                <w:color w:val="000000"/>
                <w:sz w:val="21"/>
              </w:rPr>
            </w:pPr>
            <w:r>
              <w:rPr>
                <w:color w:val="000000"/>
                <w:sz w:val="21"/>
              </w:rPr>
              <w:t>＜1</w:t>
            </w:r>
          </w:p>
        </w:tc>
      </w:tr>
      <w:tr w14:paraId="3E74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43C62B0E">
            <w:pPr>
              <w:spacing w:line="240" w:lineRule="atLeast"/>
              <w:jc w:val="center"/>
              <w:rPr>
                <w:color w:val="000000"/>
                <w:sz w:val="21"/>
              </w:rPr>
            </w:pPr>
            <w:r>
              <w:rPr>
                <w:color w:val="000000"/>
                <w:sz w:val="21"/>
              </w:rPr>
              <w:t>20</w:t>
            </w:r>
          </w:p>
        </w:tc>
        <w:tc>
          <w:tcPr>
            <w:tcW w:w="1203" w:type="pct"/>
            <w:vAlign w:val="center"/>
          </w:tcPr>
          <w:p w14:paraId="6C7FE621">
            <w:pPr>
              <w:spacing w:line="240" w:lineRule="atLeast"/>
              <w:jc w:val="center"/>
              <w:rPr>
                <w:color w:val="000000"/>
                <w:sz w:val="21"/>
              </w:rPr>
            </w:pPr>
            <w:r>
              <w:rPr>
                <w:color w:val="000000"/>
                <w:sz w:val="21"/>
              </w:rPr>
              <w:t>四氯乙烯</w:t>
            </w:r>
          </w:p>
        </w:tc>
        <w:tc>
          <w:tcPr>
            <w:tcW w:w="906" w:type="pct"/>
          </w:tcPr>
          <w:p w14:paraId="51D59D94">
            <w:pPr>
              <w:spacing w:line="240" w:lineRule="atLeast"/>
              <w:jc w:val="center"/>
              <w:rPr>
                <w:color w:val="000000"/>
                <w:sz w:val="21"/>
              </w:rPr>
            </w:pPr>
            <w:r>
              <w:rPr>
                <w:color w:val="000000"/>
                <w:sz w:val="21"/>
              </w:rPr>
              <w:t>0.0014L</w:t>
            </w:r>
          </w:p>
        </w:tc>
        <w:tc>
          <w:tcPr>
            <w:tcW w:w="906" w:type="pct"/>
          </w:tcPr>
          <w:p w14:paraId="7DA0D802">
            <w:pPr>
              <w:spacing w:line="240" w:lineRule="atLeast"/>
              <w:jc w:val="center"/>
              <w:rPr>
                <w:color w:val="000000"/>
                <w:sz w:val="21"/>
              </w:rPr>
            </w:pPr>
            <w:r>
              <w:rPr>
                <w:color w:val="000000"/>
                <w:sz w:val="21"/>
              </w:rPr>
              <w:t>0.0014L</w:t>
            </w:r>
          </w:p>
        </w:tc>
        <w:tc>
          <w:tcPr>
            <w:tcW w:w="1070" w:type="pct"/>
            <w:vAlign w:val="center"/>
          </w:tcPr>
          <w:p w14:paraId="6E7BC3C2">
            <w:pPr>
              <w:spacing w:line="240" w:lineRule="atLeast"/>
              <w:jc w:val="center"/>
              <w:rPr>
                <w:color w:val="000000"/>
                <w:sz w:val="21"/>
              </w:rPr>
            </w:pPr>
            <w:r>
              <w:rPr>
                <w:color w:val="000000"/>
                <w:sz w:val="21"/>
              </w:rPr>
              <w:t>840</w:t>
            </w:r>
          </w:p>
        </w:tc>
        <w:tc>
          <w:tcPr>
            <w:tcW w:w="510" w:type="pct"/>
            <w:vAlign w:val="center"/>
          </w:tcPr>
          <w:p w14:paraId="28BD4164">
            <w:pPr>
              <w:spacing w:line="240" w:lineRule="atLeast"/>
              <w:jc w:val="center"/>
              <w:rPr>
                <w:color w:val="000000"/>
                <w:sz w:val="21"/>
              </w:rPr>
            </w:pPr>
            <w:r>
              <w:rPr>
                <w:color w:val="000000"/>
                <w:sz w:val="21"/>
              </w:rPr>
              <w:t>＜1</w:t>
            </w:r>
          </w:p>
        </w:tc>
      </w:tr>
      <w:tr w14:paraId="68C3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6F03BB35">
            <w:pPr>
              <w:spacing w:line="240" w:lineRule="atLeast"/>
              <w:jc w:val="center"/>
              <w:rPr>
                <w:color w:val="000000"/>
                <w:sz w:val="21"/>
              </w:rPr>
            </w:pPr>
            <w:r>
              <w:rPr>
                <w:color w:val="000000"/>
                <w:sz w:val="21"/>
              </w:rPr>
              <w:t>21</w:t>
            </w:r>
          </w:p>
        </w:tc>
        <w:tc>
          <w:tcPr>
            <w:tcW w:w="1203" w:type="pct"/>
            <w:vAlign w:val="center"/>
          </w:tcPr>
          <w:p w14:paraId="6A439B5C">
            <w:pPr>
              <w:spacing w:line="240" w:lineRule="atLeast"/>
              <w:jc w:val="center"/>
              <w:rPr>
                <w:color w:val="000000"/>
                <w:sz w:val="21"/>
              </w:rPr>
            </w:pPr>
            <w:r>
              <w:rPr>
                <w:color w:val="000000"/>
                <w:sz w:val="21"/>
              </w:rPr>
              <w:t>1,1,1-三氯乙烷</w:t>
            </w:r>
          </w:p>
        </w:tc>
        <w:tc>
          <w:tcPr>
            <w:tcW w:w="906" w:type="pct"/>
          </w:tcPr>
          <w:p w14:paraId="30361BCD">
            <w:pPr>
              <w:spacing w:line="240" w:lineRule="atLeast"/>
              <w:jc w:val="center"/>
              <w:rPr>
                <w:color w:val="000000"/>
                <w:sz w:val="21"/>
              </w:rPr>
            </w:pPr>
            <w:r>
              <w:rPr>
                <w:color w:val="000000"/>
                <w:sz w:val="21"/>
              </w:rPr>
              <w:t>0.0013L</w:t>
            </w:r>
          </w:p>
        </w:tc>
        <w:tc>
          <w:tcPr>
            <w:tcW w:w="906" w:type="pct"/>
          </w:tcPr>
          <w:p w14:paraId="215CDD67">
            <w:pPr>
              <w:spacing w:line="240" w:lineRule="atLeast"/>
              <w:jc w:val="center"/>
              <w:rPr>
                <w:color w:val="000000"/>
                <w:sz w:val="21"/>
              </w:rPr>
            </w:pPr>
            <w:r>
              <w:rPr>
                <w:color w:val="000000"/>
                <w:sz w:val="21"/>
              </w:rPr>
              <w:t>0.0013L</w:t>
            </w:r>
          </w:p>
        </w:tc>
        <w:tc>
          <w:tcPr>
            <w:tcW w:w="1070" w:type="pct"/>
            <w:vAlign w:val="center"/>
          </w:tcPr>
          <w:p w14:paraId="0F25EE71">
            <w:pPr>
              <w:spacing w:line="240" w:lineRule="atLeast"/>
              <w:jc w:val="center"/>
              <w:rPr>
                <w:color w:val="000000"/>
                <w:sz w:val="21"/>
              </w:rPr>
            </w:pPr>
            <w:r>
              <w:rPr>
                <w:color w:val="000000"/>
                <w:sz w:val="21"/>
              </w:rPr>
              <w:t>2.8</w:t>
            </w:r>
          </w:p>
        </w:tc>
        <w:tc>
          <w:tcPr>
            <w:tcW w:w="510" w:type="pct"/>
            <w:vAlign w:val="center"/>
          </w:tcPr>
          <w:p w14:paraId="713057F0">
            <w:pPr>
              <w:spacing w:line="240" w:lineRule="atLeast"/>
              <w:jc w:val="center"/>
              <w:rPr>
                <w:color w:val="000000"/>
                <w:sz w:val="21"/>
              </w:rPr>
            </w:pPr>
            <w:r>
              <w:rPr>
                <w:color w:val="000000"/>
                <w:sz w:val="21"/>
              </w:rPr>
              <w:t>＜1</w:t>
            </w:r>
          </w:p>
        </w:tc>
      </w:tr>
      <w:tr w14:paraId="17BA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1EB6BA95">
            <w:pPr>
              <w:spacing w:line="240" w:lineRule="atLeast"/>
              <w:jc w:val="center"/>
              <w:rPr>
                <w:color w:val="000000"/>
                <w:sz w:val="21"/>
              </w:rPr>
            </w:pPr>
            <w:r>
              <w:rPr>
                <w:color w:val="000000"/>
                <w:sz w:val="21"/>
              </w:rPr>
              <w:t>22</w:t>
            </w:r>
          </w:p>
        </w:tc>
        <w:tc>
          <w:tcPr>
            <w:tcW w:w="1203" w:type="pct"/>
            <w:vAlign w:val="center"/>
          </w:tcPr>
          <w:p w14:paraId="77F8506D">
            <w:pPr>
              <w:spacing w:line="240" w:lineRule="atLeast"/>
              <w:jc w:val="center"/>
              <w:rPr>
                <w:color w:val="000000"/>
                <w:sz w:val="21"/>
              </w:rPr>
            </w:pPr>
            <w:r>
              <w:rPr>
                <w:color w:val="000000"/>
                <w:sz w:val="21"/>
              </w:rPr>
              <w:t>1,1,2-三氯乙烷</w:t>
            </w:r>
          </w:p>
        </w:tc>
        <w:tc>
          <w:tcPr>
            <w:tcW w:w="906" w:type="pct"/>
          </w:tcPr>
          <w:p w14:paraId="6F390B91">
            <w:pPr>
              <w:spacing w:line="240" w:lineRule="atLeast"/>
              <w:jc w:val="center"/>
              <w:rPr>
                <w:color w:val="000000"/>
                <w:sz w:val="21"/>
              </w:rPr>
            </w:pPr>
            <w:r>
              <w:rPr>
                <w:color w:val="000000"/>
                <w:sz w:val="21"/>
              </w:rPr>
              <w:t>0.0012L</w:t>
            </w:r>
          </w:p>
        </w:tc>
        <w:tc>
          <w:tcPr>
            <w:tcW w:w="906" w:type="pct"/>
          </w:tcPr>
          <w:p w14:paraId="25E170BA">
            <w:pPr>
              <w:spacing w:line="240" w:lineRule="atLeast"/>
              <w:jc w:val="center"/>
              <w:rPr>
                <w:color w:val="000000"/>
                <w:sz w:val="21"/>
              </w:rPr>
            </w:pPr>
            <w:r>
              <w:rPr>
                <w:color w:val="000000"/>
                <w:sz w:val="21"/>
              </w:rPr>
              <w:t>0.0012L</w:t>
            </w:r>
          </w:p>
        </w:tc>
        <w:tc>
          <w:tcPr>
            <w:tcW w:w="1070" w:type="pct"/>
            <w:vAlign w:val="center"/>
          </w:tcPr>
          <w:p w14:paraId="473C3A4A">
            <w:pPr>
              <w:spacing w:line="240" w:lineRule="atLeast"/>
              <w:jc w:val="center"/>
              <w:rPr>
                <w:color w:val="000000"/>
                <w:sz w:val="21"/>
              </w:rPr>
            </w:pPr>
            <w:r>
              <w:rPr>
                <w:color w:val="000000"/>
                <w:sz w:val="21"/>
              </w:rPr>
              <w:t>2.8</w:t>
            </w:r>
          </w:p>
        </w:tc>
        <w:tc>
          <w:tcPr>
            <w:tcW w:w="510" w:type="pct"/>
            <w:vAlign w:val="center"/>
          </w:tcPr>
          <w:p w14:paraId="67861702">
            <w:pPr>
              <w:spacing w:line="240" w:lineRule="atLeast"/>
              <w:jc w:val="center"/>
              <w:rPr>
                <w:color w:val="000000"/>
                <w:sz w:val="21"/>
              </w:rPr>
            </w:pPr>
            <w:r>
              <w:rPr>
                <w:color w:val="000000"/>
                <w:sz w:val="21"/>
              </w:rPr>
              <w:t>＜1</w:t>
            </w:r>
          </w:p>
        </w:tc>
      </w:tr>
      <w:tr w14:paraId="53AE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68216BBF">
            <w:pPr>
              <w:spacing w:line="240" w:lineRule="atLeast"/>
              <w:jc w:val="center"/>
              <w:rPr>
                <w:color w:val="000000"/>
                <w:sz w:val="21"/>
              </w:rPr>
            </w:pPr>
            <w:r>
              <w:rPr>
                <w:color w:val="000000"/>
                <w:sz w:val="21"/>
              </w:rPr>
              <w:t>23</w:t>
            </w:r>
          </w:p>
        </w:tc>
        <w:tc>
          <w:tcPr>
            <w:tcW w:w="1203" w:type="pct"/>
            <w:vAlign w:val="center"/>
          </w:tcPr>
          <w:p w14:paraId="79407B25">
            <w:pPr>
              <w:spacing w:line="240" w:lineRule="atLeast"/>
              <w:jc w:val="center"/>
              <w:rPr>
                <w:color w:val="000000"/>
                <w:sz w:val="21"/>
              </w:rPr>
            </w:pPr>
            <w:r>
              <w:rPr>
                <w:color w:val="000000"/>
                <w:sz w:val="21"/>
              </w:rPr>
              <w:t>三氯乙烯</w:t>
            </w:r>
          </w:p>
        </w:tc>
        <w:tc>
          <w:tcPr>
            <w:tcW w:w="906" w:type="pct"/>
          </w:tcPr>
          <w:p w14:paraId="427F292A">
            <w:pPr>
              <w:spacing w:line="240" w:lineRule="atLeast"/>
              <w:jc w:val="center"/>
              <w:rPr>
                <w:color w:val="000000"/>
                <w:sz w:val="21"/>
              </w:rPr>
            </w:pPr>
            <w:r>
              <w:rPr>
                <w:color w:val="000000"/>
                <w:sz w:val="21"/>
              </w:rPr>
              <w:t>0.0012L</w:t>
            </w:r>
          </w:p>
        </w:tc>
        <w:tc>
          <w:tcPr>
            <w:tcW w:w="906" w:type="pct"/>
          </w:tcPr>
          <w:p w14:paraId="0A5513CB">
            <w:pPr>
              <w:spacing w:line="240" w:lineRule="atLeast"/>
              <w:jc w:val="center"/>
              <w:rPr>
                <w:color w:val="000000"/>
                <w:sz w:val="21"/>
              </w:rPr>
            </w:pPr>
            <w:r>
              <w:rPr>
                <w:color w:val="000000"/>
                <w:sz w:val="21"/>
              </w:rPr>
              <w:t>0.0012L</w:t>
            </w:r>
          </w:p>
        </w:tc>
        <w:tc>
          <w:tcPr>
            <w:tcW w:w="1070" w:type="pct"/>
            <w:vAlign w:val="center"/>
          </w:tcPr>
          <w:p w14:paraId="42C8281D">
            <w:pPr>
              <w:spacing w:line="240" w:lineRule="atLeast"/>
              <w:jc w:val="center"/>
              <w:rPr>
                <w:color w:val="000000"/>
                <w:sz w:val="21"/>
              </w:rPr>
            </w:pPr>
            <w:r>
              <w:rPr>
                <w:color w:val="000000"/>
                <w:sz w:val="21"/>
              </w:rPr>
              <w:t>0.5</w:t>
            </w:r>
          </w:p>
        </w:tc>
        <w:tc>
          <w:tcPr>
            <w:tcW w:w="510" w:type="pct"/>
            <w:vAlign w:val="center"/>
          </w:tcPr>
          <w:p w14:paraId="2087BAB3">
            <w:pPr>
              <w:spacing w:line="240" w:lineRule="atLeast"/>
              <w:jc w:val="center"/>
              <w:rPr>
                <w:color w:val="000000"/>
                <w:sz w:val="21"/>
              </w:rPr>
            </w:pPr>
            <w:r>
              <w:rPr>
                <w:color w:val="000000"/>
                <w:sz w:val="21"/>
              </w:rPr>
              <w:t>＜1</w:t>
            </w:r>
          </w:p>
        </w:tc>
      </w:tr>
      <w:tr w14:paraId="7902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0A2FE0A7">
            <w:pPr>
              <w:spacing w:line="240" w:lineRule="atLeast"/>
              <w:jc w:val="center"/>
              <w:rPr>
                <w:color w:val="000000"/>
                <w:sz w:val="21"/>
              </w:rPr>
            </w:pPr>
            <w:r>
              <w:rPr>
                <w:color w:val="000000"/>
                <w:sz w:val="21"/>
              </w:rPr>
              <w:t>24</w:t>
            </w:r>
          </w:p>
        </w:tc>
        <w:tc>
          <w:tcPr>
            <w:tcW w:w="1203" w:type="pct"/>
            <w:vAlign w:val="center"/>
          </w:tcPr>
          <w:p w14:paraId="0559AEF5">
            <w:pPr>
              <w:spacing w:line="240" w:lineRule="atLeast"/>
              <w:jc w:val="center"/>
              <w:rPr>
                <w:color w:val="000000"/>
                <w:sz w:val="21"/>
              </w:rPr>
            </w:pPr>
            <w:r>
              <w:rPr>
                <w:color w:val="000000"/>
                <w:sz w:val="21"/>
              </w:rPr>
              <w:t>1,2,3-三氯丙烷</w:t>
            </w:r>
          </w:p>
        </w:tc>
        <w:tc>
          <w:tcPr>
            <w:tcW w:w="906" w:type="pct"/>
          </w:tcPr>
          <w:p w14:paraId="00F9A86D">
            <w:pPr>
              <w:spacing w:line="240" w:lineRule="atLeast"/>
              <w:jc w:val="center"/>
              <w:rPr>
                <w:color w:val="000000"/>
                <w:sz w:val="21"/>
              </w:rPr>
            </w:pPr>
            <w:r>
              <w:rPr>
                <w:color w:val="000000"/>
                <w:sz w:val="21"/>
              </w:rPr>
              <w:t>0.0012L</w:t>
            </w:r>
          </w:p>
        </w:tc>
        <w:tc>
          <w:tcPr>
            <w:tcW w:w="906" w:type="pct"/>
          </w:tcPr>
          <w:p w14:paraId="52955387">
            <w:pPr>
              <w:spacing w:line="240" w:lineRule="atLeast"/>
              <w:jc w:val="center"/>
              <w:rPr>
                <w:color w:val="000000"/>
                <w:sz w:val="21"/>
              </w:rPr>
            </w:pPr>
            <w:r>
              <w:rPr>
                <w:color w:val="000000"/>
                <w:sz w:val="21"/>
              </w:rPr>
              <w:t>0.0012L</w:t>
            </w:r>
          </w:p>
        </w:tc>
        <w:tc>
          <w:tcPr>
            <w:tcW w:w="1070" w:type="pct"/>
            <w:vAlign w:val="center"/>
          </w:tcPr>
          <w:p w14:paraId="77F7BB5B">
            <w:pPr>
              <w:spacing w:line="240" w:lineRule="atLeast"/>
              <w:jc w:val="center"/>
              <w:rPr>
                <w:color w:val="000000"/>
                <w:sz w:val="21"/>
              </w:rPr>
            </w:pPr>
            <w:r>
              <w:rPr>
                <w:color w:val="000000"/>
                <w:sz w:val="21"/>
              </w:rPr>
              <w:t>0.43</w:t>
            </w:r>
          </w:p>
        </w:tc>
        <w:tc>
          <w:tcPr>
            <w:tcW w:w="510" w:type="pct"/>
            <w:vAlign w:val="center"/>
          </w:tcPr>
          <w:p w14:paraId="354B24C4">
            <w:pPr>
              <w:spacing w:line="240" w:lineRule="atLeast"/>
              <w:jc w:val="center"/>
              <w:rPr>
                <w:color w:val="000000"/>
                <w:sz w:val="21"/>
              </w:rPr>
            </w:pPr>
            <w:r>
              <w:rPr>
                <w:color w:val="000000"/>
                <w:sz w:val="21"/>
              </w:rPr>
              <w:t>＜1</w:t>
            </w:r>
          </w:p>
        </w:tc>
      </w:tr>
      <w:tr w14:paraId="4667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65F10C09">
            <w:pPr>
              <w:spacing w:line="240" w:lineRule="atLeast"/>
              <w:jc w:val="center"/>
              <w:rPr>
                <w:color w:val="000000"/>
                <w:sz w:val="21"/>
              </w:rPr>
            </w:pPr>
            <w:r>
              <w:rPr>
                <w:color w:val="000000"/>
                <w:sz w:val="21"/>
              </w:rPr>
              <w:t>25</w:t>
            </w:r>
          </w:p>
        </w:tc>
        <w:tc>
          <w:tcPr>
            <w:tcW w:w="1203" w:type="pct"/>
            <w:vAlign w:val="center"/>
          </w:tcPr>
          <w:p w14:paraId="00C754DA">
            <w:pPr>
              <w:spacing w:line="240" w:lineRule="atLeast"/>
              <w:jc w:val="center"/>
              <w:rPr>
                <w:color w:val="000000"/>
                <w:sz w:val="21"/>
              </w:rPr>
            </w:pPr>
            <w:r>
              <w:rPr>
                <w:color w:val="000000"/>
                <w:sz w:val="21"/>
              </w:rPr>
              <w:t>氯乙烯</w:t>
            </w:r>
          </w:p>
        </w:tc>
        <w:tc>
          <w:tcPr>
            <w:tcW w:w="906" w:type="pct"/>
          </w:tcPr>
          <w:p w14:paraId="133790BD">
            <w:pPr>
              <w:spacing w:line="240" w:lineRule="atLeast"/>
              <w:jc w:val="center"/>
              <w:rPr>
                <w:color w:val="000000"/>
                <w:sz w:val="21"/>
              </w:rPr>
            </w:pPr>
            <w:r>
              <w:rPr>
                <w:color w:val="000000"/>
                <w:sz w:val="21"/>
              </w:rPr>
              <w:t>0.001L</w:t>
            </w:r>
          </w:p>
        </w:tc>
        <w:tc>
          <w:tcPr>
            <w:tcW w:w="906" w:type="pct"/>
          </w:tcPr>
          <w:p w14:paraId="19730186">
            <w:pPr>
              <w:spacing w:line="240" w:lineRule="atLeast"/>
              <w:jc w:val="center"/>
              <w:rPr>
                <w:color w:val="000000"/>
                <w:sz w:val="21"/>
              </w:rPr>
            </w:pPr>
            <w:r>
              <w:rPr>
                <w:color w:val="000000"/>
                <w:sz w:val="21"/>
              </w:rPr>
              <w:t>0.001L</w:t>
            </w:r>
          </w:p>
        </w:tc>
        <w:tc>
          <w:tcPr>
            <w:tcW w:w="1070" w:type="pct"/>
            <w:vAlign w:val="center"/>
          </w:tcPr>
          <w:p w14:paraId="763E7BDD">
            <w:pPr>
              <w:spacing w:line="240" w:lineRule="atLeast"/>
              <w:jc w:val="center"/>
              <w:rPr>
                <w:color w:val="000000"/>
                <w:sz w:val="21"/>
              </w:rPr>
            </w:pPr>
            <w:r>
              <w:rPr>
                <w:color w:val="000000"/>
                <w:sz w:val="21"/>
              </w:rPr>
              <w:t>4</w:t>
            </w:r>
          </w:p>
        </w:tc>
        <w:tc>
          <w:tcPr>
            <w:tcW w:w="510" w:type="pct"/>
            <w:vAlign w:val="center"/>
          </w:tcPr>
          <w:p w14:paraId="3ECA3CB2">
            <w:pPr>
              <w:spacing w:line="240" w:lineRule="atLeast"/>
              <w:jc w:val="center"/>
              <w:rPr>
                <w:color w:val="000000"/>
                <w:sz w:val="21"/>
              </w:rPr>
            </w:pPr>
            <w:r>
              <w:rPr>
                <w:color w:val="000000"/>
                <w:sz w:val="21"/>
              </w:rPr>
              <w:t>＜1</w:t>
            </w:r>
          </w:p>
        </w:tc>
      </w:tr>
      <w:tr w14:paraId="63A5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vAlign w:val="center"/>
          </w:tcPr>
          <w:p w14:paraId="62A3F027">
            <w:pPr>
              <w:spacing w:line="240" w:lineRule="atLeast"/>
              <w:jc w:val="center"/>
              <w:rPr>
                <w:color w:val="000000"/>
                <w:sz w:val="21"/>
              </w:rPr>
            </w:pPr>
            <w:r>
              <w:rPr>
                <w:color w:val="000000"/>
                <w:sz w:val="21"/>
              </w:rPr>
              <w:t>26</w:t>
            </w:r>
          </w:p>
        </w:tc>
        <w:tc>
          <w:tcPr>
            <w:tcW w:w="1203" w:type="pct"/>
            <w:vAlign w:val="center"/>
          </w:tcPr>
          <w:p w14:paraId="1DDA6491">
            <w:pPr>
              <w:spacing w:line="240" w:lineRule="atLeast"/>
              <w:jc w:val="center"/>
              <w:rPr>
                <w:color w:val="000000"/>
                <w:sz w:val="21"/>
              </w:rPr>
            </w:pPr>
            <w:r>
              <w:rPr>
                <w:color w:val="000000"/>
                <w:sz w:val="21"/>
              </w:rPr>
              <w:t>苯</w:t>
            </w:r>
          </w:p>
        </w:tc>
        <w:tc>
          <w:tcPr>
            <w:tcW w:w="906" w:type="pct"/>
          </w:tcPr>
          <w:p w14:paraId="6A2A1755">
            <w:pPr>
              <w:spacing w:line="240" w:lineRule="atLeast"/>
              <w:jc w:val="center"/>
              <w:rPr>
                <w:color w:val="000000"/>
                <w:sz w:val="21"/>
              </w:rPr>
            </w:pPr>
            <w:r>
              <w:rPr>
                <w:color w:val="000000"/>
                <w:sz w:val="21"/>
              </w:rPr>
              <w:t>0.0019L</w:t>
            </w:r>
          </w:p>
        </w:tc>
        <w:tc>
          <w:tcPr>
            <w:tcW w:w="906" w:type="pct"/>
          </w:tcPr>
          <w:p w14:paraId="5AE105F9">
            <w:pPr>
              <w:spacing w:line="240" w:lineRule="atLeast"/>
              <w:jc w:val="center"/>
              <w:rPr>
                <w:color w:val="000000"/>
                <w:sz w:val="21"/>
              </w:rPr>
            </w:pPr>
            <w:r>
              <w:rPr>
                <w:color w:val="000000"/>
                <w:sz w:val="21"/>
              </w:rPr>
              <w:t>0.0019L</w:t>
            </w:r>
          </w:p>
        </w:tc>
        <w:tc>
          <w:tcPr>
            <w:tcW w:w="1070" w:type="pct"/>
            <w:vAlign w:val="center"/>
          </w:tcPr>
          <w:p w14:paraId="3F250B67">
            <w:pPr>
              <w:spacing w:line="240" w:lineRule="atLeast"/>
              <w:jc w:val="center"/>
              <w:rPr>
                <w:color w:val="000000"/>
                <w:sz w:val="21"/>
              </w:rPr>
            </w:pPr>
            <w:r>
              <w:rPr>
                <w:color w:val="000000"/>
                <w:sz w:val="21"/>
              </w:rPr>
              <w:t>270</w:t>
            </w:r>
          </w:p>
        </w:tc>
        <w:tc>
          <w:tcPr>
            <w:tcW w:w="510" w:type="pct"/>
            <w:vAlign w:val="center"/>
          </w:tcPr>
          <w:p w14:paraId="638302B4">
            <w:pPr>
              <w:spacing w:line="240" w:lineRule="atLeast"/>
              <w:jc w:val="center"/>
              <w:rPr>
                <w:color w:val="000000"/>
                <w:sz w:val="21"/>
              </w:rPr>
            </w:pPr>
            <w:r>
              <w:rPr>
                <w:color w:val="000000"/>
                <w:sz w:val="21"/>
              </w:rPr>
              <w:t>＜1</w:t>
            </w:r>
          </w:p>
        </w:tc>
      </w:tr>
      <w:tr w14:paraId="4307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428885FD">
            <w:pPr>
              <w:spacing w:line="240" w:lineRule="atLeast"/>
              <w:jc w:val="center"/>
              <w:rPr>
                <w:color w:val="000000"/>
                <w:sz w:val="21"/>
              </w:rPr>
            </w:pPr>
            <w:r>
              <w:rPr>
                <w:color w:val="000000"/>
                <w:sz w:val="21"/>
              </w:rPr>
              <w:t>27</w:t>
            </w:r>
          </w:p>
        </w:tc>
        <w:tc>
          <w:tcPr>
            <w:tcW w:w="1203" w:type="pct"/>
            <w:vAlign w:val="center"/>
          </w:tcPr>
          <w:p w14:paraId="27541344">
            <w:pPr>
              <w:spacing w:line="240" w:lineRule="atLeast"/>
              <w:jc w:val="center"/>
              <w:rPr>
                <w:color w:val="000000"/>
                <w:sz w:val="21"/>
              </w:rPr>
            </w:pPr>
            <w:r>
              <w:rPr>
                <w:color w:val="000000"/>
                <w:sz w:val="21"/>
              </w:rPr>
              <w:t>氯苯</w:t>
            </w:r>
          </w:p>
        </w:tc>
        <w:tc>
          <w:tcPr>
            <w:tcW w:w="906" w:type="pct"/>
          </w:tcPr>
          <w:p w14:paraId="0ACF7D7D">
            <w:pPr>
              <w:spacing w:line="240" w:lineRule="atLeast"/>
              <w:jc w:val="center"/>
              <w:rPr>
                <w:color w:val="000000"/>
                <w:sz w:val="21"/>
              </w:rPr>
            </w:pPr>
            <w:r>
              <w:rPr>
                <w:color w:val="000000"/>
                <w:sz w:val="21"/>
              </w:rPr>
              <w:t>0.0012L</w:t>
            </w:r>
          </w:p>
        </w:tc>
        <w:tc>
          <w:tcPr>
            <w:tcW w:w="906" w:type="pct"/>
          </w:tcPr>
          <w:p w14:paraId="5AB293AC">
            <w:pPr>
              <w:spacing w:line="240" w:lineRule="atLeast"/>
              <w:jc w:val="center"/>
              <w:rPr>
                <w:color w:val="000000"/>
                <w:sz w:val="21"/>
              </w:rPr>
            </w:pPr>
            <w:r>
              <w:rPr>
                <w:color w:val="000000"/>
                <w:sz w:val="21"/>
              </w:rPr>
              <w:t>0.0012L</w:t>
            </w:r>
          </w:p>
        </w:tc>
        <w:tc>
          <w:tcPr>
            <w:tcW w:w="1070" w:type="pct"/>
            <w:vAlign w:val="center"/>
          </w:tcPr>
          <w:p w14:paraId="6720DE7D">
            <w:pPr>
              <w:spacing w:line="240" w:lineRule="atLeast"/>
              <w:jc w:val="center"/>
              <w:rPr>
                <w:color w:val="000000"/>
                <w:sz w:val="21"/>
              </w:rPr>
            </w:pPr>
            <w:r>
              <w:rPr>
                <w:color w:val="000000"/>
                <w:sz w:val="21"/>
              </w:rPr>
              <w:t>560</w:t>
            </w:r>
          </w:p>
        </w:tc>
        <w:tc>
          <w:tcPr>
            <w:tcW w:w="510" w:type="pct"/>
            <w:vAlign w:val="center"/>
          </w:tcPr>
          <w:p w14:paraId="4402405C">
            <w:pPr>
              <w:spacing w:line="240" w:lineRule="atLeast"/>
              <w:jc w:val="center"/>
              <w:rPr>
                <w:color w:val="000000"/>
                <w:sz w:val="21"/>
              </w:rPr>
            </w:pPr>
            <w:r>
              <w:rPr>
                <w:color w:val="000000"/>
                <w:sz w:val="21"/>
              </w:rPr>
              <w:t>＜1</w:t>
            </w:r>
          </w:p>
        </w:tc>
      </w:tr>
      <w:tr w14:paraId="0FD5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2AAC60BD">
            <w:pPr>
              <w:spacing w:line="240" w:lineRule="atLeast"/>
              <w:jc w:val="center"/>
              <w:rPr>
                <w:color w:val="000000"/>
                <w:sz w:val="21"/>
              </w:rPr>
            </w:pPr>
            <w:r>
              <w:rPr>
                <w:color w:val="000000"/>
                <w:sz w:val="21"/>
              </w:rPr>
              <w:t>28</w:t>
            </w:r>
          </w:p>
        </w:tc>
        <w:tc>
          <w:tcPr>
            <w:tcW w:w="1203" w:type="pct"/>
            <w:vAlign w:val="center"/>
          </w:tcPr>
          <w:p w14:paraId="0E0BA8FA">
            <w:pPr>
              <w:spacing w:line="240" w:lineRule="atLeast"/>
              <w:jc w:val="center"/>
              <w:rPr>
                <w:color w:val="000000"/>
                <w:sz w:val="21"/>
              </w:rPr>
            </w:pPr>
            <w:r>
              <w:rPr>
                <w:color w:val="000000"/>
                <w:sz w:val="21"/>
              </w:rPr>
              <w:t>1,2-二氯苯</w:t>
            </w:r>
          </w:p>
        </w:tc>
        <w:tc>
          <w:tcPr>
            <w:tcW w:w="906" w:type="pct"/>
            <w:vAlign w:val="center"/>
          </w:tcPr>
          <w:p w14:paraId="4A7748E6">
            <w:pPr>
              <w:spacing w:line="240" w:lineRule="atLeast"/>
              <w:jc w:val="center"/>
              <w:rPr>
                <w:color w:val="000000"/>
                <w:sz w:val="21"/>
              </w:rPr>
            </w:pPr>
            <w:r>
              <w:rPr>
                <w:color w:val="000000"/>
                <w:sz w:val="21"/>
              </w:rPr>
              <w:t>0.0015L</w:t>
            </w:r>
          </w:p>
        </w:tc>
        <w:tc>
          <w:tcPr>
            <w:tcW w:w="906" w:type="pct"/>
            <w:vAlign w:val="center"/>
          </w:tcPr>
          <w:p w14:paraId="660A9912">
            <w:pPr>
              <w:spacing w:line="240" w:lineRule="atLeast"/>
              <w:jc w:val="center"/>
              <w:rPr>
                <w:color w:val="000000"/>
                <w:sz w:val="21"/>
              </w:rPr>
            </w:pPr>
            <w:r>
              <w:rPr>
                <w:color w:val="000000"/>
                <w:sz w:val="21"/>
              </w:rPr>
              <w:t>0.0015L</w:t>
            </w:r>
          </w:p>
        </w:tc>
        <w:tc>
          <w:tcPr>
            <w:tcW w:w="1070" w:type="pct"/>
            <w:vAlign w:val="center"/>
          </w:tcPr>
          <w:p w14:paraId="75C67AFD">
            <w:pPr>
              <w:spacing w:line="240" w:lineRule="atLeast"/>
              <w:jc w:val="center"/>
              <w:rPr>
                <w:color w:val="000000"/>
                <w:sz w:val="21"/>
              </w:rPr>
            </w:pPr>
            <w:r>
              <w:rPr>
                <w:color w:val="000000"/>
                <w:sz w:val="21"/>
              </w:rPr>
              <w:t>20</w:t>
            </w:r>
          </w:p>
        </w:tc>
        <w:tc>
          <w:tcPr>
            <w:tcW w:w="510" w:type="pct"/>
            <w:vAlign w:val="center"/>
          </w:tcPr>
          <w:p w14:paraId="70B2E7B6">
            <w:pPr>
              <w:spacing w:line="240" w:lineRule="atLeast"/>
              <w:jc w:val="center"/>
              <w:rPr>
                <w:color w:val="000000"/>
                <w:sz w:val="21"/>
              </w:rPr>
            </w:pPr>
            <w:r>
              <w:rPr>
                <w:color w:val="000000"/>
                <w:sz w:val="21"/>
              </w:rPr>
              <w:t>＜1</w:t>
            </w:r>
          </w:p>
        </w:tc>
      </w:tr>
      <w:tr w14:paraId="312C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6EED7226">
            <w:pPr>
              <w:spacing w:line="240" w:lineRule="atLeast"/>
              <w:jc w:val="center"/>
              <w:rPr>
                <w:color w:val="000000"/>
                <w:sz w:val="21"/>
              </w:rPr>
            </w:pPr>
            <w:r>
              <w:rPr>
                <w:color w:val="000000"/>
                <w:sz w:val="21"/>
              </w:rPr>
              <w:t>29</w:t>
            </w:r>
          </w:p>
        </w:tc>
        <w:tc>
          <w:tcPr>
            <w:tcW w:w="1203" w:type="pct"/>
            <w:vAlign w:val="center"/>
          </w:tcPr>
          <w:p w14:paraId="2EF6151D">
            <w:pPr>
              <w:spacing w:line="240" w:lineRule="atLeast"/>
              <w:jc w:val="center"/>
              <w:rPr>
                <w:color w:val="000000"/>
                <w:sz w:val="21"/>
              </w:rPr>
            </w:pPr>
            <w:r>
              <w:rPr>
                <w:color w:val="000000"/>
                <w:sz w:val="21"/>
              </w:rPr>
              <w:t>1,4-二氯苯</w:t>
            </w:r>
          </w:p>
        </w:tc>
        <w:tc>
          <w:tcPr>
            <w:tcW w:w="906" w:type="pct"/>
            <w:vAlign w:val="center"/>
          </w:tcPr>
          <w:p w14:paraId="64566AD7">
            <w:pPr>
              <w:spacing w:line="240" w:lineRule="atLeast"/>
              <w:jc w:val="center"/>
              <w:rPr>
                <w:color w:val="000000"/>
                <w:sz w:val="21"/>
              </w:rPr>
            </w:pPr>
            <w:r>
              <w:rPr>
                <w:color w:val="000000"/>
                <w:sz w:val="21"/>
              </w:rPr>
              <w:t>0.0015L</w:t>
            </w:r>
          </w:p>
        </w:tc>
        <w:tc>
          <w:tcPr>
            <w:tcW w:w="906" w:type="pct"/>
            <w:vAlign w:val="center"/>
          </w:tcPr>
          <w:p w14:paraId="32E7F26C">
            <w:pPr>
              <w:spacing w:line="240" w:lineRule="atLeast"/>
              <w:jc w:val="center"/>
              <w:rPr>
                <w:color w:val="000000"/>
                <w:sz w:val="21"/>
              </w:rPr>
            </w:pPr>
            <w:r>
              <w:rPr>
                <w:color w:val="000000"/>
                <w:sz w:val="21"/>
              </w:rPr>
              <w:t>0.0015L</w:t>
            </w:r>
          </w:p>
        </w:tc>
        <w:tc>
          <w:tcPr>
            <w:tcW w:w="1070" w:type="pct"/>
            <w:vAlign w:val="center"/>
          </w:tcPr>
          <w:p w14:paraId="0422CD61">
            <w:pPr>
              <w:spacing w:line="240" w:lineRule="atLeast"/>
              <w:jc w:val="center"/>
              <w:rPr>
                <w:color w:val="000000"/>
                <w:sz w:val="21"/>
              </w:rPr>
            </w:pPr>
            <w:r>
              <w:rPr>
                <w:color w:val="000000"/>
                <w:sz w:val="21"/>
              </w:rPr>
              <w:t>28</w:t>
            </w:r>
          </w:p>
        </w:tc>
        <w:tc>
          <w:tcPr>
            <w:tcW w:w="510" w:type="pct"/>
            <w:vAlign w:val="center"/>
          </w:tcPr>
          <w:p w14:paraId="61158C9F">
            <w:pPr>
              <w:spacing w:line="240" w:lineRule="atLeast"/>
              <w:jc w:val="center"/>
              <w:rPr>
                <w:color w:val="000000"/>
                <w:sz w:val="21"/>
              </w:rPr>
            </w:pPr>
            <w:r>
              <w:rPr>
                <w:color w:val="000000"/>
                <w:sz w:val="21"/>
              </w:rPr>
              <w:t>＜1</w:t>
            </w:r>
          </w:p>
        </w:tc>
      </w:tr>
      <w:tr w14:paraId="11907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0431A752">
            <w:pPr>
              <w:spacing w:line="240" w:lineRule="atLeast"/>
              <w:jc w:val="center"/>
              <w:rPr>
                <w:color w:val="000000"/>
                <w:sz w:val="21"/>
              </w:rPr>
            </w:pPr>
            <w:r>
              <w:rPr>
                <w:color w:val="000000"/>
                <w:sz w:val="21"/>
              </w:rPr>
              <w:t>30</w:t>
            </w:r>
          </w:p>
        </w:tc>
        <w:tc>
          <w:tcPr>
            <w:tcW w:w="1203" w:type="pct"/>
            <w:vAlign w:val="center"/>
          </w:tcPr>
          <w:p w14:paraId="6C646CCB">
            <w:pPr>
              <w:spacing w:line="240" w:lineRule="atLeast"/>
              <w:jc w:val="center"/>
              <w:rPr>
                <w:color w:val="000000"/>
                <w:sz w:val="21"/>
              </w:rPr>
            </w:pPr>
            <w:r>
              <w:rPr>
                <w:color w:val="000000"/>
                <w:sz w:val="21"/>
              </w:rPr>
              <w:t>乙苯</w:t>
            </w:r>
          </w:p>
        </w:tc>
        <w:tc>
          <w:tcPr>
            <w:tcW w:w="906" w:type="pct"/>
            <w:vAlign w:val="center"/>
          </w:tcPr>
          <w:p w14:paraId="5D985CB6">
            <w:pPr>
              <w:spacing w:line="240" w:lineRule="atLeast"/>
              <w:jc w:val="center"/>
              <w:rPr>
                <w:color w:val="000000"/>
                <w:sz w:val="21"/>
              </w:rPr>
            </w:pPr>
            <w:r>
              <w:rPr>
                <w:color w:val="000000"/>
                <w:sz w:val="21"/>
              </w:rPr>
              <w:t>0.0012L</w:t>
            </w:r>
          </w:p>
        </w:tc>
        <w:tc>
          <w:tcPr>
            <w:tcW w:w="906" w:type="pct"/>
            <w:vAlign w:val="center"/>
          </w:tcPr>
          <w:p w14:paraId="18610E69">
            <w:pPr>
              <w:spacing w:line="240" w:lineRule="atLeast"/>
              <w:jc w:val="center"/>
              <w:rPr>
                <w:color w:val="000000"/>
                <w:sz w:val="21"/>
              </w:rPr>
            </w:pPr>
            <w:r>
              <w:rPr>
                <w:color w:val="000000"/>
                <w:sz w:val="21"/>
              </w:rPr>
              <w:t>0.0012L</w:t>
            </w:r>
          </w:p>
        </w:tc>
        <w:tc>
          <w:tcPr>
            <w:tcW w:w="1070" w:type="pct"/>
            <w:vAlign w:val="center"/>
          </w:tcPr>
          <w:p w14:paraId="734DC824">
            <w:pPr>
              <w:spacing w:line="240" w:lineRule="atLeast"/>
              <w:jc w:val="center"/>
              <w:rPr>
                <w:color w:val="000000"/>
                <w:sz w:val="21"/>
              </w:rPr>
            </w:pPr>
            <w:r>
              <w:rPr>
                <w:color w:val="000000"/>
                <w:sz w:val="21"/>
              </w:rPr>
              <w:t>1290</w:t>
            </w:r>
          </w:p>
        </w:tc>
        <w:tc>
          <w:tcPr>
            <w:tcW w:w="510" w:type="pct"/>
            <w:vAlign w:val="center"/>
          </w:tcPr>
          <w:p w14:paraId="5509BF22">
            <w:pPr>
              <w:spacing w:line="240" w:lineRule="atLeast"/>
              <w:jc w:val="center"/>
              <w:rPr>
                <w:color w:val="000000"/>
                <w:sz w:val="21"/>
              </w:rPr>
            </w:pPr>
            <w:r>
              <w:rPr>
                <w:color w:val="000000"/>
                <w:sz w:val="21"/>
              </w:rPr>
              <w:t>＜1</w:t>
            </w:r>
          </w:p>
        </w:tc>
      </w:tr>
      <w:tr w14:paraId="5F68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4383C332">
            <w:pPr>
              <w:spacing w:line="240" w:lineRule="atLeast"/>
              <w:jc w:val="center"/>
              <w:rPr>
                <w:color w:val="000000"/>
                <w:sz w:val="21"/>
              </w:rPr>
            </w:pPr>
            <w:r>
              <w:rPr>
                <w:color w:val="000000"/>
                <w:sz w:val="21"/>
              </w:rPr>
              <w:t>31</w:t>
            </w:r>
          </w:p>
        </w:tc>
        <w:tc>
          <w:tcPr>
            <w:tcW w:w="1203" w:type="pct"/>
            <w:vAlign w:val="center"/>
          </w:tcPr>
          <w:p w14:paraId="5D5E2743">
            <w:pPr>
              <w:spacing w:line="240" w:lineRule="atLeast"/>
              <w:jc w:val="center"/>
              <w:rPr>
                <w:color w:val="000000"/>
                <w:sz w:val="21"/>
              </w:rPr>
            </w:pPr>
            <w:r>
              <w:rPr>
                <w:color w:val="000000"/>
                <w:sz w:val="21"/>
              </w:rPr>
              <w:t>苯乙烯</w:t>
            </w:r>
          </w:p>
        </w:tc>
        <w:tc>
          <w:tcPr>
            <w:tcW w:w="906" w:type="pct"/>
            <w:vAlign w:val="center"/>
          </w:tcPr>
          <w:p w14:paraId="309FFF10">
            <w:pPr>
              <w:spacing w:line="240" w:lineRule="atLeast"/>
              <w:jc w:val="center"/>
              <w:rPr>
                <w:color w:val="000000"/>
                <w:sz w:val="21"/>
              </w:rPr>
            </w:pPr>
            <w:r>
              <w:rPr>
                <w:color w:val="000000"/>
                <w:sz w:val="21"/>
              </w:rPr>
              <w:t>0.0011L</w:t>
            </w:r>
          </w:p>
        </w:tc>
        <w:tc>
          <w:tcPr>
            <w:tcW w:w="906" w:type="pct"/>
            <w:vAlign w:val="center"/>
          </w:tcPr>
          <w:p w14:paraId="2DB1048A">
            <w:pPr>
              <w:spacing w:line="240" w:lineRule="atLeast"/>
              <w:jc w:val="center"/>
              <w:rPr>
                <w:color w:val="000000"/>
                <w:sz w:val="21"/>
              </w:rPr>
            </w:pPr>
            <w:r>
              <w:rPr>
                <w:color w:val="000000"/>
                <w:sz w:val="21"/>
              </w:rPr>
              <w:t>0.0011L</w:t>
            </w:r>
          </w:p>
        </w:tc>
        <w:tc>
          <w:tcPr>
            <w:tcW w:w="1070" w:type="pct"/>
            <w:vAlign w:val="center"/>
          </w:tcPr>
          <w:p w14:paraId="4172BCF2">
            <w:pPr>
              <w:spacing w:line="240" w:lineRule="atLeast"/>
              <w:jc w:val="center"/>
              <w:rPr>
                <w:color w:val="000000"/>
                <w:sz w:val="21"/>
              </w:rPr>
            </w:pPr>
            <w:r>
              <w:rPr>
                <w:color w:val="000000"/>
                <w:sz w:val="21"/>
              </w:rPr>
              <w:t>1200</w:t>
            </w:r>
          </w:p>
        </w:tc>
        <w:tc>
          <w:tcPr>
            <w:tcW w:w="510" w:type="pct"/>
            <w:vAlign w:val="center"/>
          </w:tcPr>
          <w:p w14:paraId="7331D1F9">
            <w:pPr>
              <w:spacing w:line="240" w:lineRule="atLeast"/>
              <w:jc w:val="center"/>
              <w:rPr>
                <w:color w:val="000000"/>
                <w:sz w:val="21"/>
              </w:rPr>
            </w:pPr>
            <w:r>
              <w:rPr>
                <w:color w:val="000000"/>
                <w:sz w:val="21"/>
              </w:rPr>
              <w:t>＜1</w:t>
            </w:r>
          </w:p>
        </w:tc>
      </w:tr>
      <w:tr w14:paraId="721B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0A01288E">
            <w:pPr>
              <w:spacing w:line="240" w:lineRule="atLeast"/>
              <w:jc w:val="center"/>
              <w:rPr>
                <w:color w:val="000000"/>
                <w:sz w:val="21"/>
              </w:rPr>
            </w:pPr>
            <w:r>
              <w:rPr>
                <w:color w:val="000000"/>
                <w:sz w:val="21"/>
              </w:rPr>
              <w:t>32</w:t>
            </w:r>
          </w:p>
        </w:tc>
        <w:tc>
          <w:tcPr>
            <w:tcW w:w="1203" w:type="pct"/>
            <w:vAlign w:val="center"/>
          </w:tcPr>
          <w:p w14:paraId="192FDB3D">
            <w:pPr>
              <w:spacing w:line="240" w:lineRule="atLeast"/>
              <w:jc w:val="center"/>
              <w:rPr>
                <w:color w:val="000000"/>
                <w:sz w:val="21"/>
              </w:rPr>
            </w:pPr>
            <w:r>
              <w:rPr>
                <w:color w:val="000000"/>
                <w:sz w:val="21"/>
              </w:rPr>
              <w:t>甲苯</w:t>
            </w:r>
          </w:p>
        </w:tc>
        <w:tc>
          <w:tcPr>
            <w:tcW w:w="906" w:type="pct"/>
            <w:vAlign w:val="center"/>
          </w:tcPr>
          <w:p w14:paraId="45BCA53E">
            <w:pPr>
              <w:spacing w:line="240" w:lineRule="atLeast"/>
              <w:jc w:val="center"/>
              <w:rPr>
                <w:color w:val="000000"/>
                <w:sz w:val="21"/>
              </w:rPr>
            </w:pPr>
            <w:r>
              <w:rPr>
                <w:color w:val="000000"/>
                <w:sz w:val="21"/>
              </w:rPr>
              <w:t>0.0087</w:t>
            </w:r>
          </w:p>
        </w:tc>
        <w:tc>
          <w:tcPr>
            <w:tcW w:w="906" w:type="pct"/>
            <w:vAlign w:val="center"/>
          </w:tcPr>
          <w:p w14:paraId="2C5FA5BF">
            <w:pPr>
              <w:spacing w:line="240" w:lineRule="atLeast"/>
              <w:jc w:val="center"/>
              <w:rPr>
                <w:color w:val="000000"/>
                <w:sz w:val="21"/>
              </w:rPr>
            </w:pPr>
            <w:r>
              <w:rPr>
                <w:color w:val="000000"/>
                <w:sz w:val="21"/>
              </w:rPr>
              <w:t>0.0013L</w:t>
            </w:r>
          </w:p>
        </w:tc>
        <w:tc>
          <w:tcPr>
            <w:tcW w:w="1070" w:type="pct"/>
            <w:vAlign w:val="center"/>
          </w:tcPr>
          <w:p w14:paraId="556C7734">
            <w:pPr>
              <w:spacing w:line="240" w:lineRule="atLeast"/>
              <w:jc w:val="center"/>
              <w:rPr>
                <w:color w:val="000000"/>
                <w:sz w:val="21"/>
              </w:rPr>
            </w:pPr>
            <w:r>
              <w:rPr>
                <w:color w:val="000000"/>
                <w:sz w:val="21"/>
              </w:rPr>
              <w:t>570</w:t>
            </w:r>
          </w:p>
        </w:tc>
        <w:tc>
          <w:tcPr>
            <w:tcW w:w="510" w:type="pct"/>
            <w:vAlign w:val="center"/>
          </w:tcPr>
          <w:p w14:paraId="4EE717D1">
            <w:pPr>
              <w:spacing w:line="240" w:lineRule="atLeast"/>
              <w:jc w:val="center"/>
              <w:rPr>
                <w:color w:val="000000"/>
                <w:sz w:val="21"/>
              </w:rPr>
            </w:pPr>
            <w:r>
              <w:rPr>
                <w:color w:val="000000"/>
                <w:sz w:val="21"/>
              </w:rPr>
              <w:t>＜1</w:t>
            </w:r>
          </w:p>
        </w:tc>
      </w:tr>
      <w:tr w14:paraId="4C4E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5FD22A9D">
            <w:pPr>
              <w:spacing w:line="240" w:lineRule="atLeast"/>
              <w:jc w:val="center"/>
              <w:rPr>
                <w:color w:val="000000"/>
                <w:sz w:val="21"/>
              </w:rPr>
            </w:pPr>
            <w:r>
              <w:rPr>
                <w:color w:val="000000"/>
                <w:sz w:val="21"/>
              </w:rPr>
              <w:t>33</w:t>
            </w:r>
          </w:p>
        </w:tc>
        <w:tc>
          <w:tcPr>
            <w:tcW w:w="1203" w:type="pct"/>
            <w:vAlign w:val="center"/>
          </w:tcPr>
          <w:p w14:paraId="39894E55">
            <w:pPr>
              <w:spacing w:line="240" w:lineRule="atLeast"/>
              <w:jc w:val="center"/>
              <w:rPr>
                <w:color w:val="000000"/>
                <w:sz w:val="21"/>
              </w:rPr>
            </w:pPr>
            <w:r>
              <w:rPr>
                <w:color w:val="000000"/>
                <w:sz w:val="21"/>
              </w:rPr>
              <w:t>间二甲苯+对二甲苯</w:t>
            </w:r>
          </w:p>
        </w:tc>
        <w:tc>
          <w:tcPr>
            <w:tcW w:w="906" w:type="pct"/>
            <w:vAlign w:val="center"/>
          </w:tcPr>
          <w:p w14:paraId="058BD578">
            <w:pPr>
              <w:spacing w:line="240" w:lineRule="atLeast"/>
              <w:jc w:val="center"/>
              <w:rPr>
                <w:color w:val="000000"/>
                <w:sz w:val="21"/>
              </w:rPr>
            </w:pPr>
            <w:r>
              <w:rPr>
                <w:color w:val="000000"/>
                <w:sz w:val="21"/>
              </w:rPr>
              <w:t>0.0051</w:t>
            </w:r>
          </w:p>
        </w:tc>
        <w:tc>
          <w:tcPr>
            <w:tcW w:w="906" w:type="pct"/>
            <w:vAlign w:val="center"/>
          </w:tcPr>
          <w:p w14:paraId="72F82EC2">
            <w:pPr>
              <w:spacing w:line="240" w:lineRule="atLeast"/>
              <w:jc w:val="center"/>
              <w:rPr>
                <w:color w:val="000000"/>
                <w:sz w:val="21"/>
              </w:rPr>
            </w:pPr>
            <w:r>
              <w:rPr>
                <w:color w:val="000000"/>
                <w:sz w:val="21"/>
              </w:rPr>
              <w:t>0.0012L</w:t>
            </w:r>
          </w:p>
        </w:tc>
        <w:tc>
          <w:tcPr>
            <w:tcW w:w="1070" w:type="pct"/>
            <w:vAlign w:val="center"/>
          </w:tcPr>
          <w:p w14:paraId="63D004B5">
            <w:pPr>
              <w:spacing w:line="240" w:lineRule="atLeast"/>
              <w:jc w:val="center"/>
              <w:rPr>
                <w:color w:val="000000"/>
                <w:sz w:val="21"/>
              </w:rPr>
            </w:pPr>
            <w:r>
              <w:rPr>
                <w:color w:val="000000"/>
                <w:sz w:val="21"/>
              </w:rPr>
              <w:t>640</w:t>
            </w:r>
          </w:p>
        </w:tc>
        <w:tc>
          <w:tcPr>
            <w:tcW w:w="510" w:type="pct"/>
            <w:vAlign w:val="center"/>
          </w:tcPr>
          <w:p w14:paraId="45FB2E0D">
            <w:pPr>
              <w:spacing w:line="240" w:lineRule="atLeast"/>
              <w:jc w:val="center"/>
              <w:rPr>
                <w:color w:val="000000"/>
                <w:sz w:val="21"/>
              </w:rPr>
            </w:pPr>
            <w:r>
              <w:rPr>
                <w:color w:val="000000"/>
                <w:sz w:val="21"/>
              </w:rPr>
              <w:t>＜1</w:t>
            </w:r>
          </w:p>
        </w:tc>
      </w:tr>
      <w:tr w14:paraId="7939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19FCAAD7">
            <w:pPr>
              <w:spacing w:line="240" w:lineRule="atLeast"/>
              <w:jc w:val="center"/>
              <w:rPr>
                <w:color w:val="000000"/>
                <w:sz w:val="21"/>
              </w:rPr>
            </w:pPr>
            <w:r>
              <w:rPr>
                <w:color w:val="000000"/>
                <w:sz w:val="21"/>
              </w:rPr>
              <w:t>34</w:t>
            </w:r>
          </w:p>
        </w:tc>
        <w:tc>
          <w:tcPr>
            <w:tcW w:w="1203" w:type="pct"/>
            <w:vAlign w:val="center"/>
          </w:tcPr>
          <w:p w14:paraId="29E117FD">
            <w:pPr>
              <w:spacing w:line="240" w:lineRule="atLeast"/>
              <w:jc w:val="center"/>
              <w:rPr>
                <w:color w:val="000000"/>
                <w:sz w:val="21"/>
              </w:rPr>
            </w:pPr>
            <w:r>
              <w:rPr>
                <w:color w:val="000000"/>
                <w:sz w:val="21"/>
              </w:rPr>
              <w:t>邻二甲苯</w:t>
            </w:r>
          </w:p>
        </w:tc>
        <w:tc>
          <w:tcPr>
            <w:tcW w:w="906" w:type="pct"/>
            <w:vAlign w:val="center"/>
          </w:tcPr>
          <w:p w14:paraId="7BB0F200">
            <w:pPr>
              <w:spacing w:line="240" w:lineRule="atLeast"/>
              <w:jc w:val="center"/>
              <w:rPr>
                <w:color w:val="000000"/>
                <w:sz w:val="21"/>
              </w:rPr>
            </w:pPr>
            <w:r>
              <w:rPr>
                <w:color w:val="000000"/>
                <w:sz w:val="21"/>
              </w:rPr>
              <w:t>0.0012L</w:t>
            </w:r>
          </w:p>
        </w:tc>
        <w:tc>
          <w:tcPr>
            <w:tcW w:w="906" w:type="pct"/>
            <w:vAlign w:val="center"/>
          </w:tcPr>
          <w:p w14:paraId="6D22E1A7">
            <w:pPr>
              <w:spacing w:line="240" w:lineRule="atLeast"/>
              <w:jc w:val="center"/>
              <w:rPr>
                <w:color w:val="000000"/>
                <w:sz w:val="21"/>
              </w:rPr>
            </w:pPr>
            <w:r>
              <w:rPr>
                <w:color w:val="000000"/>
                <w:sz w:val="21"/>
              </w:rPr>
              <w:t>0.0012L</w:t>
            </w:r>
          </w:p>
        </w:tc>
        <w:tc>
          <w:tcPr>
            <w:tcW w:w="1070" w:type="pct"/>
            <w:vAlign w:val="center"/>
          </w:tcPr>
          <w:p w14:paraId="461337BF">
            <w:pPr>
              <w:spacing w:line="240" w:lineRule="atLeast"/>
              <w:jc w:val="center"/>
              <w:rPr>
                <w:color w:val="000000"/>
                <w:sz w:val="21"/>
              </w:rPr>
            </w:pPr>
            <w:r>
              <w:rPr>
                <w:color w:val="000000"/>
                <w:sz w:val="21"/>
              </w:rPr>
              <w:t>37</w:t>
            </w:r>
          </w:p>
        </w:tc>
        <w:tc>
          <w:tcPr>
            <w:tcW w:w="510" w:type="pct"/>
            <w:vAlign w:val="center"/>
          </w:tcPr>
          <w:p w14:paraId="252FFC18">
            <w:pPr>
              <w:spacing w:line="240" w:lineRule="atLeast"/>
              <w:jc w:val="center"/>
              <w:rPr>
                <w:color w:val="000000"/>
                <w:sz w:val="21"/>
              </w:rPr>
            </w:pPr>
            <w:r>
              <w:rPr>
                <w:color w:val="000000"/>
                <w:sz w:val="21"/>
              </w:rPr>
              <w:t>＜1</w:t>
            </w:r>
          </w:p>
        </w:tc>
      </w:tr>
      <w:tr w14:paraId="4B5C2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vAlign w:val="center"/>
          </w:tcPr>
          <w:p w14:paraId="41544BFC">
            <w:pPr>
              <w:spacing w:line="240" w:lineRule="atLeast"/>
              <w:jc w:val="both"/>
              <w:rPr>
                <w:color w:val="000000"/>
                <w:sz w:val="21"/>
              </w:rPr>
            </w:pPr>
            <w:r>
              <w:rPr>
                <w:b/>
                <w:bCs/>
                <w:color w:val="000000"/>
                <w:sz w:val="21"/>
              </w:rPr>
              <w:t>半挥发性有机物</w:t>
            </w:r>
          </w:p>
        </w:tc>
      </w:tr>
      <w:tr w14:paraId="78BF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vAlign w:val="center"/>
          </w:tcPr>
          <w:p w14:paraId="5DBC0A49">
            <w:pPr>
              <w:spacing w:line="240" w:lineRule="atLeast"/>
              <w:jc w:val="center"/>
              <w:rPr>
                <w:color w:val="000000"/>
                <w:sz w:val="21"/>
              </w:rPr>
            </w:pPr>
            <w:r>
              <w:rPr>
                <w:color w:val="000000"/>
                <w:sz w:val="21"/>
              </w:rPr>
              <w:t>35</w:t>
            </w:r>
          </w:p>
        </w:tc>
        <w:tc>
          <w:tcPr>
            <w:tcW w:w="1203" w:type="pct"/>
            <w:vAlign w:val="center"/>
          </w:tcPr>
          <w:p w14:paraId="4A0E556F">
            <w:pPr>
              <w:spacing w:line="240" w:lineRule="atLeast"/>
              <w:jc w:val="center"/>
              <w:rPr>
                <w:color w:val="000000"/>
                <w:sz w:val="21"/>
              </w:rPr>
            </w:pPr>
            <w:r>
              <w:rPr>
                <w:color w:val="000000"/>
                <w:sz w:val="21"/>
              </w:rPr>
              <w:t>硝基苯</w:t>
            </w:r>
          </w:p>
        </w:tc>
        <w:tc>
          <w:tcPr>
            <w:tcW w:w="906" w:type="pct"/>
          </w:tcPr>
          <w:p w14:paraId="31C7EF2E">
            <w:pPr>
              <w:spacing w:line="240" w:lineRule="atLeast"/>
              <w:jc w:val="center"/>
              <w:rPr>
                <w:color w:val="000000"/>
                <w:sz w:val="21"/>
              </w:rPr>
            </w:pPr>
            <w:r>
              <w:rPr>
                <w:color w:val="000000"/>
                <w:sz w:val="21"/>
              </w:rPr>
              <w:t>0.09L</w:t>
            </w:r>
          </w:p>
        </w:tc>
        <w:tc>
          <w:tcPr>
            <w:tcW w:w="906" w:type="pct"/>
            <w:vAlign w:val="center"/>
          </w:tcPr>
          <w:p w14:paraId="78DAC627">
            <w:pPr>
              <w:spacing w:line="240" w:lineRule="atLeast"/>
              <w:jc w:val="center"/>
              <w:rPr>
                <w:color w:val="000000"/>
                <w:sz w:val="21"/>
              </w:rPr>
            </w:pPr>
            <w:r>
              <w:rPr>
                <w:color w:val="000000"/>
                <w:sz w:val="21"/>
              </w:rPr>
              <w:t>0.09L</w:t>
            </w:r>
          </w:p>
        </w:tc>
        <w:tc>
          <w:tcPr>
            <w:tcW w:w="1070" w:type="pct"/>
            <w:vAlign w:val="center"/>
          </w:tcPr>
          <w:p w14:paraId="501DDE2C">
            <w:pPr>
              <w:spacing w:line="240" w:lineRule="atLeast"/>
              <w:jc w:val="center"/>
              <w:rPr>
                <w:color w:val="000000"/>
                <w:sz w:val="21"/>
              </w:rPr>
            </w:pPr>
            <w:r>
              <w:rPr>
                <w:color w:val="000000"/>
                <w:sz w:val="21"/>
              </w:rPr>
              <w:t>76</w:t>
            </w:r>
          </w:p>
        </w:tc>
        <w:tc>
          <w:tcPr>
            <w:tcW w:w="510" w:type="pct"/>
            <w:vAlign w:val="center"/>
          </w:tcPr>
          <w:p w14:paraId="2F03A7AB">
            <w:pPr>
              <w:spacing w:line="240" w:lineRule="atLeast"/>
              <w:jc w:val="center"/>
              <w:rPr>
                <w:color w:val="000000"/>
                <w:sz w:val="21"/>
              </w:rPr>
            </w:pPr>
            <w:r>
              <w:rPr>
                <w:color w:val="000000"/>
                <w:sz w:val="21"/>
              </w:rPr>
              <w:t>＜1</w:t>
            </w:r>
          </w:p>
        </w:tc>
      </w:tr>
      <w:tr w14:paraId="354B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vAlign w:val="center"/>
          </w:tcPr>
          <w:p w14:paraId="491B8258">
            <w:pPr>
              <w:spacing w:line="240" w:lineRule="atLeast"/>
              <w:jc w:val="center"/>
              <w:rPr>
                <w:color w:val="000000"/>
                <w:sz w:val="21"/>
              </w:rPr>
            </w:pPr>
            <w:r>
              <w:rPr>
                <w:color w:val="000000"/>
                <w:sz w:val="21"/>
              </w:rPr>
              <w:t>36</w:t>
            </w:r>
          </w:p>
        </w:tc>
        <w:tc>
          <w:tcPr>
            <w:tcW w:w="1203" w:type="pct"/>
            <w:vAlign w:val="center"/>
          </w:tcPr>
          <w:p w14:paraId="7D8900DF">
            <w:pPr>
              <w:spacing w:line="240" w:lineRule="atLeast"/>
              <w:jc w:val="center"/>
              <w:rPr>
                <w:color w:val="000000"/>
                <w:sz w:val="21"/>
              </w:rPr>
            </w:pPr>
            <w:r>
              <w:rPr>
                <w:color w:val="000000"/>
                <w:sz w:val="21"/>
              </w:rPr>
              <w:t>苯胺</w:t>
            </w:r>
          </w:p>
        </w:tc>
        <w:tc>
          <w:tcPr>
            <w:tcW w:w="906" w:type="pct"/>
          </w:tcPr>
          <w:p w14:paraId="604AD6F3">
            <w:pPr>
              <w:spacing w:line="240" w:lineRule="atLeast"/>
              <w:jc w:val="center"/>
              <w:rPr>
                <w:color w:val="000000"/>
                <w:sz w:val="21"/>
              </w:rPr>
            </w:pPr>
            <w:r>
              <w:rPr>
                <w:color w:val="000000"/>
                <w:sz w:val="21"/>
              </w:rPr>
              <w:t>0.1L</w:t>
            </w:r>
          </w:p>
        </w:tc>
        <w:tc>
          <w:tcPr>
            <w:tcW w:w="906" w:type="pct"/>
            <w:vAlign w:val="center"/>
          </w:tcPr>
          <w:p w14:paraId="2985F7A0">
            <w:pPr>
              <w:spacing w:line="240" w:lineRule="atLeast"/>
              <w:jc w:val="center"/>
              <w:rPr>
                <w:color w:val="000000"/>
                <w:sz w:val="21"/>
              </w:rPr>
            </w:pPr>
            <w:r>
              <w:rPr>
                <w:color w:val="000000"/>
                <w:sz w:val="21"/>
              </w:rPr>
              <w:t>0.05L</w:t>
            </w:r>
          </w:p>
        </w:tc>
        <w:tc>
          <w:tcPr>
            <w:tcW w:w="1070" w:type="pct"/>
            <w:vAlign w:val="center"/>
          </w:tcPr>
          <w:p w14:paraId="42C95599">
            <w:pPr>
              <w:spacing w:line="240" w:lineRule="atLeast"/>
              <w:jc w:val="center"/>
              <w:rPr>
                <w:color w:val="000000"/>
                <w:sz w:val="21"/>
              </w:rPr>
            </w:pPr>
            <w:r>
              <w:rPr>
                <w:color w:val="000000"/>
                <w:sz w:val="21"/>
              </w:rPr>
              <w:t>15</w:t>
            </w:r>
          </w:p>
        </w:tc>
        <w:tc>
          <w:tcPr>
            <w:tcW w:w="510" w:type="pct"/>
            <w:vAlign w:val="center"/>
          </w:tcPr>
          <w:p w14:paraId="6E397D05">
            <w:pPr>
              <w:spacing w:line="240" w:lineRule="atLeast"/>
              <w:jc w:val="center"/>
              <w:rPr>
                <w:color w:val="000000"/>
                <w:sz w:val="21"/>
              </w:rPr>
            </w:pPr>
            <w:r>
              <w:rPr>
                <w:color w:val="000000"/>
                <w:sz w:val="21"/>
              </w:rPr>
              <w:t>＜1</w:t>
            </w:r>
          </w:p>
        </w:tc>
      </w:tr>
      <w:tr w14:paraId="1733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5C70D145">
            <w:pPr>
              <w:spacing w:line="240" w:lineRule="atLeast"/>
              <w:jc w:val="center"/>
              <w:rPr>
                <w:color w:val="000000"/>
                <w:sz w:val="21"/>
              </w:rPr>
            </w:pPr>
            <w:r>
              <w:rPr>
                <w:color w:val="000000"/>
                <w:sz w:val="21"/>
              </w:rPr>
              <w:t>37</w:t>
            </w:r>
          </w:p>
        </w:tc>
        <w:tc>
          <w:tcPr>
            <w:tcW w:w="1203" w:type="pct"/>
            <w:vAlign w:val="center"/>
          </w:tcPr>
          <w:p w14:paraId="4A4A6343">
            <w:pPr>
              <w:spacing w:line="240" w:lineRule="atLeast"/>
              <w:jc w:val="center"/>
              <w:rPr>
                <w:color w:val="000000"/>
                <w:sz w:val="21"/>
              </w:rPr>
            </w:pPr>
            <w:r>
              <w:rPr>
                <w:color w:val="000000"/>
                <w:sz w:val="21"/>
              </w:rPr>
              <w:t>2-二氯酚</w:t>
            </w:r>
          </w:p>
        </w:tc>
        <w:tc>
          <w:tcPr>
            <w:tcW w:w="906" w:type="pct"/>
          </w:tcPr>
          <w:p w14:paraId="221E040C">
            <w:pPr>
              <w:spacing w:line="240" w:lineRule="atLeast"/>
              <w:jc w:val="center"/>
              <w:rPr>
                <w:color w:val="000000"/>
                <w:sz w:val="21"/>
              </w:rPr>
            </w:pPr>
            <w:r>
              <w:rPr>
                <w:color w:val="000000"/>
                <w:sz w:val="21"/>
              </w:rPr>
              <w:t>0.06L</w:t>
            </w:r>
          </w:p>
        </w:tc>
        <w:tc>
          <w:tcPr>
            <w:tcW w:w="906" w:type="pct"/>
            <w:vAlign w:val="center"/>
          </w:tcPr>
          <w:p w14:paraId="75EF933E">
            <w:pPr>
              <w:spacing w:line="240" w:lineRule="atLeast"/>
              <w:jc w:val="center"/>
              <w:rPr>
                <w:color w:val="000000"/>
                <w:sz w:val="21"/>
              </w:rPr>
            </w:pPr>
            <w:r>
              <w:rPr>
                <w:color w:val="000000"/>
                <w:sz w:val="21"/>
              </w:rPr>
              <w:t>0.06L</w:t>
            </w:r>
          </w:p>
        </w:tc>
        <w:tc>
          <w:tcPr>
            <w:tcW w:w="1070" w:type="pct"/>
            <w:vAlign w:val="center"/>
          </w:tcPr>
          <w:p w14:paraId="15E84638">
            <w:pPr>
              <w:spacing w:line="240" w:lineRule="atLeast"/>
              <w:jc w:val="center"/>
              <w:rPr>
                <w:color w:val="000000"/>
                <w:sz w:val="21"/>
              </w:rPr>
            </w:pPr>
            <w:r>
              <w:rPr>
                <w:color w:val="000000"/>
                <w:sz w:val="21"/>
              </w:rPr>
              <w:t>1.5</w:t>
            </w:r>
          </w:p>
        </w:tc>
        <w:tc>
          <w:tcPr>
            <w:tcW w:w="510" w:type="pct"/>
            <w:vAlign w:val="center"/>
          </w:tcPr>
          <w:p w14:paraId="23A6A706">
            <w:pPr>
              <w:spacing w:line="240" w:lineRule="atLeast"/>
              <w:jc w:val="center"/>
              <w:rPr>
                <w:color w:val="000000"/>
                <w:sz w:val="21"/>
              </w:rPr>
            </w:pPr>
            <w:r>
              <w:rPr>
                <w:color w:val="000000"/>
                <w:sz w:val="21"/>
              </w:rPr>
              <w:t>＜1</w:t>
            </w:r>
          </w:p>
        </w:tc>
      </w:tr>
      <w:tr w14:paraId="1AFA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02F4DCDB">
            <w:pPr>
              <w:spacing w:line="240" w:lineRule="atLeast"/>
              <w:jc w:val="center"/>
              <w:rPr>
                <w:color w:val="000000"/>
                <w:sz w:val="21"/>
              </w:rPr>
            </w:pPr>
            <w:r>
              <w:rPr>
                <w:color w:val="000000"/>
                <w:sz w:val="21"/>
              </w:rPr>
              <w:t>38</w:t>
            </w:r>
          </w:p>
        </w:tc>
        <w:tc>
          <w:tcPr>
            <w:tcW w:w="1203" w:type="pct"/>
            <w:vAlign w:val="center"/>
          </w:tcPr>
          <w:p w14:paraId="0433EAE8">
            <w:pPr>
              <w:spacing w:line="240" w:lineRule="atLeast"/>
              <w:jc w:val="center"/>
              <w:rPr>
                <w:color w:val="000000"/>
                <w:sz w:val="21"/>
              </w:rPr>
            </w:pPr>
            <w:r>
              <w:rPr>
                <w:color w:val="000000"/>
                <w:sz w:val="21"/>
              </w:rPr>
              <w:t>苯并[a]蒽</w:t>
            </w:r>
          </w:p>
        </w:tc>
        <w:tc>
          <w:tcPr>
            <w:tcW w:w="906" w:type="pct"/>
          </w:tcPr>
          <w:p w14:paraId="417DD6AF">
            <w:pPr>
              <w:spacing w:line="240" w:lineRule="atLeast"/>
              <w:jc w:val="center"/>
              <w:rPr>
                <w:color w:val="000000"/>
                <w:sz w:val="21"/>
              </w:rPr>
            </w:pPr>
            <w:r>
              <w:rPr>
                <w:color w:val="000000"/>
                <w:sz w:val="21"/>
              </w:rPr>
              <w:t>0.1L</w:t>
            </w:r>
          </w:p>
        </w:tc>
        <w:tc>
          <w:tcPr>
            <w:tcW w:w="906" w:type="pct"/>
            <w:vAlign w:val="center"/>
          </w:tcPr>
          <w:p w14:paraId="0978E9F1">
            <w:pPr>
              <w:spacing w:line="240" w:lineRule="atLeast"/>
              <w:jc w:val="center"/>
              <w:rPr>
                <w:color w:val="000000"/>
                <w:sz w:val="21"/>
              </w:rPr>
            </w:pPr>
            <w:r>
              <w:rPr>
                <w:color w:val="000000"/>
                <w:sz w:val="21"/>
              </w:rPr>
              <w:t>0.1L</w:t>
            </w:r>
          </w:p>
        </w:tc>
        <w:tc>
          <w:tcPr>
            <w:tcW w:w="1070" w:type="pct"/>
            <w:vAlign w:val="center"/>
          </w:tcPr>
          <w:p w14:paraId="455FCCB1">
            <w:pPr>
              <w:spacing w:line="240" w:lineRule="atLeast"/>
              <w:jc w:val="center"/>
              <w:rPr>
                <w:color w:val="000000"/>
                <w:sz w:val="21"/>
              </w:rPr>
            </w:pPr>
            <w:r>
              <w:rPr>
                <w:color w:val="000000"/>
                <w:sz w:val="21"/>
              </w:rPr>
              <w:t>15</w:t>
            </w:r>
          </w:p>
        </w:tc>
        <w:tc>
          <w:tcPr>
            <w:tcW w:w="510" w:type="pct"/>
            <w:vAlign w:val="center"/>
          </w:tcPr>
          <w:p w14:paraId="4AD657E2">
            <w:pPr>
              <w:spacing w:line="240" w:lineRule="atLeast"/>
              <w:jc w:val="center"/>
              <w:rPr>
                <w:color w:val="000000"/>
                <w:sz w:val="21"/>
              </w:rPr>
            </w:pPr>
            <w:r>
              <w:rPr>
                <w:color w:val="000000"/>
                <w:sz w:val="21"/>
              </w:rPr>
              <w:t>＜1</w:t>
            </w:r>
          </w:p>
        </w:tc>
      </w:tr>
      <w:tr w14:paraId="5986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31DA1506">
            <w:pPr>
              <w:spacing w:line="240" w:lineRule="atLeast"/>
              <w:jc w:val="center"/>
              <w:rPr>
                <w:color w:val="000000"/>
                <w:sz w:val="21"/>
              </w:rPr>
            </w:pPr>
            <w:r>
              <w:rPr>
                <w:color w:val="000000"/>
                <w:sz w:val="21"/>
              </w:rPr>
              <w:t>39</w:t>
            </w:r>
          </w:p>
        </w:tc>
        <w:tc>
          <w:tcPr>
            <w:tcW w:w="1203" w:type="pct"/>
            <w:vAlign w:val="center"/>
          </w:tcPr>
          <w:p w14:paraId="106F2CD3">
            <w:pPr>
              <w:spacing w:line="240" w:lineRule="atLeast"/>
              <w:jc w:val="center"/>
              <w:rPr>
                <w:color w:val="000000"/>
                <w:sz w:val="21"/>
              </w:rPr>
            </w:pPr>
            <w:r>
              <w:rPr>
                <w:color w:val="000000"/>
                <w:sz w:val="21"/>
              </w:rPr>
              <w:t>苯并[a]芘</w:t>
            </w:r>
          </w:p>
        </w:tc>
        <w:tc>
          <w:tcPr>
            <w:tcW w:w="906" w:type="pct"/>
          </w:tcPr>
          <w:p w14:paraId="6CE7F2B3">
            <w:pPr>
              <w:spacing w:line="240" w:lineRule="atLeast"/>
              <w:jc w:val="center"/>
              <w:rPr>
                <w:color w:val="000000"/>
                <w:sz w:val="21"/>
              </w:rPr>
            </w:pPr>
            <w:r>
              <w:rPr>
                <w:color w:val="000000"/>
                <w:sz w:val="21"/>
              </w:rPr>
              <w:t>0.1L</w:t>
            </w:r>
          </w:p>
        </w:tc>
        <w:tc>
          <w:tcPr>
            <w:tcW w:w="906" w:type="pct"/>
            <w:vAlign w:val="center"/>
          </w:tcPr>
          <w:p w14:paraId="71AEB7D5">
            <w:pPr>
              <w:spacing w:line="240" w:lineRule="atLeast"/>
              <w:jc w:val="center"/>
              <w:rPr>
                <w:color w:val="000000"/>
                <w:sz w:val="21"/>
              </w:rPr>
            </w:pPr>
            <w:r>
              <w:rPr>
                <w:color w:val="000000"/>
                <w:sz w:val="21"/>
              </w:rPr>
              <w:t>0.1L</w:t>
            </w:r>
          </w:p>
        </w:tc>
        <w:tc>
          <w:tcPr>
            <w:tcW w:w="1070" w:type="pct"/>
            <w:vAlign w:val="center"/>
          </w:tcPr>
          <w:p w14:paraId="00FA5378">
            <w:pPr>
              <w:spacing w:line="240" w:lineRule="atLeast"/>
              <w:jc w:val="center"/>
              <w:rPr>
                <w:color w:val="000000"/>
                <w:sz w:val="21"/>
              </w:rPr>
            </w:pPr>
            <w:r>
              <w:rPr>
                <w:color w:val="000000"/>
                <w:sz w:val="21"/>
              </w:rPr>
              <w:t>151</w:t>
            </w:r>
          </w:p>
        </w:tc>
        <w:tc>
          <w:tcPr>
            <w:tcW w:w="510" w:type="pct"/>
            <w:vAlign w:val="center"/>
          </w:tcPr>
          <w:p w14:paraId="72642458">
            <w:pPr>
              <w:spacing w:line="240" w:lineRule="atLeast"/>
              <w:jc w:val="center"/>
              <w:rPr>
                <w:color w:val="000000"/>
                <w:sz w:val="21"/>
              </w:rPr>
            </w:pPr>
            <w:r>
              <w:rPr>
                <w:color w:val="000000"/>
                <w:sz w:val="21"/>
              </w:rPr>
              <w:t>＜1</w:t>
            </w:r>
          </w:p>
        </w:tc>
      </w:tr>
      <w:tr w14:paraId="73C5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vAlign w:val="center"/>
          </w:tcPr>
          <w:p w14:paraId="44B8E12F">
            <w:pPr>
              <w:spacing w:line="240" w:lineRule="atLeast"/>
              <w:jc w:val="center"/>
              <w:rPr>
                <w:color w:val="000000"/>
                <w:sz w:val="21"/>
              </w:rPr>
            </w:pPr>
            <w:r>
              <w:rPr>
                <w:color w:val="000000"/>
                <w:sz w:val="21"/>
              </w:rPr>
              <w:t>40</w:t>
            </w:r>
          </w:p>
        </w:tc>
        <w:tc>
          <w:tcPr>
            <w:tcW w:w="1203" w:type="pct"/>
            <w:vAlign w:val="center"/>
          </w:tcPr>
          <w:p w14:paraId="46A1DFEC">
            <w:pPr>
              <w:spacing w:line="240" w:lineRule="atLeast"/>
              <w:jc w:val="center"/>
              <w:rPr>
                <w:color w:val="000000"/>
                <w:sz w:val="21"/>
              </w:rPr>
            </w:pPr>
            <w:r>
              <w:rPr>
                <w:color w:val="000000"/>
                <w:sz w:val="21"/>
              </w:rPr>
              <w:t>苯并[b]荧蒽</w:t>
            </w:r>
          </w:p>
        </w:tc>
        <w:tc>
          <w:tcPr>
            <w:tcW w:w="906" w:type="pct"/>
          </w:tcPr>
          <w:p w14:paraId="4698322C">
            <w:pPr>
              <w:spacing w:line="240" w:lineRule="atLeast"/>
              <w:jc w:val="center"/>
              <w:rPr>
                <w:color w:val="000000"/>
                <w:sz w:val="21"/>
              </w:rPr>
            </w:pPr>
            <w:r>
              <w:rPr>
                <w:color w:val="000000"/>
                <w:sz w:val="21"/>
              </w:rPr>
              <w:t>0.2L</w:t>
            </w:r>
          </w:p>
        </w:tc>
        <w:tc>
          <w:tcPr>
            <w:tcW w:w="906" w:type="pct"/>
            <w:vAlign w:val="center"/>
          </w:tcPr>
          <w:p w14:paraId="5D0CAB7D">
            <w:pPr>
              <w:spacing w:line="240" w:lineRule="atLeast"/>
              <w:jc w:val="center"/>
              <w:rPr>
                <w:color w:val="000000"/>
                <w:sz w:val="21"/>
              </w:rPr>
            </w:pPr>
            <w:r>
              <w:rPr>
                <w:color w:val="000000"/>
                <w:sz w:val="21"/>
              </w:rPr>
              <w:t>0.2L</w:t>
            </w:r>
          </w:p>
        </w:tc>
        <w:tc>
          <w:tcPr>
            <w:tcW w:w="1070" w:type="pct"/>
            <w:vAlign w:val="center"/>
          </w:tcPr>
          <w:p w14:paraId="7517EDB0">
            <w:pPr>
              <w:spacing w:line="240" w:lineRule="atLeast"/>
              <w:jc w:val="center"/>
              <w:rPr>
                <w:color w:val="000000"/>
                <w:sz w:val="21"/>
              </w:rPr>
            </w:pPr>
            <w:r>
              <w:rPr>
                <w:color w:val="000000"/>
                <w:sz w:val="21"/>
              </w:rPr>
              <w:t>1293</w:t>
            </w:r>
          </w:p>
        </w:tc>
        <w:tc>
          <w:tcPr>
            <w:tcW w:w="510" w:type="pct"/>
            <w:vAlign w:val="center"/>
          </w:tcPr>
          <w:p w14:paraId="0FB7AC38">
            <w:pPr>
              <w:spacing w:line="240" w:lineRule="atLeast"/>
              <w:jc w:val="center"/>
              <w:rPr>
                <w:color w:val="000000"/>
                <w:sz w:val="21"/>
              </w:rPr>
            </w:pPr>
            <w:r>
              <w:rPr>
                <w:color w:val="000000"/>
                <w:sz w:val="21"/>
              </w:rPr>
              <w:t>＜1</w:t>
            </w:r>
          </w:p>
        </w:tc>
      </w:tr>
      <w:tr w14:paraId="1328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1C1354B4">
            <w:pPr>
              <w:spacing w:line="240" w:lineRule="atLeast"/>
              <w:jc w:val="center"/>
              <w:rPr>
                <w:color w:val="000000"/>
                <w:sz w:val="21"/>
              </w:rPr>
            </w:pPr>
            <w:r>
              <w:rPr>
                <w:color w:val="000000"/>
                <w:sz w:val="21"/>
              </w:rPr>
              <w:t>41</w:t>
            </w:r>
          </w:p>
        </w:tc>
        <w:tc>
          <w:tcPr>
            <w:tcW w:w="1203" w:type="pct"/>
            <w:vAlign w:val="center"/>
          </w:tcPr>
          <w:p w14:paraId="088C2918">
            <w:pPr>
              <w:spacing w:line="240" w:lineRule="atLeast"/>
              <w:jc w:val="center"/>
              <w:rPr>
                <w:color w:val="000000"/>
                <w:sz w:val="21"/>
              </w:rPr>
            </w:pPr>
            <w:r>
              <w:rPr>
                <w:color w:val="000000"/>
                <w:sz w:val="21"/>
              </w:rPr>
              <w:t>苯并[k]荧蒽</w:t>
            </w:r>
          </w:p>
        </w:tc>
        <w:tc>
          <w:tcPr>
            <w:tcW w:w="906" w:type="pct"/>
          </w:tcPr>
          <w:p w14:paraId="4F4DC0FF">
            <w:pPr>
              <w:spacing w:line="240" w:lineRule="atLeast"/>
              <w:jc w:val="center"/>
              <w:rPr>
                <w:color w:val="000000"/>
                <w:sz w:val="21"/>
              </w:rPr>
            </w:pPr>
            <w:r>
              <w:rPr>
                <w:color w:val="000000"/>
                <w:sz w:val="21"/>
              </w:rPr>
              <w:t>0.1L</w:t>
            </w:r>
          </w:p>
        </w:tc>
        <w:tc>
          <w:tcPr>
            <w:tcW w:w="906" w:type="pct"/>
            <w:vAlign w:val="center"/>
          </w:tcPr>
          <w:p w14:paraId="482B84D3">
            <w:pPr>
              <w:spacing w:line="240" w:lineRule="atLeast"/>
              <w:jc w:val="center"/>
              <w:rPr>
                <w:color w:val="000000"/>
                <w:sz w:val="21"/>
              </w:rPr>
            </w:pPr>
            <w:r>
              <w:rPr>
                <w:color w:val="000000"/>
                <w:sz w:val="21"/>
              </w:rPr>
              <w:t>0.1L</w:t>
            </w:r>
          </w:p>
        </w:tc>
        <w:tc>
          <w:tcPr>
            <w:tcW w:w="1070" w:type="pct"/>
            <w:vAlign w:val="center"/>
          </w:tcPr>
          <w:p w14:paraId="0D27F938">
            <w:pPr>
              <w:spacing w:line="240" w:lineRule="atLeast"/>
              <w:jc w:val="center"/>
              <w:rPr>
                <w:color w:val="000000"/>
                <w:sz w:val="21"/>
              </w:rPr>
            </w:pPr>
            <w:r>
              <w:rPr>
                <w:color w:val="000000"/>
                <w:sz w:val="21"/>
              </w:rPr>
              <w:t>1.5</w:t>
            </w:r>
          </w:p>
        </w:tc>
        <w:tc>
          <w:tcPr>
            <w:tcW w:w="510" w:type="pct"/>
            <w:vAlign w:val="center"/>
          </w:tcPr>
          <w:p w14:paraId="15130BAC">
            <w:pPr>
              <w:spacing w:line="240" w:lineRule="atLeast"/>
              <w:jc w:val="center"/>
              <w:rPr>
                <w:color w:val="000000"/>
                <w:sz w:val="21"/>
              </w:rPr>
            </w:pPr>
            <w:r>
              <w:rPr>
                <w:color w:val="000000"/>
                <w:sz w:val="21"/>
              </w:rPr>
              <w:t>＜1</w:t>
            </w:r>
          </w:p>
        </w:tc>
      </w:tr>
      <w:tr w14:paraId="18FA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vAlign w:val="center"/>
          </w:tcPr>
          <w:p w14:paraId="23A4CA54">
            <w:pPr>
              <w:spacing w:line="240" w:lineRule="atLeast"/>
              <w:jc w:val="center"/>
              <w:rPr>
                <w:color w:val="000000"/>
                <w:sz w:val="21"/>
              </w:rPr>
            </w:pPr>
            <w:r>
              <w:rPr>
                <w:color w:val="000000"/>
                <w:sz w:val="21"/>
              </w:rPr>
              <w:t>42</w:t>
            </w:r>
          </w:p>
        </w:tc>
        <w:tc>
          <w:tcPr>
            <w:tcW w:w="1203" w:type="pct"/>
            <w:vAlign w:val="center"/>
          </w:tcPr>
          <w:p w14:paraId="4DB934AE">
            <w:pPr>
              <w:spacing w:line="240" w:lineRule="atLeast"/>
              <w:jc w:val="center"/>
              <w:rPr>
                <w:color w:val="000000"/>
                <w:sz w:val="21"/>
              </w:rPr>
            </w:pPr>
            <w:r>
              <w:rPr>
                <w:color w:val="000000"/>
                <w:sz w:val="21"/>
              </w:rPr>
              <w:t>䓛</w:t>
            </w:r>
          </w:p>
        </w:tc>
        <w:tc>
          <w:tcPr>
            <w:tcW w:w="906" w:type="pct"/>
          </w:tcPr>
          <w:p w14:paraId="14F3E08F">
            <w:pPr>
              <w:spacing w:line="240" w:lineRule="atLeast"/>
              <w:jc w:val="center"/>
              <w:rPr>
                <w:color w:val="000000"/>
                <w:sz w:val="21"/>
              </w:rPr>
            </w:pPr>
            <w:r>
              <w:rPr>
                <w:color w:val="000000"/>
                <w:sz w:val="21"/>
              </w:rPr>
              <w:t>0.1L</w:t>
            </w:r>
          </w:p>
        </w:tc>
        <w:tc>
          <w:tcPr>
            <w:tcW w:w="906" w:type="pct"/>
            <w:vAlign w:val="center"/>
          </w:tcPr>
          <w:p w14:paraId="55530F9B">
            <w:pPr>
              <w:spacing w:line="240" w:lineRule="atLeast"/>
              <w:jc w:val="center"/>
              <w:rPr>
                <w:color w:val="000000"/>
                <w:sz w:val="21"/>
              </w:rPr>
            </w:pPr>
            <w:r>
              <w:rPr>
                <w:color w:val="000000"/>
                <w:sz w:val="21"/>
              </w:rPr>
              <w:t>0.1L</w:t>
            </w:r>
          </w:p>
        </w:tc>
        <w:tc>
          <w:tcPr>
            <w:tcW w:w="1070" w:type="pct"/>
            <w:vAlign w:val="center"/>
          </w:tcPr>
          <w:p w14:paraId="41DFAAD4">
            <w:pPr>
              <w:spacing w:line="240" w:lineRule="atLeast"/>
              <w:jc w:val="center"/>
              <w:rPr>
                <w:color w:val="000000"/>
                <w:sz w:val="21"/>
              </w:rPr>
            </w:pPr>
            <w:r>
              <w:rPr>
                <w:color w:val="000000"/>
                <w:sz w:val="21"/>
              </w:rPr>
              <w:t>15</w:t>
            </w:r>
          </w:p>
        </w:tc>
        <w:tc>
          <w:tcPr>
            <w:tcW w:w="510" w:type="pct"/>
            <w:vAlign w:val="center"/>
          </w:tcPr>
          <w:p w14:paraId="4A3D6AC5">
            <w:pPr>
              <w:spacing w:line="240" w:lineRule="atLeast"/>
              <w:jc w:val="center"/>
              <w:rPr>
                <w:color w:val="000000"/>
                <w:sz w:val="21"/>
              </w:rPr>
            </w:pPr>
            <w:r>
              <w:rPr>
                <w:color w:val="000000"/>
                <w:sz w:val="21"/>
              </w:rPr>
              <w:t>＜1</w:t>
            </w:r>
          </w:p>
        </w:tc>
      </w:tr>
      <w:tr w14:paraId="6E78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vAlign w:val="center"/>
          </w:tcPr>
          <w:p w14:paraId="2AF5787C">
            <w:pPr>
              <w:spacing w:line="240" w:lineRule="atLeast"/>
              <w:jc w:val="center"/>
              <w:rPr>
                <w:color w:val="000000"/>
                <w:sz w:val="21"/>
              </w:rPr>
            </w:pPr>
            <w:r>
              <w:rPr>
                <w:color w:val="000000"/>
                <w:sz w:val="21"/>
              </w:rPr>
              <w:t>43</w:t>
            </w:r>
          </w:p>
        </w:tc>
        <w:tc>
          <w:tcPr>
            <w:tcW w:w="1203" w:type="pct"/>
            <w:vAlign w:val="center"/>
          </w:tcPr>
          <w:p w14:paraId="41EF1086">
            <w:pPr>
              <w:spacing w:line="240" w:lineRule="atLeast"/>
              <w:jc w:val="center"/>
              <w:rPr>
                <w:color w:val="000000"/>
                <w:sz w:val="21"/>
              </w:rPr>
            </w:pPr>
            <w:r>
              <w:rPr>
                <w:color w:val="000000"/>
                <w:sz w:val="21"/>
              </w:rPr>
              <w:t>二苯并[a, h]蒽</w:t>
            </w:r>
          </w:p>
        </w:tc>
        <w:tc>
          <w:tcPr>
            <w:tcW w:w="906" w:type="pct"/>
          </w:tcPr>
          <w:p w14:paraId="068568C9">
            <w:pPr>
              <w:spacing w:line="240" w:lineRule="atLeast"/>
              <w:jc w:val="center"/>
              <w:rPr>
                <w:color w:val="000000"/>
                <w:sz w:val="21"/>
              </w:rPr>
            </w:pPr>
            <w:r>
              <w:rPr>
                <w:color w:val="000000"/>
                <w:sz w:val="21"/>
              </w:rPr>
              <w:t>0.1L</w:t>
            </w:r>
          </w:p>
        </w:tc>
        <w:tc>
          <w:tcPr>
            <w:tcW w:w="906" w:type="pct"/>
            <w:vAlign w:val="center"/>
          </w:tcPr>
          <w:p w14:paraId="36374746">
            <w:pPr>
              <w:spacing w:line="240" w:lineRule="atLeast"/>
              <w:jc w:val="center"/>
              <w:rPr>
                <w:color w:val="000000"/>
                <w:sz w:val="21"/>
              </w:rPr>
            </w:pPr>
            <w:r>
              <w:rPr>
                <w:color w:val="000000"/>
                <w:sz w:val="21"/>
              </w:rPr>
              <w:t>0.1L</w:t>
            </w:r>
          </w:p>
        </w:tc>
        <w:tc>
          <w:tcPr>
            <w:tcW w:w="1070" w:type="pct"/>
            <w:vAlign w:val="center"/>
          </w:tcPr>
          <w:p w14:paraId="3057ACFA">
            <w:pPr>
              <w:spacing w:line="240" w:lineRule="atLeast"/>
              <w:jc w:val="center"/>
              <w:rPr>
                <w:color w:val="000000"/>
                <w:sz w:val="21"/>
              </w:rPr>
            </w:pPr>
            <w:r>
              <w:rPr>
                <w:color w:val="000000"/>
                <w:sz w:val="21"/>
              </w:rPr>
              <w:t>70</w:t>
            </w:r>
          </w:p>
        </w:tc>
        <w:tc>
          <w:tcPr>
            <w:tcW w:w="510" w:type="pct"/>
            <w:vAlign w:val="center"/>
          </w:tcPr>
          <w:p w14:paraId="0C4B31FC">
            <w:pPr>
              <w:spacing w:line="240" w:lineRule="atLeast"/>
              <w:jc w:val="center"/>
              <w:rPr>
                <w:color w:val="000000"/>
                <w:sz w:val="21"/>
              </w:rPr>
            </w:pPr>
            <w:r>
              <w:rPr>
                <w:color w:val="000000"/>
                <w:sz w:val="21"/>
              </w:rPr>
              <w:t>＜1</w:t>
            </w:r>
          </w:p>
        </w:tc>
      </w:tr>
      <w:tr w14:paraId="5688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79EBC4EA">
            <w:pPr>
              <w:spacing w:line="240" w:lineRule="atLeast"/>
              <w:jc w:val="center"/>
              <w:rPr>
                <w:color w:val="000000"/>
                <w:sz w:val="21"/>
              </w:rPr>
            </w:pPr>
            <w:r>
              <w:rPr>
                <w:color w:val="000000"/>
                <w:sz w:val="21"/>
              </w:rPr>
              <w:t>44</w:t>
            </w:r>
          </w:p>
        </w:tc>
        <w:tc>
          <w:tcPr>
            <w:tcW w:w="1203" w:type="pct"/>
            <w:vAlign w:val="center"/>
          </w:tcPr>
          <w:p w14:paraId="2A4B41F3">
            <w:pPr>
              <w:spacing w:line="240" w:lineRule="atLeast"/>
              <w:jc w:val="center"/>
              <w:rPr>
                <w:color w:val="000000"/>
                <w:sz w:val="21"/>
              </w:rPr>
            </w:pPr>
            <w:r>
              <w:rPr>
                <w:color w:val="000000"/>
                <w:sz w:val="21"/>
              </w:rPr>
              <w:t>茚并[1,2,3-cd]芘</w:t>
            </w:r>
          </w:p>
        </w:tc>
        <w:tc>
          <w:tcPr>
            <w:tcW w:w="906" w:type="pct"/>
          </w:tcPr>
          <w:p w14:paraId="210BCC08">
            <w:pPr>
              <w:spacing w:line="240" w:lineRule="atLeast"/>
              <w:jc w:val="center"/>
              <w:rPr>
                <w:color w:val="000000"/>
                <w:sz w:val="21"/>
              </w:rPr>
            </w:pPr>
            <w:r>
              <w:rPr>
                <w:color w:val="000000"/>
                <w:sz w:val="21"/>
              </w:rPr>
              <w:t>0.1L</w:t>
            </w:r>
          </w:p>
        </w:tc>
        <w:tc>
          <w:tcPr>
            <w:tcW w:w="906" w:type="pct"/>
            <w:vAlign w:val="center"/>
          </w:tcPr>
          <w:p w14:paraId="44E788F9">
            <w:pPr>
              <w:spacing w:line="240" w:lineRule="atLeast"/>
              <w:jc w:val="center"/>
              <w:rPr>
                <w:color w:val="000000"/>
                <w:sz w:val="21"/>
              </w:rPr>
            </w:pPr>
            <w:r>
              <w:rPr>
                <w:color w:val="000000"/>
                <w:sz w:val="21"/>
              </w:rPr>
              <w:t>0.1L</w:t>
            </w:r>
          </w:p>
        </w:tc>
        <w:tc>
          <w:tcPr>
            <w:tcW w:w="1070" w:type="pct"/>
            <w:vAlign w:val="center"/>
          </w:tcPr>
          <w:p w14:paraId="5D3F7EDB">
            <w:pPr>
              <w:spacing w:line="240" w:lineRule="atLeast"/>
              <w:jc w:val="center"/>
              <w:rPr>
                <w:color w:val="000000"/>
                <w:sz w:val="21"/>
              </w:rPr>
            </w:pPr>
            <w:r>
              <w:rPr>
                <w:color w:val="000000"/>
                <w:sz w:val="21"/>
              </w:rPr>
              <w:t>2256</w:t>
            </w:r>
          </w:p>
        </w:tc>
        <w:tc>
          <w:tcPr>
            <w:tcW w:w="510" w:type="pct"/>
            <w:vAlign w:val="center"/>
          </w:tcPr>
          <w:p w14:paraId="0E80AD7F">
            <w:pPr>
              <w:spacing w:line="240" w:lineRule="atLeast"/>
              <w:jc w:val="center"/>
              <w:rPr>
                <w:color w:val="000000"/>
                <w:sz w:val="21"/>
              </w:rPr>
            </w:pPr>
            <w:r>
              <w:rPr>
                <w:color w:val="000000"/>
                <w:sz w:val="21"/>
              </w:rPr>
              <w:t>＜1</w:t>
            </w:r>
          </w:p>
        </w:tc>
      </w:tr>
      <w:tr w14:paraId="05AF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vAlign w:val="center"/>
          </w:tcPr>
          <w:p w14:paraId="5E9D61A4">
            <w:pPr>
              <w:spacing w:line="240" w:lineRule="atLeast"/>
              <w:jc w:val="center"/>
              <w:rPr>
                <w:color w:val="000000"/>
                <w:sz w:val="21"/>
              </w:rPr>
            </w:pPr>
            <w:r>
              <w:rPr>
                <w:color w:val="000000"/>
                <w:sz w:val="21"/>
              </w:rPr>
              <w:t>45</w:t>
            </w:r>
          </w:p>
        </w:tc>
        <w:tc>
          <w:tcPr>
            <w:tcW w:w="1203" w:type="pct"/>
            <w:vAlign w:val="center"/>
          </w:tcPr>
          <w:p w14:paraId="4E300F61">
            <w:pPr>
              <w:spacing w:line="240" w:lineRule="atLeast"/>
              <w:jc w:val="center"/>
              <w:rPr>
                <w:color w:val="000000"/>
                <w:sz w:val="21"/>
              </w:rPr>
            </w:pPr>
            <w:r>
              <w:rPr>
                <w:color w:val="000000"/>
                <w:sz w:val="21"/>
              </w:rPr>
              <w:t>萘</w:t>
            </w:r>
          </w:p>
        </w:tc>
        <w:tc>
          <w:tcPr>
            <w:tcW w:w="906" w:type="pct"/>
          </w:tcPr>
          <w:p w14:paraId="5F59C403">
            <w:pPr>
              <w:spacing w:line="240" w:lineRule="atLeast"/>
              <w:jc w:val="center"/>
              <w:rPr>
                <w:color w:val="000000"/>
                <w:sz w:val="21"/>
              </w:rPr>
            </w:pPr>
            <w:r>
              <w:rPr>
                <w:color w:val="000000"/>
                <w:sz w:val="21"/>
              </w:rPr>
              <w:t>0.09L</w:t>
            </w:r>
          </w:p>
        </w:tc>
        <w:tc>
          <w:tcPr>
            <w:tcW w:w="906" w:type="pct"/>
            <w:vAlign w:val="center"/>
          </w:tcPr>
          <w:p w14:paraId="61B44639">
            <w:pPr>
              <w:spacing w:line="240" w:lineRule="atLeast"/>
              <w:jc w:val="center"/>
              <w:rPr>
                <w:color w:val="000000"/>
                <w:sz w:val="21"/>
              </w:rPr>
            </w:pPr>
            <w:r>
              <w:rPr>
                <w:color w:val="000000"/>
                <w:sz w:val="21"/>
              </w:rPr>
              <w:t>0.09L</w:t>
            </w:r>
          </w:p>
        </w:tc>
        <w:tc>
          <w:tcPr>
            <w:tcW w:w="1070" w:type="pct"/>
            <w:vAlign w:val="center"/>
          </w:tcPr>
          <w:p w14:paraId="290F6354">
            <w:pPr>
              <w:spacing w:line="240" w:lineRule="atLeast"/>
              <w:jc w:val="center"/>
              <w:rPr>
                <w:color w:val="000000"/>
                <w:sz w:val="21"/>
              </w:rPr>
            </w:pPr>
            <w:r>
              <w:rPr>
                <w:color w:val="000000"/>
                <w:sz w:val="21"/>
              </w:rPr>
              <w:t>260</w:t>
            </w:r>
          </w:p>
        </w:tc>
        <w:tc>
          <w:tcPr>
            <w:tcW w:w="510" w:type="pct"/>
            <w:vAlign w:val="center"/>
          </w:tcPr>
          <w:p w14:paraId="2DE3E713">
            <w:pPr>
              <w:spacing w:line="240" w:lineRule="atLeast"/>
              <w:jc w:val="center"/>
              <w:rPr>
                <w:color w:val="000000"/>
                <w:sz w:val="21"/>
              </w:rPr>
            </w:pPr>
            <w:r>
              <w:rPr>
                <w:color w:val="000000"/>
                <w:sz w:val="21"/>
              </w:rPr>
              <w:t>＜1</w:t>
            </w:r>
          </w:p>
        </w:tc>
      </w:tr>
    </w:tbl>
    <w:p w14:paraId="1F03DA41">
      <w:pPr>
        <w:pStyle w:val="771"/>
        <w:rPr>
          <w:color w:val="000000"/>
        </w:rPr>
      </w:pPr>
      <w:r>
        <w:rPr>
          <w:color w:val="000000"/>
        </w:rPr>
        <w:t>4.3.6生态环境</w:t>
      </w:r>
    </w:p>
    <w:p w14:paraId="4339DC23">
      <w:pPr>
        <w:tabs>
          <w:tab w:val="left" w:pos="993"/>
        </w:tabs>
        <w:ind w:firstLine="480"/>
        <w:rPr>
          <w:color w:val="000000"/>
        </w:rPr>
      </w:pPr>
      <w:r>
        <w:rPr>
          <w:color w:val="000000"/>
        </w:rPr>
        <w:t>本项目位于工业园区现有涪陵LNG工厂内，用地性质为工业用地，周边主要规划为工业企业。区域内自然生态环境受人类活动干扰很大，生态结构较简单，植被稀疏，动植物均为人工饲养及种植，生物多样性较低，无珍稀野生动植物分布。</w:t>
      </w:r>
    </w:p>
    <w:p w14:paraId="3EC81ACE">
      <w:pPr>
        <w:pStyle w:val="771"/>
        <w:rPr>
          <w:color w:val="000000"/>
        </w:rPr>
      </w:pPr>
      <w:r>
        <w:rPr>
          <w:color w:val="000000"/>
        </w:rPr>
        <w:t>4.3.7小结</w:t>
      </w:r>
    </w:p>
    <w:p w14:paraId="7C9BAEEA">
      <w:pPr>
        <w:tabs>
          <w:tab w:val="left" w:pos="993"/>
        </w:tabs>
        <w:ind w:firstLine="480"/>
        <w:rPr>
          <w:color w:val="000000"/>
          <w:szCs w:val="24"/>
        </w:rPr>
      </w:pPr>
      <w:r>
        <w:rPr>
          <w:color w:val="000000"/>
          <w:szCs w:val="24"/>
        </w:rPr>
        <w:t>环境空气：2020年涪陵区环境空气中各污染物年均值达标，项目所在区域为达标区。</w:t>
      </w:r>
    </w:p>
    <w:p w14:paraId="668C7E99">
      <w:pPr>
        <w:tabs>
          <w:tab w:val="left" w:pos="993"/>
        </w:tabs>
        <w:ind w:firstLine="480"/>
        <w:rPr>
          <w:color w:val="000000"/>
          <w:szCs w:val="24"/>
        </w:rPr>
      </w:pPr>
      <w:r>
        <w:rPr>
          <w:color w:val="000000"/>
          <w:szCs w:val="24"/>
        </w:rPr>
        <w:t>地表水：本项目受纳水体为乌江，根据乌江的市控考核断面白涛断面和乌江麻柳嘴断面监测数据结果显示，各现状监测因子均符合《地表水环境质量标准》（GB3838-2002）Ⅲ类标准的要求。</w:t>
      </w:r>
    </w:p>
    <w:p w14:paraId="09F64134">
      <w:pPr>
        <w:tabs>
          <w:tab w:val="left" w:pos="993"/>
        </w:tabs>
        <w:ind w:firstLine="480"/>
        <w:rPr>
          <w:color w:val="000000"/>
          <w:szCs w:val="24"/>
        </w:rPr>
      </w:pPr>
      <w:r>
        <w:rPr>
          <w:color w:val="000000"/>
          <w:szCs w:val="24"/>
        </w:rPr>
        <w:t>地下水：</w:t>
      </w:r>
      <w:r>
        <w:rPr>
          <w:color w:val="000000"/>
        </w:rPr>
        <w:t>本次地下水环境现状监测数据引用天航（监）字【2020】第QTRJ0104DE 监测报告3个地下水环境质量现状监测点位（HS1、HS2、HS3）监测数据，以及九升（监）字【2019】第WT4158监测报告2个地下水环境质量现状监测点位（FX1、FX2）监测数据进行评价，引用的监测点均位于本项目所在的水文地质单元内</w:t>
      </w:r>
      <w:r>
        <w:rPr>
          <w:color w:val="000000"/>
          <w:szCs w:val="24"/>
        </w:rPr>
        <w:t>，其各项监测指标均满足《地下水质量标准》（GB/T14848-2017）中的III类水质标准，说明评价区域地下水环境质量现状较好。</w:t>
      </w:r>
    </w:p>
    <w:p w14:paraId="7923ECBC">
      <w:pPr>
        <w:tabs>
          <w:tab w:val="left" w:pos="993"/>
        </w:tabs>
        <w:ind w:firstLine="480"/>
        <w:rPr>
          <w:color w:val="000000"/>
          <w:szCs w:val="24"/>
        </w:rPr>
      </w:pPr>
      <w:r>
        <w:rPr>
          <w:color w:val="000000"/>
          <w:szCs w:val="24"/>
        </w:rPr>
        <w:t>声学环境：根据实地监测结果，项目区域声环境质量现状昼、夜间等效声级均能满足《声环境质量标准（GB3096-2008）》3类标准要求，区域声环境现状较好。</w:t>
      </w:r>
    </w:p>
    <w:p w14:paraId="0BBCEA15">
      <w:pPr>
        <w:tabs>
          <w:tab w:val="left" w:pos="993"/>
        </w:tabs>
        <w:ind w:firstLine="480"/>
        <w:rPr>
          <w:color w:val="000000"/>
        </w:rPr>
      </w:pPr>
      <w:r>
        <w:rPr>
          <w:color w:val="000000"/>
          <w:szCs w:val="24"/>
        </w:rPr>
        <w:t>土壤环境：根据实地监测结果和引用</w:t>
      </w:r>
      <w:r>
        <w:rPr>
          <w:color w:val="000000"/>
        </w:rPr>
        <w:t>天航（监）字【2020】第QTPJ0197号中的 T4、T14土壤监测点监测数据</w:t>
      </w:r>
      <w:r>
        <w:rPr>
          <w:color w:val="000000"/>
          <w:szCs w:val="24"/>
        </w:rPr>
        <w:t>，土壤环境现状均满足《土壤环境质量 建设用地土壤污染风险管控标准（试行）》（GB36600-2018）第二类用地筛选值标准，土壤环境质量现状较好。</w:t>
      </w:r>
    </w:p>
    <w:p w14:paraId="492C0DA4">
      <w:pPr>
        <w:pStyle w:val="2"/>
        <w:ind w:left="480"/>
        <w:rPr>
          <w:rFonts w:ascii="Times New Roman" w:hAnsi="Times New Roman" w:cs="Times New Roman"/>
          <w:color w:val="000000"/>
        </w:rPr>
      </w:pPr>
    </w:p>
    <w:p w14:paraId="097AA9B4">
      <w:pPr>
        <w:pStyle w:val="2"/>
        <w:ind w:left="0" w:leftChars="0" w:firstLine="0" w:firstLineChars="0"/>
        <w:rPr>
          <w:rFonts w:ascii="Times New Roman" w:hAnsi="Times New Roman" w:cs="Times New Roman"/>
          <w:color w:val="000000"/>
        </w:rPr>
        <w:sectPr>
          <w:pgSz w:w="11905" w:h="16838"/>
          <w:pgMar w:top="1440" w:right="1531" w:bottom="1440" w:left="1531" w:header="850" w:footer="907" w:gutter="0"/>
          <w:cols w:space="720" w:num="1"/>
          <w:docGrid w:type="lines" w:linePitch="332" w:charSpace="0"/>
        </w:sectPr>
      </w:pPr>
    </w:p>
    <w:bookmarkEnd w:id="11"/>
    <w:bookmarkEnd w:id="12"/>
    <w:bookmarkEnd w:id="13"/>
    <w:bookmarkEnd w:id="14"/>
    <w:bookmarkEnd w:id="15"/>
    <w:bookmarkEnd w:id="16"/>
    <w:p w14:paraId="6370602D">
      <w:pPr>
        <w:pStyle w:val="781"/>
        <w:rPr>
          <w:color w:val="000000"/>
        </w:rPr>
      </w:pPr>
      <w:bookmarkStart w:id="466" w:name="_Toc19093_WPSOffice_Level2"/>
      <w:bookmarkStart w:id="467" w:name="_Toc18097"/>
      <w:bookmarkStart w:id="468" w:name="_Toc440766123"/>
      <w:bookmarkStart w:id="469" w:name="_Toc407830691"/>
      <w:bookmarkStart w:id="470" w:name="_Toc440766319"/>
      <w:bookmarkStart w:id="471" w:name="_Toc407828647"/>
      <w:bookmarkStart w:id="472" w:name="_Toc489922489"/>
      <w:bookmarkStart w:id="473" w:name="_Toc408345202"/>
      <w:bookmarkStart w:id="474" w:name="_Toc477144610"/>
      <w:bookmarkStart w:id="475" w:name="_Toc408334049"/>
      <w:bookmarkStart w:id="476" w:name="_Toc500376033"/>
      <w:bookmarkStart w:id="477" w:name="_Toc407830732"/>
      <w:bookmarkStart w:id="478" w:name="_Toc407830816"/>
      <w:r>
        <w:rPr>
          <w:color w:val="000000"/>
        </w:rPr>
        <w:t>5 环境影响预测与评价</w:t>
      </w:r>
      <w:bookmarkEnd w:id="466"/>
      <w:bookmarkEnd w:id="467"/>
      <w:bookmarkEnd w:id="468"/>
      <w:bookmarkEnd w:id="469"/>
      <w:bookmarkEnd w:id="470"/>
      <w:bookmarkEnd w:id="471"/>
      <w:bookmarkEnd w:id="472"/>
      <w:bookmarkEnd w:id="473"/>
      <w:bookmarkEnd w:id="474"/>
      <w:bookmarkEnd w:id="475"/>
      <w:bookmarkEnd w:id="476"/>
      <w:bookmarkEnd w:id="477"/>
      <w:bookmarkEnd w:id="478"/>
    </w:p>
    <w:p w14:paraId="0EB38157">
      <w:pPr>
        <w:pStyle w:val="770"/>
        <w:rPr>
          <w:color w:val="000000"/>
        </w:rPr>
      </w:pPr>
      <w:bookmarkStart w:id="479" w:name="_Toc17719102"/>
      <w:bookmarkStart w:id="480" w:name="_Toc32343"/>
      <w:bookmarkStart w:id="481" w:name="_Toc19211257"/>
      <w:bookmarkStart w:id="482" w:name="_Toc6136_WPSOffice_Level3"/>
      <w:bookmarkStart w:id="483" w:name="_Toc500376040"/>
      <w:bookmarkStart w:id="484" w:name="_Toc488392446"/>
      <w:bookmarkStart w:id="485" w:name="_Toc396234221"/>
      <w:bookmarkStart w:id="486" w:name="_Toc462350304"/>
      <w:bookmarkStart w:id="487" w:name="_Toc439249529"/>
      <w:r>
        <w:rPr>
          <w:color w:val="000000"/>
        </w:rPr>
        <w:t>5.1 施工期环境影响分析</w:t>
      </w:r>
      <w:bookmarkEnd w:id="479"/>
      <w:bookmarkEnd w:id="480"/>
      <w:bookmarkEnd w:id="481"/>
    </w:p>
    <w:p w14:paraId="2C2666B0">
      <w:pPr>
        <w:ind w:firstLine="480"/>
        <w:rPr>
          <w:color w:val="000000"/>
        </w:rPr>
      </w:pPr>
      <w:r>
        <w:rPr>
          <w:color w:val="000000"/>
        </w:rPr>
        <w:t>本项目选址位于重庆白涛化工园区涪陵LNG工厂内，利用涪陵LNG工厂内现有空地布置生产设施设备，</w:t>
      </w:r>
      <w:r>
        <w:rPr>
          <w:bCs/>
          <w:color w:val="000000"/>
        </w:rPr>
        <w:t>现有空地已硬化，</w:t>
      </w:r>
      <w:r>
        <w:rPr>
          <w:color w:val="000000"/>
        </w:rPr>
        <w:t>本项目</w:t>
      </w:r>
      <w:r>
        <w:rPr>
          <w:bCs/>
          <w:color w:val="000000"/>
        </w:rPr>
        <w:t>不涉及土石方开挖，</w:t>
      </w:r>
      <w:r>
        <w:rPr>
          <w:color w:val="000000"/>
        </w:rPr>
        <w:t>因此，本项目施工期对周边环境影响小，本次评价将对本项目施工期对环境的影响进行简单分析。</w:t>
      </w:r>
    </w:p>
    <w:p w14:paraId="031CD6C3">
      <w:pPr>
        <w:pStyle w:val="771"/>
        <w:rPr>
          <w:color w:val="000000"/>
        </w:rPr>
      </w:pPr>
      <w:r>
        <w:rPr>
          <w:color w:val="000000"/>
        </w:rPr>
        <w:t>5.1.1 施工期环境空气影响分析</w:t>
      </w:r>
    </w:p>
    <w:p w14:paraId="25A679EC">
      <w:pPr>
        <w:ind w:firstLine="480"/>
        <w:rPr>
          <w:color w:val="000000"/>
        </w:rPr>
      </w:pPr>
      <w:r>
        <w:rPr>
          <w:color w:val="000000"/>
        </w:rPr>
        <w:t>（1）施工期主要环境空气污染源</w:t>
      </w:r>
    </w:p>
    <w:p w14:paraId="4D72E66A">
      <w:pPr>
        <w:ind w:firstLine="480"/>
        <w:rPr>
          <w:color w:val="000000"/>
        </w:rPr>
      </w:pPr>
      <w:r>
        <w:rPr>
          <w:color w:val="000000"/>
        </w:rPr>
        <w:t>施工期环境空气污染源主要包括机械废气、扬尘。</w:t>
      </w:r>
    </w:p>
    <w:p w14:paraId="08AA33DB">
      <w:pPr>
        <w:ind w:firstLine="480"/>
        <w:rPr>
          <w:color w:val="000000"/>
        </w:rPr>
      </w:pPr>
      <w:r>
        <w:rPr>
          <w:color w:val="000000"/>
        </w:rPr>
        <w:t>机械废气：各类燃油动力机械进行场地清理平整、挖方、运输等作业时产生的废气，主要含有CO、碳氢化合物、NOx。</w:t>
      </w:r>
    </w:p>
    <w:p w14:paraId="35ED25AD">
      <w:pPr>
        <w:ind w:firstLine="480"/>
        <w:rPr>
          <w:color w:val="000000"/>
        </w:rPr>
      </w:pPr>
      <w:r>
        <w:rPr>
          <w:color w:val="000000"/>
        </w:rPr>
        <w:t>扬尘：施工扬尘，物料运输和装卸作业中产生的二次扬尘。</w:t>
      </w:r>
    </w:p>
    <w:p w14:paraId="3725E946">
      <w:pPr>
        <w:ind w:firstLine="480"/>
        <w:rPr>
          <w:color w:val="000000"/>
        </w:rPr>
      </w:pPr>
      <w:r>
        <w:rPr>
          <w:color w:val="000000"/>
        </w:rPr>
        <w:t>（2）环境空气影响分析</w:t>
      </w:r>
    </w:p>
    <w:p w14:paraId="53B8C565">
      <w:pPr>
        <w:ind w:firstLine="480"/>
        <w:rPr>
          <w:color w:val="000000"/>
        </w:rPr>
      </w:pPr>
      <w:r>
        <w:rPr>
          <w:color w:val="000000"/>
        </w:rPr>
        <w:t>施工期的各类燃油动力机械的运输作业为间断性作业，使用数量不多，其排放的CO、碳氢化合物和NOx等废气仅对本项目区域大气环境质量产生暂时性、间歇性的不利影响，施工结束后，环境空气影响会随即消失。</w:t>
      </w:r>
    </w:p>
    <w:p w14:paraId="0F7E2BDC">
      <w:pPr>
        <w:ind w:firstLine="480"/>
        <w:rPr>
          <w:color w:val="000000"/>
        </w:rPr>
      </w:pPr>
      <w:r>
        <w:rPr>
          <w:color w:val="000000"/>
        </w:rPr>
        <w:t>施工场地材料运输、装卸等过程中产生粉尘与二次扬尘，根据类似工程实地监测资料，TSP浓度约1.5mg/m</w:t>
      </w:r>
      <w:r>
        <w:rPr>
          <w:color w:val="000000"/>
          <w:vertAlign w:val="superscript"/>
        </w:rPr>
        <w:t>3</w:t>
      </w:r>
      <w:r>
        <w:rPr>
          <w:color w:val="000000"/>
        </w:rPr>
        <w:t>~3.0mg/m</w:t>
      </w:r>
      <w:r>
        <w:rPr>
          <w:color w:val="000000"/>
          <w:vertAlign w:val="superscript"/>
        </w:rPr>
        <w:t>3</w:t>
      </w:r>
      <w:r>
        <w:rPr>
          <w:color w:val="000000"/>
        </w:rPr>
        <w:t>，在正常情况下，距离施工场地50m~100m外，其贡献值可满足环境空气质量二级标准；在大风（&gt;5级）情况下，施工粉尘对施工区域周围100m~300m以外贡献值可满足二级标准要求。结合施工作业区周围环境，施工活动产生的粉尘与二次扬尘可能对施工场区周围100m以内的环境空气质量有一定影响。</w:t>
      </w:r>
    </w:p>
    <w:p w14:paraId="72C6075D">
      <w:pPr>
        <w:ind w:firstLine="480"/>
        <w:rPr>
          <w:color w:val="000000"/>
        </w:rPr>
      </w:pPr>
      <w:r>
        <w:rPr>
          <w:color w:val="000000"/>
        </w:rPr>
        <w:t>（3）防治措施</w:t>
      </w:r>
    </w:p>
    <w:p w14:paraId="223ED7C7">
      <w:pPr>
        <w:ind w:firstLine="480"/>
        <w:rPr>
          <w:color w:val="000000"/>
        </w:rPr>
      </w:pPr>
      <w:r>
        <w:rPr>
          <w:color w:val="000000"/>
        </w:rPr>
        <w:t>施工区设置围挡墙；制定洒水制度，对产生扬尘的施工作业及施工道路定期洒水；施工场地内运输道路应及时清扫，减少汽车行驶扬尘。加强施工机械的使用管理和施工机械的维修和保养，提高机械使用效率，减少废气排放，以减轻其对环境的影响。</w:t>
      </w:r>
    </w:p>
    <w:p w14:paraId="02CEA73A">
      <w:pPr>
        <w:ind w:firstLine="480"/>
        <w:rPr>
          <w:color w:val="000000"/>
        </w:rPr>
      </w:pPr>
      <w:r>
        <w:rPr>
          <w:color w:val="000000"/>
        </w:rPr>
        <w:t>施工单位在采取以上措施后，可减少施工期对区域环境空气的影响。</w:t>
      </w:r>
    </w:p>
    <w:p w14:paraId="356BE326">
      <w:pPr>
        <w:pStyle w:val="771"/>
        <w:rPr>
          <w:color w:val="000000"/>
        </w:rPr>
      </w:pPr>
      <w:r>
        <w:rPr>
          <w:color w:val="000000"/>
        </w:rPr>
        <w:t>5.1.2 施工期地表水水影响分析</w:t>
      </w:r>
    </w:p>
    <w:p w14:paraId="141106CE">
      <w:pPr>
        <w:ind w:firstLine="480"/>
        <w:rPr>
          <w:color w:val="000000"/>
        </w:rPr>
      </w:pPr>
      <w:r>
        <w:rPr>
          <w:color w:val="000000"/>
        </w:rPr>
        <w:t>（1）主要地表水环境污染源</w:t>
      </w:r>
    </w:p>
    <w:p w14:paraId="1C371203">
      <w:pPr>
        <w:ind w:firstLine="480"/>
        <w:rPr>
          <w:color w:val="000000"/>
        </w:rPr>
      </w:pPr>
      <w:r>
        <w:rPr>
          <w:color w:val="000000"/>
        </w:rPr>
        <w:t>施工期产生的废水主要包括施工废水和生活污水。</w:t>
      </w:r>
    </w:p>
    <w:p w14:paraId="6C4ADDE9">
      <w:pPr>
        <w:ind w:firstLine="480"/>
        <w:rPr>
          <w:color w:val="000000"/>
        </w:rPr>
      </w:pPr>
      <w:r>
        <w:rPr>
          <w:color w:val="000000"/>
        </w:rPr>
        <w:t>施工废水主要包括冲洗施工过程中产生的废水，施工机械产生的含油废水，车辆设备的冲洗废水。施工废水主要污染物为COD、SS、石油类，生活污水的主要污染物为COD、SS、氨氮、动植物油等。施工期产生的废水，若不加强管理任其四处横流，流向厂外将加大对外环境水体水质的影响。</w:t>
      </w:r>
    </w:p>
    <w:p w14:paraId="3DCA046E">
      <w:pPr>
        <w:ind w:firstLine="480"/>
        <w:rPr>
          <w:color w:val="000000"/>
        </w:rPr>
      </w:pPr>
      <w:r>
        <w:rPr>
          <w:color w:val="000000"/>
        </w:rPr>
        <w:t>（2）防治措施及影响分析</w:t>
      </w:r>
    </w:p>
    <w:p w14:paraId="49B5ADA4">
      <w:pPr>
        <w:ind w:firstLine="480"/>
        <w:rPr>
          <w:color w:val="000000"/>
        </w:rPr>
      </w:pPr>
      <w:r>
        <w:rPr>
          <w:color w:val="000000"/>
        </w:rPr>
        <w:t>在施工过程中应加强施工机械管理，设置固定的车辆冲洗场所，避免含油废水带来的影响；在施工场地内设置隔油、沉砂池等设施，车辆冲洗废水和施工场地作业废水经隔油、沉淀处理后回收利用。</w:t>
      </w:r>
    </w:p>
    <w:p w14:paraId="03427FCC">
      <w:pPr>
        <w:ind w:firstLine="480"/>
        <w:rPr>
          <w:color w:val="000000"/>
        </w:rPr>
      </w:pPr>
      <w:r>
        <w:rPr>
          <w:color w:val="000000"/>
        </w:rPr>
        <w:t>施工人员使用厂内现有的生活设施，生活污水统一收集处理后进入市政污水管网。</w:t>
      </w:r>
    </w:p>
    <w:p w14:paraId="042FADA4">
      <w:pPr>
        <w:ind w:firstLine="480"/>
        <w:rPr>
          <w:color w:val="000000"/>
        </w:rPr>
      </w:pPr>
      <w:r>
        <w:rPr>
          <w:color w:val="000000"/>
        </w:rPr>
        <w:t>采取以上措施后，施工期产生的废水对水环境无明显不良影响。</w:t>
      </w:r>
    </w:p>
    <w:p w14:paraId="0178BB5F">
      <w:pPr>
        <w:pStyle w:val="771"/>
        <w:rPr>
          <w:color w:val="000000"/>
        </w:rPr>
      </w:pPr>
      <w:r>
        <w:rPr>
          <w:color w:val="000000"/>
        </w:rPr>
        <w:t>5.1.3 施工期声环境影响分析</w:t>
      </w:r>
    </w:p>
    <w:p w14:paraId="13EE5111">
      <w:pPr>
        <w:ind w:firstLine="480"/>
        <w:rPr>
          <w:color w:val="000000"/>
        </w:rPr>
      </w:pPr>
      <w:r>
        <w:rPr>
          <w:color w:val="000000"/>
        </w:rPr>
        <w:t>（1）施工噪声及振动</w:t>
      </w:r>
    </w:p>
    <w:p w14:paraId="52B2DE13">
      <w:pPr>
        <w:ind w:firstLine="480"/>
        <w:rPr>
          <w:color w:val="000000"/>
        </w:rPr>
      </w:pPr>
      <w:r>
        <w:rPr>
          <w:color w:val="000000"/>
        </w:rPr>
        <w:t>施工期的噪声主要在设备安装噪声及运输车辆噪声，设备安装噪声声级值约79dB（A）~82dB（A）。相较于施工设备噪声，交通噪声由于间歇性等特点，其对施工区域及周边的声环境质量影响较小，在此不做分析。</w:t>
      </w:r>
    </w:p>
    <w:p w14:paraId="79F130FF">
      <w:pPr>
        <w:ind w:firstLine="480"/>
        <w:rPr>
          <w:color w:val="000000"/>
        </w:rPr>
      </w:pPr>
      <w:r>
        <w:rPr>
          <w:color w:val="000000"/>
        </w:rPr>
        <w:t>（2）施工噪声影响分析</w:t>
      </w:r>
    </w:p>
    <w:p w14:paraId="54F5E45D">
      <w:pPr>
        <w:widowControl w:val="0"/>
        <w:ind w:firstLine="480" w:firstLineChars="200"/>
        <w:rPr>
          <w:color w:val="000000"/>
        </w:rPr>
      </w:pPr>
      <w:r>
        <w:rPr>
          <w:color w:val="000000"/>
        </w:rPr>
        <w:t>施工噪声源可近似作为点声源处理，为了反映该项目施工噪声对施工区域及周边环境的最大影响，本次评价假设不存在任何声屏障，仅考虑噪声的几何发散衰减，根据无指向性点声源几何发散衰减模式，估算施工场地区域及周边环境受该项目施工期噪声的影响。距离传播衰减模式：</w:t>
      </w:r>
    </w:p>
    <w:p w14:paraId="5EC9B7F7">
      <w:pPr>
        <w:spacing w:line="500" w:lineRule="atLeast"/>
        <w:ind w:firstLine="1680" w:firstLineChars="700"/>
        <w:rPr>
          <w:color w:val="000000"/>
          <w:lang w:val="it-IT"/>
        </w:rPr>
      </w:pPr>
      <w:r>
        <w:rPr>
          <w:color w:val="000000"/>
          <w:lang w:val="it-IT"/>
        </w:rPr>
        <w:t>L</w:t>
      </w:r>
      <w:r>
        <w:rPr>
          <w:color w:val="000000"/>
          <w:vertAlign w:val="subscript"/>
          <w:lang w:val="it-IT"/>
        </w:rPr>
        <w:t>P2</w:t>
      </w:r>
      <w:r>
        <w:rPr>
          <w:color w:val="000000"/>
          <w:lang w:val="it-IT"/>
        </w:rPr>
        <w:t>= L</w:t>
      </w:r>
      <w:r>
        <w:rPr>
          <w:color w:val="000000"/>
          <w:vertAlign w:val="subscript"/>
          <w:lang w:val="it-IT"/>
        </w:rPr>
        <w:t>P1</w:t>
      </w:r>
      <w:r>
        <w:rPr>
          <w:color w:val="000000"/>
          <w:lang w:val="it-IT"/>
        </w:rPr>
        <w:t xml:space="preserve"> -20lg(r</w:t>
      </w:r>
      <w:r>
        <w:rPr>
          <w:color w:val="000000"/>
          <w:vertAlign w:val="subscript"/>
          <w:lang w:val="it-IT"/>
        </w:rPr>
        <w:t>2</w:t>
      </w:r>
      <w:r>
        <w:rPr>
          <w:color w:val="000000"/>
          <w:lang w:val="it-IT"/>
        </w:rPr>
        <w:t>/r</w:t>
      </w:r>
      <w:r>
        <w:rPr>
          <w:color w:val="000000"/>
          <w:vertAlign w:val="subscript"/>
          <w:lang w:val="it-IT"/>
        </w:rPr>
        <w:t>1</w:t>
      </w:r>
      <w:r>
        <w:rPr>
          <w:color w:val="000000"/>
          <w:lang w:val="it-IT"/>
        </w:rPr>
        <w:t>)</w:t>
      </w:r>
    </w:p>
    <w:p w14:paraId="7C4BDBC0">
      <w:pPr>
        <w:spacing w:line="500" w:lineRule="atLeast"/>
        <w:ind w:firstLine="480"/>
        <w:rPr>
          <w:color w:val="000000"/>
        </w:rPr>
      </w:pPr>
      <w:r>
        <w:rPr>
          <w:color w:val="000000"/>
          <w:lang w:val="it-IT"/>
        </w:rPr>
        <w:t xml:space="preserve">    式中</w:t>
      </w:r>
      <w:r>
        <w:rPr>
          <w:color w:val="000000"/>
        </w:rPr>
        <w:t>：</w:t>
      </w:r>
      <w:r>
        <w:rPr>
          <w:color w:val="000000"/>
          <w:lang w:val="it-IT"/>
        </w:rPr>
        <w:t>L</w:t>
      </w:r>
      <w:r>
        <w:rPr>
          <w:color w:val="000000"/>
          <w:vertAlign w:val="subscript"/>
          <w:lang w:val="it-IT"/>
        </w:rPr>
        <w:t>P1</w:t>
      </w:r>
      <w:r>
        <w:rPr>
          <w:color w:val="000000"/>
        </w:rPr>
        <w:t>——受声点P</w:t>
      </w:r>
      <w:r>
        <w:rPr>
          <w:color w:val="000000"/>
          <w:vertAlign w:val="subscript"/>
        </w:rPr>
        <w:t>1</w:t>
      </w:r>
      <w:r>
        <w:rPr>
          <w:color w:val="000000"/>
        </w:rPr>
        <w:t>处的声级；</w:t>
      </w:r>
    </w:p>
    <w:p w14:paraId="53A07FA7">
      <w:pPr>
        <w:spacing w:line="500" w:lineRule="atLeast"/>
        <w:ind w:firstLine="480"/>
        <w:rPr>
          <w:color w:val="000000"/>
        </w:rPr>
      </w:pPr>
      <w:r>
        <w:rPr>
          <w:color w:val="000000"/>
        </w:rPr>
        <w:t xml:space="preserve">          </w:t>
      </w:r>
      <w:r>
        <w:rPr>
          <w:color w:val="000000"/>
          <w:lang w:val="it-IT"/>
        </w:rPr>
        <w:t>L</w:t>
      </w:r>
      <w:r>
        <w:rPr>
          <w:color w:val="000000"/>
          <w:vertAlign w:val="subscript"/>
          <w:lang w:val="it-IT"/>
        </w:rPr>
        <w:t>P2</w:t>
      </w:r>
      <w:r>
        <w:rPr>
          <w:color w:val="000000"/>
        </w:rPr>
        <w:t>——受声点P</w:t>
      </w:r>
      <w:r>
        <w:rPr>
          <w:color w:val="000000"/>
          <w:vertAlign w:val="subscript"/>
        </w:rPr>
        <w:t>2</w:t>
      </w:r>
      <w:r>
        <w:rPr>
          <w:color w:val="000000"/>
        </w:rPr>
        <w:t>处的声级；</w:t>
      </w:r>
    </w:p>
    <w:p w14:paraId="17BCA432">
      <w:pPr>
        <w:spacing w:line="500" w:lineRule="atLeast"/>
        <w:ind w:firstLine="480"/>
        <w:rPr>
          <w:color w:val="000000"/>
        </w:rPr>
      </w:pPr>
      <w:r>
        <w:rPr>
          <w:color w:val="000000"/>
        </w:rPr>
        <w:t xml:space="preserve">          r</w:t>
      </w:r>
      <w:r>
        <w:rPr>
          <w:color w:val="000000"/>
          <w:vertAlign w:val="subscript"/>
        </w:rPr>
        <w:t>1</w:t>
      </w:r>
      <w:r>
        <w:rPr>
          <w:color w:val="000000"/>
        </w:rPr>
        <w:t>——声源至P</w:t>
      </w:r>
      <w:r>
        <w:rPr>
          <w:color w:val="000000"/>
          <w:vertAlign w:val="subscript"/>
        </w:rPr>
        <w:t>1</w:t>
      </w:r>
      <w:r>
        <w:rPr>
          <w:color w:val="000000"/>
        </w:rPr>
        <w:t>的距离（m）；</w:t>
      </w:r>
    </w:p>
    <w:p w14:paraId="5CAB10F1">
      <w:pPr>
        <w:spacing w:line="500" w:lineRule="atLeast"/>
        <w:ind w:firstLine="480"/>
        <w:rPr>
          <w:color w:val="000000"/>
        </w:rPr>
      </w:pPr>
      <w:r>
        <w:rPr>
          <w:color w:val="000000"/>
        </w:rPr>
        <w:t xml:space="preserve">          r</w:t>
      </w:r>
      <w:r>
        <w:rPr>
          <w:color w:val="000000"/>
          <w:vertAlign w:val="subscript"/>
        </w:rPr>
        <w:t>2</w:t>
      </w:r>
      <w:r>
        <w:rPr>
          <w:color w:val="000000"/>
        </w:rPr>
        <w:t>——声源至P</w:t>
      </w:r>
      <w:r>
        <w:rPr>
          <w:color w:val="000000"/>
          <w:vertAlign w:val="subscript"/>
        </w:rPr>
        <w:t>2</w:t>
      </w:r>
      <w:r>
        <w:rPr>
          <w:color w:val="000000"/>
        </w:rPr>
        <w:t>的距离（m）。</w:t>
      </w:r>
    </w:p>
    <w:p w14:paraId="74B2E5F8">
      <w:pPr>
        <w:spacing w:line="460" w:lineRule="exact"/>
        <w:ind w:firstLine="480"/>
        <w:rPr>
          <w:snapToGrid w:val="0"/>
          <w:color w:val="000000"/>
          <w:kern w:val="0"/>
        </w:rPr>
      </w:pPr>
      <w:r>
        <w:rPr>
          <w:snapToGrid w:val="0"/>
          <w:color w:val="000000"/>
          <w:kern w:val="0"/>
        </w:rPr>
        <w:t>利用距离传播衰减模式预测施工场地周围噪声等值线分布情况，结果见表5.1.3-1。</w:t>
      </w:r>
    </w:p>
    <w:p w14:paraId="259C7EC7">
      <w:pPr>
        <w:spacing w:line="460" w:lineRule="exact"/>
        <w:jc w:val="center"/>
        <w:rPr>
          <w:snapToGrid w:val="0"/>
          <w:color w:val="000000"/>
          <w:kern w:val="0"/>
        </w:rPr>
      </w:pPr>
      <w:r>
        <w:rPr>
          <w:snapToGrid w:val="0"/>
          <w:color w:val="000000"/>
          <w:kern w:val="0"/>
        </w:rPr>
        <w:t>表5.1.3-1  施工噪声影响预测结果    单位：dB（A）</w:t>
      </w:r>
    </w:p>
    <w:tbl>
      <w:tblPr>
        <w:tblStyle w:val="7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29" w:type="dxa"/>
        </w:tblCellMar>
      </w:tblPr>
      <w:tblGrid>
        <w:gridCol w:w="1258"/>
        <w:gridCol w:w="644"/>
        <w:gridCol w:w="645"/>
        <w:gridCol w:w="643"/>
        <w:gridCol w:w="643"/>
        <w:gridCol w:w="643"/>
        <w:gridCol w:w="643"/>
        <w:gridCol w:w="643"/>
        <w:gridCol w:w="643"/>
        <w:gridCol w:w="643"/>
        <w:gridCol w:w="643"/>
        <w:gridCol w:w="643"/>
      </w:tblGrid>
      <w:tr w14:paraId="1810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29" w:type="dxa"/>
          </w:tblCellMar>
        </w:tblPrEx>
        <w:trPr>
          <w:trHeight w:val="20" w:hRule="atLeast"/>
        </w:trPr>
        <w:tc>
          <w:tcPr>
            <w:tcW w:w="754" w:type="pct"/>
            <w:vAlign w:val="center"/>
          </w:tcPr>
          <w:p w14:paraId="3D5F64DA">
            <w:pPr>
              <w:jc w:val="center"/>
              <w:rPr>
                <w:snapToGrid w:val="0"/>
                <w:color w:val="000000"/>
                <w:kern w:val="0"/>
              </w:rPr>
            </w:pPr>
            <w:r>
              <w:rPr>
                <w:snapToGrid w:val="0"/>
                <w:color w:val="000000"/>
                <w:kern w:val="0"/>
              </w:rPr>
              <w:t>距离（m）</w:t>
            </w:r>
          </w:p>
        </w:tc>
        <w:tc>
          <w:tcPr>
            <w:tcW w:w="386" w:type="pct"/>
            <w:vAlign w:val="center"/>
          </w:tcPr>
          <w:p w14:paraId="62FD017C">
            <w:pPr>
              <w:jc w:val="center"/>
              <w:rPr>
                <w:color w:val="000000"/>
                <w:sz w:val="22"/>
                <w:szCs w:val="22"/>
              </w:rPr>
            </w:pPr>
            <w:r>
              <w:rPr>
                <w:color w:val="000000"/>
                <w:sz w:val="22"/>
                <w:szCs w:val="22"/>
              </w:rPr>
              <w:t>5</w:t>
            </w:r>
          </w:p>
        </w:tc>
        <w:tc>
          <w:tcPr>
            <w:tcW w:w="386" w:type="pct"/>
            <w:vAlign w:val="center"/>
          </w:tcPr>
          <w:p w14:paraId="4C937A21">
            <w:pPr>
              <w:jc w:val="center"/>
              <w:rPr>
                <w:color w:val="000000"/>
                <w:sz w:val="22"/>
                <w:szCs w:val="22"/>
              </w:rPr>
            </w:pPr>
            <w:r>
              <w:rPr>
                <w:color w:val="000000"/>
                <w:sz w:val="22"/>
                <w:szCs w:val="22"/>
              </w:rPr>
              <w:t>10</w:t>
            </w:r>
          </w:p>
        </w:tc>
        <w:tc>
          <w:tcPr>
            <w:tcW w:w="385" w:type="pct"/>
            <w:vAlign w:val="center"/>
          </w:tcPr>
          <w:p w14:paraId="3FC59E67">
            <w:pPr>
              <w:jc w:val="center"/>
              <w:rPr>
                <w:color w:val="000000"/>
                <w:sz w:val="22"/>
                <w:szCs w:val="22"/>
              </w:rPr>
            </w:pPr>
            <w:r>
              <w:rPr>
                <w:color w:val="000000"/>
                <w:sz w:val="22"/>
                <w:szCs w:val="22"/>
              </w:rPr>
              <w:t>15</w:t>
            </w:r>
          </w:p>
        </w:tc>
        <w:tc>
          <w:tcPr>
            <w:tcW w:w="385" w:type="pct"/>
            <w:vAlign w:val="center"/>
          </w:tcPr>
          <w:p w14:paraId="79A31B8D">
            <w:pPr>
              <w:jc w:val="center"/>
              <w:rPr>
                <w:color w:val="000000"/>
                <w:sz w:val="22"/>
                <w:szCs w:val="22"/>
              </w:rPr>
            </w:pPr>
            <w:r>
              <w:rPr>
                <w:color w:val="000000"/>
                <w:sz w:val="22"/>
                <w:szCs w:val="22"/>
              </w:rPr>
              <w:t>20</w:t>
            </w:r>
          </w:p>
        </w:tc>
        <w:tc>
          <w:tcPr>
            <w:tcW w:w="385" w:type="pct"/>
            <w:vAlign w:val="center"/>
          </w:tcPr>
          <w:p w14:paraId="27D434BF">
            <w:pPr>
              <w:jc w:val="center"/>
              <w:rPr>
                <w:color w:val="000000"/>
                <w:sz w:val="22"/>
                <w:szCs w:val="22"/>
              </w:rPr>
            </w:pPr>
            <w:r>
              <w:rPr>
                <w:color w:val="000000"/>
                <w:sz w:val="22"/>
                <w:szCs w:val="22"/>
              </w:rPr>
              <w:t>25</w:t>
            </w:r>
          </w:p>
        </w:tc>
        <w:tc>
          <w:tcPr>
            <w:tcW w:w="385" w:type="pct"/>
            <w:vAlign w:val="center"/>
          </w:tcPr>
          <w:p w14:paraId="12904323">
            <w:pPr>
              <w:jc w:val="center"/>
              <w:rPr>
                <w:color w:val="000000"/>
                <w:sz w:val="22"/>
                <w:szCs w:val="22"/>
              </w:rPr>
            </w:pPr>
            <w:r>
              <w:rPr>
                <w:color w:val="000000"/>
                <w:sz w:val="22"/>
                <w:szCs w:val="22"/>
              </w:rPr>
              <w:t>30</w:t>
            </w:r>
          </w:p>
        </w:tc>
        <w:tc>
          <w:tcPr>
            <w:tcW w:w="385" w:type="pct"/>
            <w:vAlign w:val="center"/>
          </w:tcPr>
          <w:p w14:paraId="790F3E9A">
            <w:pPr>
              <w:jc w:val="center"/>
              <w:rPr>
                <w:color w:val="000000"/>
                <w:sz w:val="22"/>
                <w:szCs w:val="22"/>
              </w:rPr>
            </w:pPr>
            <w:r>
              <w:rPr>
                <w:color w:val="000000"/>
                <w:sz w:val="22"/>
                <w:szCs w:val="22"/>
              </w:rPr>
              <w:t>40</w:t>
            </w:r>
          </w:p>
        </w:tc>
        <w:tc>
          <w:tcPr>
            <w:tcW w:w="385" w:type="pct"/>
            <w:vAlign w:val="center"/>
          </w:tcPr>
          <w:p w14:paraId="07BB017D">
            <w:pPr>
              <w:jc w:val="center"/>
              <w:rPr>
                <w:color w:val="000000"/>
                <w:sz w:val="22"/>
                <w:szCs w:val="22"/>
              </w:rPr>
            </w:pPr>
            <w:r>
              <w:rPr>
                <w:color w:val="000000"/>
                <w:sz w:val="22"/>
                <w:szCs w:val="22"/>
              </w:rPr>
              <w:t>50</w:t>
            </w:r>
          </w:p>
        </w:tc>
        <w:tc>
          <w:tcPr>
            <w:tcW w:w="385" w:type="pct"/>
            <w:vAlign w:val="center"/>
          </w:tcPr>
          <w:p w14:paraId="18829806">
            <w:pPr>
              <w:jc w:val="center"/>
              <w:rPr>
                <w:color w:val="000000"/>
                <w:sz w:val="22"/>
                <w:szCs w:val="22"/>
              </w:rPr>
            </w:pPr>
            <w:r>
              <w:rPr>
                <w:color w:val="000000"/>
                <w:sz w:val="22"/>
                <w:szCs w:val="22"/>
              </w:rPr>
              <w:t>90</w:t>
            </w:r>
          </w:p>
        </w:tc>
        <w:tc>
          <w:tcPr>
            <w:tcW w:w="385" w:type="pct"/>
            <w:vAlign w:val="center"/>
          </w:tcPr>
          <w:p w14:paraId="1461E107">
            <w:pPr>
              <w:jc w:val="center"/>
              <w:rPr>
                <w:color w:val="000000"/>
                <w:sz w:val="22"/>
                <w:szCs w:val="22"/>
              </w:rPr>
            </w:pPr>
            <w:r>
              <w:rPr>
                <w:color w:val="000000"/>
                <w:sz w:val="22"/>
                <w:szCs w:val="22"/>
              </w:rPr>
              <w:t>200</w:t>
            </w:r>
          </w:p>
        </w:tc>
        <w:tc>
          <w:tcPr>
            <w:tcW w:w="385" w:type="pct"/>
            <w:vAlign w:val="center"/>
          </w:tcPr>
          <w:p w14:paraId="68D6D233">
            <w:pPr>
              <w:jc w:val="center"/>
              <w:rPr>
                <w:color w:val="000000"/>
                <w:sz w:val="22"/>
                <w:szCs w:val="22"/>
              </w:rPr>
            </w:pPr>
            <w:r>
              <w:rPr>
                <w:color w:val="000000"/>
                <w:sz w:val="22"/>
                <w:szCs w:val="22"/>
              </w:rPr>
              <w:t>300</w:t>
            </w:r>
          </w:p>
        </w:tc>
      </w:tr>
      <w:tr w14:paraId="73A2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29" w:type="dxa"/>
          </w:tblCellMar>
        </w:tblPrEx>
        <w:trPr>
          <w:trHeight w:val="20" w:hRule="atLeast"/>
        </w:trPr>
        <w:tc>
          <w:tcPr>
            <w:tcW w:w="754" w:type="pct"/>
            <w:vAlign w:val="center"/>
          </w:tcPr>
          <w:p w14:paraId="7F4BFB8D">
            <w:pPr>
              <w:jc w:val="center"/>
              <w:rPr>
                <w:snapToGrid w:val="0"/>
                <w:color w:val="000000"/>
                <w:kern w:val="0"/>
              </w:rPr>
            </w:pPr>
            <w:r>
              <w:rPr>
                <w:snapToGrid w:val="0"/>
                <w:color w:val="000000"/>
                <w:kern w:val="0"/>
              </w:rPr>
              <w:t>噪声值</w:t>
            </w:r>
          </w:p>
        </w:tc>
        <w:tc>
          <w:tcPr>
            <w:tcW w:w="386" w:type="pct"/>
            <w:vAlign w:val="center"/>
          </w:tcPr>
          <w:p w14:paraId="4DA9771E">
            <w:pPr>
              <w:jc w:val="center"/>
              <w:rPr>
                <w:color w:val="000000"/>
                <w:sz w:val="22"/>
                <w:szCs w:val="22"/>
              </w:rPr>
            </w:pPr>
            <w:r>
              <w:rPr>
                <w:color w:val="000000"/>
                <w:sz w:val="22"/>
                <w:szCs w:val="22"/>
              </w:rPr>
              <w:t>85.0</w:t>
            </w:r>
          </w:p>
        </w:tc>
        <w:tc>
          <w:tcPr>
            <w:tcW w:w="386" w:type="pct"/>
            <w:vAlign w:val="center"/>
          </w:tcPr>
          <w:p w14:paraId="77B4DE5B">
            <w:pPr>
              <w:jc w:val="center"/>
              <w:rPr>
                <w:color w:val="000000"/>
                <w:sz w:val="22"/>
                <w:szCs w:val="22"/>
              </w:rPr>
            </w:pPr>
            <w:r>
              <w:rPr>
                <w:color w:val="000000"/>
                <w:sz w:val="22"/>
                <w:szCs w:val="22"/>
              </w:rPr>
              <w:t>79.0</w:t>
            </w:r>
          </w:p>
        </w:tc>
        <w:tc>
          <w:tcPr>
            <w:tcW w:w="385" w:type="pct"/>
            <w:vAlign w:val="center"/>
          </w:tcPr>
          <w:p w14:paraId="6F4833BF">
            <w:pPr>
              <w:jc w:val="center"/>
              <w:rPr>
                <w:color w:val="000000"/>
                <w:sz w:val="22"/>
                <w:szCs w:val="22"/>
              </w:rPr>
            </w:pPr>
            <w:r>
              <w:rPr>
                <w:color w:val="000000"/>
                <w:sz w:val="22"/>
                <w:szCs w:val="22"/>
              </w:rPr>
              <w:t>75.5</w:t>
            </w:r>
          </w:p>
        </w:tc>
        <w:tc>
          <w:tcPr>
            <w:tcW w:w="385" w:type="pct"/>
            <w:vAlign w:val="center"/>
          </w:tcPr>
          <w:p w14:paraId="588B5C13">
            <w:pPr>
              <w:jc w:val="center"/>
              <w:rPr>
                <w:color w:val="000000"/>
                <w:sz w:val="22"/>
                <w:szCs w:val="22"/>
              </w:rPr>
            </w:pPr>
            <w:r>
              <w:rPr>
                <w:color w:val="000000"/>
                <w:sz w:val="22"/>
                <w:szCs w:val="22"/>
              </w:rPr>
              <w:t>73.0</w:t>
            </w:r>
          </w:p>
        </w:tc>
        <w:tc>
          <w:tcPr>
            <w:tcW w:w="385" w:type="pct"/>
            <w:vAlign w:val="center"/>
          </w:tcPr>
          <w:p w14:paraId="304FF742">
            <w:pPr>
              <w:jc w:val="center"/>
              <w:rPr>
                <w:color w:val="000000"/>
                <w:sz w:val="22"/>
                <w:szCs w:val="22"/>
              </w:rPr>
            </w:pPr>
            <w:r>
              <w:rPr>
                <w:color w:val="000000"/>
                <w:sz w:val="22"/>
                <w:szCs w:val="22"/>
              </w:rPr>
              <w:t>71.0</w:t>
            </w:r>
          </w:p>
        </w:tc>
        <w:tc>
          <w:tcPr>
            <w:tcW w:w="385" w:type="pct"/>
            <w:vAlign w:val="center"/>
          </w:tcPr>
          <w:p w14:paraId="5887E281">
            <w:pPr>
              <w:jc w:val="center"/>
              <w:rPr>
                <w:color w:val="000000"/>
                <w:sz w:val="22"/>
                <w:szCs w:val="22"/>
              </w:rPr>
            </w:pPr>
            <w:r>
              <w:rPr>
                <w:color w:val="000000"/>
                <w:sz w:val="22"/>
                <w:szCs w:val="22"/>
              </w:rPr>
              <w:t>69.5</w:t>
            </w:r>
          </w:p>
        </w:tc>
        <w:tc>
          <w:tcPr>
            <w:tcW w:w="385" w:type="pct"/>
            <w:vAlign w:val="center"/>
          </w:tcPr>
          <w:p w14:paraId="6FD930E3">
            <w:pPr>
              <w:jc w:val="center"/>
              <w:rPr>
                <w:color w:val="000000"/>
                <w:sz w:val="22"/>
                <w:szCs w:val="22"/>
              </w:rPr>
            </w:pPr>
            <w:r>
              <w:rPr>
                <w:color w:val="000000"/>
                <w:sz w:val="22"/>
                <w:szCs w:val="22"/>
              </w:rPr>
              <w:t>67.0</w:t>
            </w:r>
          </w:p>
        </w:tc>
        <w:tc>
          <w:tcPr>
            <w:tcW w:w="385" w:type="pct"/>
            <w:vAlign w:val="center"/>
          </w:tcPr>
          <w:p w14:paraId="406DE4A7">
            <w:pPr>
              <w:jc w:val="center"/>
              <w:rPr>
                <w:color w:val="000000"/>
                <w:sz w:val="22"/>
                <w:szCs w:val="22"/>
              </w:rPr>
            </w:pPr>
            <w:r>
              <w:rPr>
                <w:color w:val="000000"/>
                <w:sz w:val="22"/>
                <w:szCs w:val="22"/>
              </w:rPr>
              <w:t>65.0</w:t>
            </w:r>
          </w:p>
        </w:tc>
        <w:tc>
          <w:tcPr>
            <w:tcW w:w="385" w:type="pct"/>
            <w:vAlign w:val="center"/>
          </w:tcPr>
          <w:p w14:paraId="60DA8C28">
            <w:pPr>
              <w:jc w:val="center"/>
              <w:rPr>
                <w:color w:val="000000"/>
                <w:sz w:val="22"/>
                <w:szCs w:val="22"/>
              </w:rPr>
            </w:pPr>
            <w:r>
              <w:rPr>
                <w:color w:val="000000"/>
                <w:sz w:val="22"/>
                <w:szCs w:val="22"/>
              </w:rPr>
              <w:t>59.9</w:t>
            </w:r>
          </w:p>
        </w:tc>
        <w:tc>
          <w:tcPr>
            <w:tcW w:w="385" w:type="pct"/>
            <w:vAlign w:val="center"/>
          </w:tcPr>
          <w:p w14:paraId="0476A32F">
            <w:pPr>
              <w:jc w:val="center"/>
              <w:rPr>
                <w:color w:val="000000"/>
                <w:sz w:val="22"/>
                <w:szCs w:val="22"/>
              </w:rPr>
            </w:pPr>
            <w:r>
              <w:rPr>
                <w:color w:val="000000"/>
                <w:sz w:val="22"/>
                <w:szCs w:val="22"/>
              </w:rPr>
              <w:t>53.0</w:t>
            </w:r>
          </w:p>
        </w:tc>
        <w:tc>
          <w:tcPr>
            <w:tcW w:w="385" w:type="pct"/>
            <w:vAlign w:val="center"/>
          </w:tcPr>
          <w:p w14:paraId="34222CFC">
            <w:pPr>
              <w:jc w:val="center"/>
              <w:rPr>
                <w:color w:val="000000"/>
                <w:sz w:val="22"/>
                <w:szCs w:val="22"/>
              </w:rPr>
            </w:pPr>
            <w:r>
              <w:rPr>
                <w:color w:val="000000"/>
                <w:sz w:val="22"/>
                <w:szCs w:val="22"/>
              </w:rPr>
              <w:t>49.5</w:t>
            </w:r>
          </w:p>
        </w:tc>
      </w:tr>
    </w:tbl>
    <w:p w14:paraId="479C2541">
      <w:pPr>
        <w:ind w:firstLine="480"/>
        <w:rPr>
          <w:color w:val="000000"/>
        </w:rPr>
      </w:pPr>
      <w:r>
        <w:rPr>
          <w:snapToGrid w:val="0"/>
          <w:color w:val="000000"/>
          <w:kern w:val="0"/>
        </w:rPr>
        <w:t>由表5.1.3-1可以看出，施工机械噪声较高，不采取任何措施的情况下，按声环境质量2类标准衡量，昼间超标距离出现在距声源90m范围内，夜间距离出现在距声源290m范围内。由于</w:t>
      </w:r>
      <w:r>
        <w:rPr>
          <w:color w:val="000000"/>
        </w:rPr>
        <w:t>本项目施工场地位于工业园区范围内，施工工地周边300米范围内不涉及声环境敏感目标，项目施工期较短，施工噪声对区域声环境影响较小。</w:t>
      </w:r>
    </w:p>
    <w:p w14:paraId="4398C226">
      <w:pPr>
        <w:ind w:firstLine="480"/>
        <w:rPr>
          <w:color w:val="000000"/>
        </w:rPr>
      </w:pPr>
      <w:r>
        <w:rPr>
          <w:color w:val="000000"/>
        </w:rPr>
        <w:t>（3）防治措施及环境影响</w:t>
      </w:r>
    </w:p>
    <w:p w14:paraId="5B92467E">
      <w:pPr>
        <w:ind w:firstLine="480"/>
        <w:rPr>
          <w:color w:val="000000"/>
        </w:rPr>
      </w:pPr>
      <w:r>
        <w:rPr>
          <w:color w:val="000000"/>
        </w:rPr>
        <w:t>为进一步减缓本项目施工噪声影响，应合理布局施工场地，在满足施工需要的前提下，选择低噪声先进设备，控制使用强噪声设备，并加强施工机械的维护保养，避免由于设备性能差使机械噪声增大的现象发生。</w:t>
      </w:r>
    </w:p>
    <w:p w14:paraId="4D3FA469">
      <w:pPr>
        <w:ind w:firstLine="480"/>
        <w:rPr>
          <w:color w:val="000000"/>
        </w:rPr>
      </w:pPr>
      <w:r>
        <w:rPr>
          <w:color w:val="000000"/>
        </w:rPr>
        <w:t>将噪声级大的施工作业尽量安排在白天进行，并严格执行建筑工程夜间施工临时许可制度。施工噪声对区域声环境质量的不利影响将随施工的结束而消失。</w:t>
      </w:r>
    </w:p>
    <w:p w14:paraId="43E8358E">
      <w:pPr>
        <w:pStyle w:val="771"/>
        <w:rPr>
          <w:color w:val="000000"/>
        </w:rPr>
      </w:pPr>
      <w:r>
        <w:rPr>
          <w:color w:val="000000"/>
        </w:rPr>
        <w:t>5.1.4 施工期固体废物影响分析</w:t>
      </w:r>
    </w:p>
    <w:p w14:paraId="6BF75A04">
      <w:pPr>
        <w:ind w:firstLine="480"/>
        <w:rPr>
          <w:color w:val="000000"/>
        </w:rPr>
      </w:pPr>
      <w:r>
        <w:rPr>
          <w:color w:val="000000"/>
        </w:rPr>
        <w:t>本项目施工期间产生的固体废物主要有建筑垃圾、生活垃圾。建筑垃圾一般是废弃安装材料，这部分废弃物在施工过程中应充分回收利用，不能利用的外卖废品收购站。施工人员的生活垃圾分类收集后由环卫部门统一处置。</w:t>
      </w:r>
    </w:p>
    <w:p w14:paraId="02F69F2A">
      <w:pPr>
        <w:ind w:firstLine="480"/>
        <w:rPr>
          <w:color w:val="000000"/>
        </w:rPr>
      </w:pPr>
      <w:r>
        <w:rPr>
          <w:color w:val="000000"/>
        </w:rPr>
        <w:t>采取以上措施后，施工期固体废物对环境的影响较小。</w:t>
      </w:r>
    </w:p>
    <w:p w14:paraId="3379C999">
      <w:pPr>
        <w:pStyle w:val="771"/>
        <w:rPr>
          <w:color w:val="000000"/>
        </w:rPr>
      </w:pPr>
      <w:r>
        <w:rPr>
          <w:color w:val="000000"/>
        </w:rPr>
        <w:t>5.1.5 施工期生态影响分析</w:t>
      </w:r>
    </w:p>
    <w:p w14:paraId="0D8DD8CF">
      <w:pPr>
        <w:ind w:firstLine="480"/>
        <w:rPr>
          <w:color w:val="000000"/>
        </w:rPr>
      </w:pPr>
      <w:r>
        <w:rPr>
          <w:color w:val="000000"/>
        </w:rPr>
        <w:t>本项目选址位于重庆白涛化工园区涪陵LNG工厂内，利用涪陵LNG工厂内现有空地布置生产设施设备，</w:t>
      </w:r>
      <w:r>
        <w:rPr>
          <w:bCs/>
          <w:color w:val="000000"/>
        </w:rPr>
        <w:t>现有空地已硬化，不存在对植被的破坏，另外区域</w:t>
      </w:r>
      <w:r>
        <w:rPr>
          <w:color w:val="000000"/>
        </w:rPr>
        <w:t>生态结构简单，评价范围内无珍稀野生动植物分布，项目施工内容较少，施工对区域生态环境影响较小。</w:t>
      </w:r>
    </w:p>
    <w:p w14:paraId="7E8C23F2">
      <w:pPr>
        <w:pStyle w:val="770"/>
        <w:rPr>
          <w:color w:val="000000"/>
        </w:rPr>
      </w:pPr>
      <w:bookmarkStart w:id="488" w:name="_Toc8913"/>
      <w:r>
        <w:rPr>
          <w:color w:val="000000"/>
        </w:rPr>
        <w:t>5.2运营期环境影响分析</w:t>
      </w:r>
      <w:bookmarkEnd w:id="488"/>
    </w:p>
    <w:p w14:paraId="76B06217">
      <w:pPr>
        <w:pStyle w:val="771"/>
        <w:rPr>
          <w:color w:val="000000"/>
        </w:rPr>
      </w:pPr>
      <w:r>
        <w:rPr>
          <w:color w:val="000000"/>
        </w:rPr>
        <w:t>5.2.1 大气环境影响预测</w:t>
      </w:r>
      <w:bookmarkEnd w:id="482"/>
      <w:r>
        <w:rPr>
          <w:color w:val="000000"/>
        </w:rPr>
        <w:t>与评价</w:t>
      </w:r>
    </w:p>
    <w:p w14:paraId="74A7BB00">
      <w:pPr>
        <w:pStyle w:val="31"/>
        <w:spacing w:after="0"/>
        <w:ind w:firstLine="480" w:firstLineChars="200"/>
        <w:rPr>
          <w:color w:val="000000"/>
          <w:szCs w:val="24"/>
        </w:rPr>
      </w:pPr>
      <w:r>
        <w:rPr>
          <w:color w:val="000000"/>
          <w:szCs w:val="24"/>
        </w:rPr>
        <w:t>本项目废气主要包括压缩脱碳干燥再生尾气G1、深冷分离尾气G2、吸附脱氢再生尾气G3、脱碳干燥再生尾气G4。</w:t>
      </w:r>
    </w:p>
    <w:p w14:paraId="057A214B">
      <w:pPr>
        <w:pStyle w:val="2"/>
        <w:spacing w:after="0" w:line="360" w:lineRule="auto"/>
        <w:ind w:left="0" w:leftChars="0" w:firstLine="480"/>
        <w:rPr>
          <w:rFonts w:ascii="Times New Roman" w:hAnsi="Times New Roman" w:cs="Times New Roman"/>
          <w:color w:val="000000"/>
          <w:sz w:val="24"/>
        </w:rPr>
      </w:pPr>
      <w:r>
        <w:rPr>
          <w:rFonts w:ascii="Times New Roman" w:hAnsi="Times New Roman" w:cs="Times New Roman"/>
          <w:color w:val="000000"/>
          <w:sz w:val="24"/>
        </w:rPr>
        <w:t>压缩脱碳干燥再生尾气G1，主要成分为甲烷、氮气，及少量吹脱的水、二氧化碳；深冷分离尾气G2，主要成分为甲烷、氮气，部分用作压缩脱碳再生气，另外部分与G1尾气依托现有火炬燃烧后排放；吸附脱氢再生尾气G3，主要成分为氮气及少量氧气，约32.24吨/年，基本无污染，直接放空；脱碳干燥尾气G4，主要成分为氮气及吹脱的水、二氧化碳，约66.64吨/年，基本无污染，直接放空。</w:t>
      </w:r>
    </w:p>
    <w:p w14:paraId="1D45F50F">
      <w:pPr>
        <w:pStyle w:val="31"/>
        <w:spacing w:after="0"/>
        <w:ind w:firstLine="480" w:firstLineChars="200"/>
        <w:rPr>
          <w:color w:val="000000"/>
          <w:szCs w:val="24"/>
        </w:rPr>
      </w:pPr>
      <w:r>
        <w:rPr>
          <w:color w:val="000000"/>
          <w:szCs w:val="24"/>
        </w:rPr>
        <w:t>G1、G2尾气为BOG尾气提氦后的剩余组分，去火炬燃烧的方式与现有工程BOG尾气处置方式一致，故火炬烟气的排放情况几乎不变，满足《重庆市大气污染物综合排放标准》（DB50/418-2016）要求。</w:t>
      </w:r>
    </w:p>
    <w:p w14:paraId="10CB7790">
      <w:pPr>
        <w:widowControl w:val="0"/>
        <w:ind w:firstLine="480" w:firstLineChars="200"/>
        <w:rPr>
          <w:color w:val="000000"/>
          <w:szCs w:val="24"/>
        </w:rPr>
      </w:pPr>
      <w:r>
        <w:rPr>
          <w:color w:val="000000"/>
          <w:szCs w:val="24"/>
        </w:rPr>
        <w:t>根据《环境影响评价技术导则 大气环境》（HJ2.2-2018）中大气环境影响的评价工作级别的划分依据，选择推荐模式中的估算模式对拟建项目的大气评价工作进行分级。</w:t>
      </w:r>
    </w:p>
    <w:p w14:paraId="478593B0">
      <w:pPr>
        <w:widowControl w:val="0"/>
        <w:numPr>
          <w:ilvl w:val="0"/>
          <w:numId w:val="2"/>
        </w:numPr>
        <w:ind w:firstLine="480"/>
        <w:jc w:val="both"/>
        <w:rPr>
          <w:color w:val="000000"/>
          <w:szCs w:val="24"/>
        </w:rPr>
      </w:pPr>
      <w:r>
        <w:rPr>
          <w:color w:val="000000"/>
          <w:szCs w:val="24"/>
        </w:rPr>
        <w:t>污染源及污染物排放参数情况</w:t>
      </w:r>
    </w:p>
    <w:p w14:paraId="61513AD4">
      <w:pPr>
        <w:widowControl w:val="0"/>
        <w:ind w:firstLine="480" w:firstLineChars="200"/>
        <w:jc w:val="both"/>
        <w:rPr>
          <w:bCs/>
          <w:color w:val="000000"/>
          <w:szCs w:val="24"/>
        </w:rPr>
      </w:pPr>
      <w:r>
        <w:rPr>
          <w:color w:val="000000"/>
          <w:szCs w:val="24"/>
        </w:rPr>
        <w:t>污染源及污染物排放参数情况见表4.2.1-1、表4.2.1-2。</w:t>
      </w:r>
    </w:p>
    <w:p w14:paraId="0292C759">
      <w:pPr>
        <w:jc w:val="center"/>
        <w:rPr>
          <w:color w:val="000000"/>
          <w:szCs w:val="24"/>
        </w:rPr>
      </w:pPr>
      <w:r>
        <w:rPr>
          <w:color w:val="000000"/>
          <w:szCs w:val="24"/>
        </w:rPr>
        <w:t>表4.2.1-1  点源相关参数</w:t>
      </w:r>
    </w:p>
    <w:tbl>
      <w:tblPr>
        <w:tblStyle w:val="73"/>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92"/>
        <w:gridCol w:w="939"/>
        <w:gridCol w:w="635"/>
        <w:gridCol w:w="625"/>
        <w:gridCol w:w="627"/>
        <w:gridCol w:w="627"/>
        <w:gridCol w:w="626"/>
        <w:gridCol w:w="698"/>
        <w:gridCol w:w="455"/>
        <w:gridCol w:w="1296"/>
        <w:gridCol w:w="1389"/>
      </w:tblGrid>
      <w:tr w14:paraId="4ABC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 w:hRule="atLeast"/>
          <w:jc w:val="center"/>
        </w:trPr>
        <w:tc>
          <w:tcPr>
            <w:tcW w:w="392" w:type="dxa"/>
            <w:vMerge w:val="restart"/>
            <w:vAlign w:val="center"/>
          </w:tcPr>
          <w:p w14:paraId="39809500">
            <w:pPr>
              <w:pStyle w:val="541"/>
              <w:spacing w:line="240" w:lineRule="auto"/>
              <w:rPr>
                <w:rFonts w:eastAsia="宋体"/>
                <w:color w:val="000000"/>
                <w:sz w:val="18"/>
                <w:szCs w:val="18"/>
              </w:rPr>
            </w:pPr>
            <w:r>
              <w:rPr>
                <w:rFonts w:eastAsia="宋体"/>
                <w:color w:val="000000"/>
                <w:sz w:val="18"/>
                <w:szCs w:val="18"/>
              </w:rPr>
              <w:t>点源</w:t>
            </w:r>
          </w:p>
          <w:p w14:paraId="330D240E">
            <w:pPr>
              <w:pStyle w:val="541"/>
              <w:spacing w:line="240" w:lineRule="auto"/>
              <w:rPr>
                <w:rFonts w:eastAsia="宋体"/>
                <w:color w:val="000000"/>
                <w:sz w:val="18"/>
                <w:szCs w:val="18"/>
              </w:rPr>
            </w:pPr>
            <w:r>
              <w:rPr>
                <w:rFonts w:eastAsia="宋体"/>
                <w:color w:val="000000"/>
                <w:sz w:val="18"/>
                <w:szCs w:val="18"/>
              </w:rPr>
              <w:t>编号</w:t>
            </w:r>
          </w:p>
        </w:tc>
        <w:tc>
          <w:tcPr>
            <w:tcW w:w="939" w:type="dxa"/>
            <w:vMerge w:val="restart"/>
            <w:vAlign w:val="center"/>
          </w:tcPr>
          <w:p w14:paraId="482F1BD6">
            <w:pPr>
              <w:pStyle w:val="541"/>
              <w:spacing w:line="240" w:lineRule="auto"/>
              <w:rPr>
                <w:rFonts w:eastAsia="宋体"/>
                <w:color w:val="000000"/>
                <w:sz w:val="18"/>
                <w:szCs w:val="18"/>
              </w:rPr>
            </w:pPr>
            <w:r>
              <w:rPr>
                <w:rFonts w:eastAsia="宋体"/>
                <w:color w:val="000000"/>
                <w:sz w:val="18"/>
                <w:szCs w:val="18"/>
              </w:rPr>
              <w:t>点源</w:t>
            </w:r>
          </w:p>
          <w:p w14:paraId="34DB5346">
            <w:pPr>
              <w:pStyle w:val="541"/>
              <w:spacing w:line="240" w:lineRule="auto"/>
              <w:rPr>
                <w:rFonts w:eastAsia="宋体"/>
                <w:color w:val="000000"/>
                <w:sz w:val="18"/>
                <w:szCs w:val="18"/>
              </w:rPr>
            </w:pPr>
            <w:r>
              <w:rPr>
                <w:rFonts w:eastAsia="宋体"/>
                <w:color w:val="000000"/>
                <w:sz w:val="18"/>
                <w:szCs w:val="18"/>
              </w:rPr>
              <w:t>名称</w:t>
            </w:r>
          </w:p>
        </w:tc>
        <w:tc>
          <w:tcPr>
            <w:tcW w:w="635" w:type="dxa"/>
            <w:vAlign w:val="center"/>
          </w:tcPr>
          <w:p w14:paraId="5206F529">
            <w:pPr>
              <w:pStyle w:val="541"/>
              <w:spacing w:line="240" w:lineRule="auto"/>
              <w:rPr>
                <w:rFonts w:eastAsia="宋体"/>
                <w:color w:val="000000"/>
                <w:sz w:val="18"/>
                <w:szCs w:val="18"/>
              </w:rPr>
            </w:pPr>
            <w:r>
              <w:rPr>
                <w:rFonts w:eastAsia="宋体"/>
                <w:color w:val="000000"/>
                <w:sz w:val="18"/>
                <w:szCs w:val="18"/>
              </w:rPr>
              <w:t>排气筒高度</w:t>
            </w:r>
          </w:p>
        </w:tc>
        <w:tc>
          <w:tcPr>
            <w:tcW w:w="625" w:type="dxa"/>
            <w:vAlign w:val="center"/>
          </w:tcPr>
          <w:p w14:paraId="7D2F3987">
            <w:pPr>
              <w:pStyle w:val="541"/>
              <w:spacing w:line="240" w:lineRule="auto"/>
              <w:rPr>
                <w:rFonts w:eastAsia="宋体"/>
                <w:color w:val="000000"/>
                <w:sz w:val="18"/>
                <w:szCs w:val="18"/>
              </w:rPr>
            </w:pPr>
            <w:r>
              <w:rPr>
                <w:rFonts w:eastAsia="宋体"/>
                <w:color w:val="000000"/>
                <w:sz w:val="18"/>
                <w:szCs w:val="18"/>
              </w:rPr>
              <w:t>排气筒内径</w:t>
            </w:r>
          </w:p>
        </w:tc>
        <w:tc>
          <w:tcPr>
            <w:tcW w:w="627" w:type="dxa"/>
            <w:vAlign w:val="center"/>
          </w:tcPr>
          <w:p w14:paraId="45551687">
            <w:pPr>
              <w:pStyle w:val="541"/>
              <w:spacing w:line="240" w:lineRule="auto"/>
              <w:rPr>
                <w:rFonts w:eastAsia="宋体"/>
                <w:color w:val="000000"/>
                <w:sz w:val="18"/>
                <w:szCs w:val="18"/>
              </w:rPr>
            </w:pPr>
            <w:r>
              <w:rPr>
                <w:rFonts w:eastAsia="宋体"/>
                <w:color w:val="000000"/>
                <w:sz w:val="18"/>
                <w:szCs w:val="18"/>
              </w:rPr>
              <w:t>烟气出口流量</w:t>
            </w:r>
          </w:p>
        </w:tc>
        <w:tc>
          <w:tcPr>
            <w:tcW w:w="627" w:type="dxa"/>
            <w:vAlign w:val="center"/>
          </w:tcPr>
          <w:p w14:paraId="21847926">
            <w:pPr>
              <w:pStyle w:val="541"/>
              <w:spacing w:line="240" w:lineRule="auto"/>
              <w:rPr>
                <w:rFonts w:eastAsia="宋体"/>
                <w:color w:val="000000"/>
                <w:sz w:val="18"/>
                <w:szCs w:val="18"/>
              </w:rPr>
            </w:pPr>
            <w:r>
              <w:rPr>
                <w:rFonts w:eastAsia="宋体"/>
                <w:color w:val="000000"/>
                <w:sz w:val="18"/>
                <w:szCs w:val="18"/>
              </w:rPr>
              <w:t>烟气流速/</w:t>
            </w:r>
          </w:p>
        </w:tc>
        <w:tc>
          <w:tcPr>
            <w:tcW w:w="626" w:type="dxa"/>
            <w:vAlign w:val="center"/>
          </w:tcPr>
          <w:p w14:paraId="2457D6F7">
            <w:pPr>
              <w:pStyle w:val="541"/>
              <w:spacing w:line="240" w:lineRule="auto"/>
              <w:rPr>
                <w:rFonts w:eastAsia="宋体"/>
                <w:color w:val="000000"/>
                <w:sz w:val="18"/>
                <w:szCs w:val="18"/>
              </w:rPr>
            </w:pPr>
            <w:r>
              <w:rPr>
                <w:rFonts w:eastAsia="宋体"/>
                <w:color w:val="000000"/>
                <w:sz w:val="18"/>
                <w:szCs w:val="18"/>
              </w:rPr>
              <w:t>烟气出口温度</w:t>
            </w:r>
          </w:p>
        </w:tc>
        <w:tc>
          <w:tcPr>
            <w:tcW w:w="698" w:type="dxa"/>
            <w:vAlign w:val="center"/>
          </w:tcPr>
          <w:p w14:paraId="670F4D79">
            <w:pPr>
              <w:pStyle w:val="541"/>
              <w:spacing w:line="240" w:lineRule="auto"/>
              <w:rPr>
                <w:rFonts w:eastAsia="宋体"/>
                <w:color w:val="000000"/>
                <w:sz w:val="18"/>
                <w:szCs w:val="18"/>
              </w:rPr>
            </w:pPr>
            <w:r>
              <w:rPr>
                <w:rFonts w:eastAsia="宋体"/>
                <w:color w:val="000000"/>
                <w:sz w:val="18"/>
                <w:szCs w:val="18"/>
              </w:rPr>
              <w:t>年排放小时数</w:t>
            </w:r>
          </w:p>
        </w:tc>
        <w:tc>
          <w:tcPr>
            <w:tcW w:w="455" w:type="dxa"/>
            <w:vMerge w:val="restart"/>
            <w:vAlign w:val="center"/>
          </w:tcPr>
          <w:p w14:paraId="729B0FC2">
            <w:pPr>
              <w:pStyle w:val="541"/>
              <w:spacing w:line="240" w:lineRule="auto"/>
              <w:rPr>
                <w:rFonts w:eastAsia="宋体"/>
                <w:color w:val="000000"/>
                <w:sz w:val="18"/>
                <w:szCs w:val="18"/>
              </w:rPr>
            </w:pPr>
            <w:r>
              <w:rPr>
                <w:rFonts w:eastAsia="宋体"/>
                <w:color w:val="000000"/>
                <w:sz w:val="18"/>
                <w:szCs w:val="18"/>
              </w:rPr>
              <w:t>排放</w:t>
            </w:r>
          </w:p>
          <w:p w14:paraId="77D7DF31">
            <w:pPr>
              <w:pStyle w:val="541"/>
              <w:spacing w:line="240" w:lineRule="auto"/>
              <w:rPr>
                <w:rFonts w:eastAsia="宋体"/>
                <w:color w:val="000000"/>
                <w:sz w:val="18"/>
                <w:szCs w:val="18"/>
              </w:rPr>
            </w:pPr>
            <w:r>
              <w:rPr>
                <w:rFonts w:eastAsia="宋体"/>
                <w:color w:val="000000"/>
                <w:sz w:val="18"/>
                <w:szCs w:val="18"/>
              </w:rPr>
              <w:t>工况</w:t>
            </w:r>
          </w:p>
        </w:tc>
        <w:tc>
          <w:tcPr>
            <w:tcW w:w="2685" w:type="dxa"/>
            <w:gridSpan w:val="2"/>
            <w:vAlign w:val="center"/>
          </w:tcPr>
          <w:p w14:paraId="5A535A6C">
            <w:pPr>
              <w:pStyle w:val="541"/>
              <w:spacing w:line="240" w:lineRule="auto"/>
              <w:rPr>
                <w:rFonts w:eastAsia="宋体"/>
                <w:color w:val="000000"/>
                <w:sz w:val="18"/>
                <w:szCs w:val="18"/>
              </w:rPr>
            </w:pPr>
            <w:r>
              <w:rPr>
                <w:rFonts w:eastAsia="宋体"/>
                <w:color w:val="000000"/>
                <w:sz w:val="18"/>
                <w:szCs w:val="18"/>
              </w:rPr>
              <w:t>评价因子源强</w:t>
            </w:r>
          </w:p>
        </w:tc>
      </w:tr>
      <w:tr w14:paraId="3203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392" w:type="dxa"/>
            <w:vMerge w:val="continue"/>
            <w:vAlign w:val="center"/>
          </w:tcPr>
          <w:p w14:paraId="44D35CD1">
            <w:pPr>
              <w:pStyle w:val="541"/>
              <w:spacing w:line="240" w:lineRule="auto"/>
              <w:rPr>
                <w:rFonts w:eastAsia="宋体"/>
                <w:color w:val="000000"/>
                <w:sz w:val="18"/>
                <w:szCs w:val="18"/>
              </w:rPr>
            </w:pPr>
          </w:p>
        </w:tc>
        <w:tc>
          <w:tcPr>
            <w:tcW w:w="939" w:type="dxa"/>
            <w:vMerge w:val="continue"/>
            <w:vAlign w:val="center"/>
          </w:tcPr>
          <w:p w14:paraId="09DF7715">
            <w:pPr>
              <w:pStyle w:val="541"/>
              <w:spacing w:line="240" w:lineRule="auto"/>
              <w:rPr>
                <w:rFonts w:eastAsia="宋体"/>
                <w:color w:val="000000"/>
                <w:sz w:val="18"/>
                <w:szCs w:val="18"/>
              </w:rPr>
            </w:pPr>
          </w:p>
        </w:tc>
        <w:tc>
          <w:tcPr>
            <w:tcW w:w="635" w:type="dxa"/>
            <w:vAlign w:val="center"/>
          </w:tcPr>
          <w:p w14:paraId="3ABECAEA">
            <w:pPr>
              <w:pStyle w:val="541"/>
              <w:spacing w:line="240" w:lineRule="auto"/>
              <w:rPr>
                <w:rFonts w:eastAsia="宋体"/>
                <w:color w:val="000000"/>
                <w:sz w:val="18"/>
                <w:szCs w:val="18"/>
              </w:rPr>
            </w:pPr>
            <w:r>
              <w:rPr>
                <w:rFonts w:eastAsia="宋体"/>
                <w:color w:val="000000"/>
                <w:sz w:val="18"/>
                <w:szCs w:val="18"/>
              </w:rPr>
              <w:t>m</w:t>
            </w:r>
          </w:p>
        </w:tc>
        <w:tc>
          <w:tcPr>
            <w:tcW w:w="625" w:type="dxa"/>
            <w:vAlign w:val="center"/>
          </w:tcPr>
          <w:p w14:paraId="6CEB1E45">
            <w:pPr>
              <w:pStyle w:val="541"/>
              <w:spacing w:line="240" w:lineRule="auto"/>
              <w:rPr>
                <w:rFonts w:eastAsia="宋体"/>
                <w:color w:val="000000"/>
                <w:sz w:val="18"/>
                <w:szCs w:val="18"/>
              </w:rPr>
            </w:pPr>
            <w:r>
              <w:rPr>
                <w:rFonts w:eastAsia="宋体"/>
                <w:color w:val="000000"/>
                <w:sz w:val="18"/>
                <w:szCs w:val="18"/>
              </w:rPr>
              <w:t>m</w:t>
            </w:r>
          </w:p>
        </w:tc>
        <w:tc>
          <w:tcPr>
            <w:tcW w:w="627" w:type="dxa"/>
            <w:vAlign w:val="center"/>
          </w:tcPr>
          <w:p w14:paraId="7A6CDE34">
            <w:pPr>
              <w:pStyle w:val="541"/>
              <w:spacing w:line="240" w:lineRule="auto"/>
              <w:rPr>
                <w:rFonts w:eastAsia="宋体"/>
                <w:color w:val="000000"/>
                <w:sz w:val="18"/>
                <w:szCs w:val="18"/>
              </w:rPr>
            </w:pPr>
            <w:r>
              <w:rPr>
                <w:rFonts w:eastAsia="宋体"/>
                <w:color w:val="000000"/>
                <w:sz w:val="18"/>
                <w:szCs w:val="18"/>
              </w:rPr>
              <w:t>Nm</w:t>
            </w:r>
            <w:r>
              <w:rPr>
                <w:rFonts w:eastAsia="宋体"/>
                <w:color w:val="000000"/>
                <w:sz w:val="18"/>
                <w:szCs w:val="18"/>
                <w:vertAlign w:val="superscript"/>
              </w:rPr>
              <w:t>3</w:t>
            </w:r>
            <w:r>
              <w:rPr>
                <w:rFonts w:eastAsia="宋体"/>
                <w:color w:val="000000"/>
                <w:sz w:val="18"/>
                <w:szCs w:val="18"/>
              </w:rPr>
              <w:t>/h</w:t>
            </w:r>
          </w:p>
        </w:tc>
        <w:tc>
          <w:tcPr>
            <w:tcW w:w="627" w:type="dxa"/>
            <w:vAlign w:val="center"/>
          </w:tcPr>
          <w:p w14:paraId="29EE5837">
            <w:pPr>
              <w:pStyle w:val="541"/>
              <w:spacing w:line="240" w:lineRule="auto"/>
              <w:rPr>
                <w:rFonts w:eastAsia="宋体"/>
                <w:color w:val="000000"/>
                <w:sz w:val="18"/>
                <w:szCs w:val="18"/>
              </w:rPr>
            </w:pPr>
            <w:r>
              <w:rPr>
                <w:rFonts w:eastAsia="宋体"/>
                <w:color w:val="000000"/>
                <w:sz w:val="18"/>
                <w:szCs w:val="18"/>
              </w:rPr>
              <w:t>m/s</w:t>
            </w:r>
          </w:p>
        </w:tc>
        <w:tc>
          <w:tcPr>
            <w:tcW w:w="626" w:type="dxa"/>
            <w:vAlign w:val="center"/>
          </w:tcPr>
          <w:p w14:paraId="2488413A">
            <w:pPr>
              <w:pStyle w:val="541"/>
              <w:spacing w:line="240" w:lineRule="auto"/>
              <w:rPr>
                <w:rFonts w:eastAsia="宋体"/>
                <w:color w:val="000000"/>
                <w:sz w:val="18"/>
                <w:szCs w:val="18"/>
              </w:rPr>
            </w:pPr>
            <w:r>
              <w:rPr>
                <w:rFonts w:eastAsia="宋体"/>
                <w:color w:val="000000"/>
                <w:sz w:val="18"/>
                <w:szCs w:val="18"/>
              </w:rPr>
              <w:t>K</w:t>
            </w:r>
          </w:p>
        </w:tc>
        <w:tc>
          <w:tcPr>
            <w:tcW w:w="698" w:type="dxa"/>
            <w:vAlign w:val="center"/>
          </w:tcPr>
          <w:p w14:paraId="3AA953C8">
            <w:pPr>
              <w:pStyle w:val="541"/>
              <w:spacing w:line="240" w:lineRule="auto"/>
              <w:rPr>
                <w:rFonts w:eastAsia="宋体"/>
                <w:color w:val="000000"/>
                <w:sz w:val="18"/>
                <w:szCs w:val="18"/>
              </w:rPr>
            </w:pPr>
            <w:r>
              <w:rPr>
                <w:rFonts w:eastAsia="宋体"/>
                <w:color w:val="000000"/>
                <w:sz w:val="18"/>
                <w:szCs w:val="18"/>
              </w:rPr>
              <w:t>h</w:t>
            </w:r>
          </w:p>
        </w:tc>
        <w:tc>
          <w:tcPr>
            <w:tcW w:w="455" w:type="dxa"/>
            <w:vMerge w:val="continue"/>
            <w:vAlign w:val="center"/>
          </w:tcPr>
          <w:p w14:paraId="0541BAD1">
            <w:pPr>
              <w:pStyle w:val="541"/>
              <w:spacing w:line="240" w:lineRule="auto"/>
              <w:rPr>
                <w:rFonts w:eastAsia="宋体"/>
                <w:color w:val="000000"/>
                <w:sz w:val="18"/>
                <w:szCs w:val="18"/>
              </w:rPr>
            </w:pPr>
          </w:p>
        </w:tc>
        <w:tc>
          <w:tcPr>
            <w:tcW w:w="1296" w:type="dxa"/>
            <w:vAlign w:val="center"/>
          </w:tcPr>
          <w:p w14:paraId="6CE6F218">
            <w:pPr>
              <w:pStyle w:val="541"/>
              <w:spacing w:line="240" w:lineRule="auto"/>
              <w:rPr>
                <w:rFonts w:eastAsia="宋体"/>
                <w:color w:val="000000"/>
                <w:sz w:val="18"/>
                <w:szCs w:val="18"/>
              </w:rPr>
            </w:pPr>
            <w:r>
              <w:rPr>
                <w:rFonts w:eastAsia="宋体"/>
                <w:color w:val="000000"/>
                <w:sz w:val="18"/>
                <w:szCs w:val="18"/>
              </w:rPr>
              <w:t>污染物</w:t>
            </w:r>
          </w:p>
        </w:tc>
        <w:tc>
          <w:tcPr>
            <w:tcW w:w="1389" w:type="dxa"/>
            <w:vAlign w:val="center"/>
          </w:tcPr>
          <w:p w14:paraId="54FBE964">
            <w:pPr>
              <w:pStyle w:val="541"/>
              <w:spacing w:line="240" w:lineRule="auto"/>
              <w:rPr>
                <w:rFonts w:eastAsia="宋体"/>
                <w:color w:val="000000"/>
                <w:sz w:val="18"/>
                <w:szCs w:val="18"/>
              </w:rPr>
            </w:pPr>
            <w:r>
              <w:rPr>
                <w:rFonts w:eastAsia="宋体"/>
                <w:color w:val="000000"/>
                <w:sz w:val="18"/>
                <w:szCs w:val="18"/>
              </w:rPr>
              <w:t>kg/h</w:t>
            </w:r>
          </w:p>
        </w:tc>
      </w:tr>
      <w:tr w14:paraId="6B06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392" w:type="dxa"/>
            <w:vMerge w:val="restart"/>
            <w:vAlign w:val="center"/>
          </w:tcPr>
          <w:p w14:paraId="459D079B">
            <w:pPr>
              <w:pStyle w:val="541"/>
              <w:spacing w:line="240" w:lineRule="auto"/>
              <w:rPr>
                <w:rFonts w:eastAsia="宋体"/>
                <w:color w:val="000000"/>
                <w:sz w:val="18"/>
                <w:szCs w:val="18"/>
              </w:rPr>
            </w:pPr>
            <w:r>
              <w:rPr>
                <w:rFonts w:eastAsia="宋体"/>
                <w:color w:val="000000"/>
                <w:sz w:val="18"/>
                <w:szCs w:val="18"/>
              </w:rPr>
              <w:t>1</w:t>
            </w:r>
          </w:p>
        </w:tc>
        <w:tc>
          <w:tcPr>
            <w:tcW w:w="939" w:type="dxa"/>
            <w:vMerge w:val="restart"/>
            <w:vAlign w:val="center"/>
          </w:tcPr>
          <w:p w14:paraId="1BDFE80E">
            <w:pPr>
              <w:pStyle w:val="541"/>
              <w:spacing w:line="240" w:lineRule="auto"/>
              <w:rPr>
                <w:rFonts w:eastAsia="宋体"/>
                <w:color w:val="000000"/>
                <w:sz w:val="18"/>
                <w:szCs w:val="18"/>
              </w:rPr>
            </w:pPr>
            <w:r>
              <w:rPr>
                <w:rFonts w:eastAsia="宋体"/>
                <w:color w:val="000000"/>
                <w:sz w:val="18"/>
                <w:szCs w:val="18"/>
              </w:rPr>
              <w:t>火炬</w:t>
            </w:r>
          </w:p>
        </w:tc>
        <w:tc>
          <w:tcPr>
            <w:tcW w:w="635" w:type="dxa"/>
            <w:vMerge w:val="restart"/>
            <w:vAlign w:val="center"/>
          </w:tcPr>
          <w:p w14:paraId="101842F7">
            <w:pPr>
              <w:pStyle w:val="541"/>
              <w:spacing w:line="240" w:lineRule="auto"/>
              <w:rPr>
                <w:rFonts w:eastAsia="宋体"/>
                <w:color w:val="000000"/>
                <w:sz w:val="18"/>
                <w:szCs w:val="18"/>
              </w:rPr>
            </w:pPr>
            <w:r>
              <w:rPr>
                <w:rFonts w:eastAsia="宋体"/>
                <w:color w:val="000000"/>
                <w:sz w:val="18"/>
                <w:szCs w:val="18"/>
              </w:rPr>
              <w:t>80</w:t>
            </w:r>
          </w:p>
        </w:tc>
        <w:tc>
          <w:tcPr>
            <w:tcW w:w="625" w:type="dxa"/>
            <w:vMerge w:val="restart"/>
            <w:vAlign w:val="center"/>
          </w:tcPr>
          <w:p w14:paraId="6625BDEF">
            <w:pPr>
              <w:pStyle w:val="541"/>
              <w:spacing w:line="240" w:lineRule="auto"/>
              <w:rPr>
                <w:rFonts w:eastAsia="宋体"/>
                <w:color w:val="000000"/>
                <w:sz w:val="18"/>
                <w:szCs w:val="18"/>
              </w:rPr>
            </w:pPr>
            <w:r>
              <w:rPr>
                <w:rFonts w:eastAsia="宋体"/>
                <w:color w:val="000000"/>
                <w:sz w:val="18"/>
                <w:szCs w:val="18"/>
              </w:rPr>
              <w:t>1</w:t>
            </w:r>
          </w:p>
        </w:tc>
        <w:tc>
          <w:tcPr>
            <w:tcW w:w="627" w:type="dxa"/>
            <w:vMerge w:val="restart"/>
            <w:vAlign w:val="center"/>
          </w:tcPr>
          <w:p w14:paraId="233AD593">
            <w:pPr>
              <w:pStyle w:val="541"/>
              <w:spacing w:line="240" w:lineRule="auto"/>
              <w:rPr>
                <w:rFonts w:eastAsia="宋体"/>
                <w:color w:val="000000"/>
                <w:sz w:val="18"/>
                <w:szCs w:val="18"/>
              </w:rPr>
            </w:pPr>
            <w:r>
              <w:rPr>
                <w:rFonts w:eastAsia="宋体"/>
                <w:color w:val="000000"/>
                <w:sz w:val="18"/>
                <w:szCs w:val="18"/>
              </w:rPr>
              <w:t>9000</w:t>
            </w:r>
          </w:p>
        </w:tc>
        <w:tc>
          <w:tcPr>
            <w:tcW w:w="627" w:type="dxa"/>
            <w:vMerge w:val="restart"/>
            <w:vAlign w:val="center"/>
          </w:tcPr>
          <w:p w14:paraId="7DBBBAC9">
            <w:pPr>
              <w:pStyle w:val="541"/>
              <w:spacing w:line="240" w:lineRule="auto"/>
              <w:rPr>
                <w:rFonts w:eastAsia="宋体"/>
                <w:color w:val="000000"/>
                <w:sz w:val="18"/>
                <w:szCs w:val="18"/>
              </w:rPr>
            </w:pPr>
            <w:r>
              <w:rPr>
                <w:rFonts w:eastAsia="宋体"/>
                <w:color w:val="000000"/>
                <w:sz w:val="18"/>
                <w:szCs w:val="18"/>
              </w:rPr>
              <w:t>17.17</w:t>
            </w:r>
          </w:p>
        </w:tc>
        <w:tc>
          <w:tcPr>
            <w:tcW w:w="626" w:type="dxa"/>
            <w:vMerge w:val="restart"/>
            <w:vAlign w:val="center"/>
          </w:tcPr>
          <w:p w14:paraId="10B5F32F">
            <w:pPr>
              <w:pStyle w:val="541"/>
              <w:spacing w:line="240" w:lineRule="auto"/>
              <w:rPr>
                <w:rFonts w:eastAsia="宋体"/>
                <w:color w:val="000000"/>
                <w:sz w:val="18"/>
                <w:szCs w:val="18"/>
              </w:rPr>
            </w:pPr>
            <w:r>
              <w:rPr>
                <w:rFonts w:eastAsia="宋体"/>
                <w:color w:val="000000"/>
                <w:sz w:val="18"/>
                <w:szCs w:val="18"/>
              </w:rPr>
              <w:t>1200</w:t>
            </w:r>
          </w:p>
        </w:tc>
        <w:tc>
          <w:tcPr>
            <w:tcW w:w="698" w:type="dxa"/>
            <w:vMerge w:val="restart"/>
            <w:vAlign w:val="center"/>
          </w:tcPr>
          <w:p w14:paraId="2D1754F3">
            <w:pPr>
              <w:pStyle w:val="541"/>
              <w:spacing w:line="240" w:lineRule="auto"/>
              <w:rPr>
                <w:rFonts w:eastAsia="宋体"/>
                <w:color w:val="000000"/>
                <w:sz w:val="18"/>
                <w:szCs w:val="18"/>
              </w:rPr>
            </w:pPr>
            <w:r>
              <w:rPr>
                <w:rFonts w:eastAsia="宋体"/>
                <w:color w:val="000000"/>
                <w:sz w:val="18"/>
                <w:szCs w:val="18"/>
              </w:rPr>
              <w:t>8000</w:t>
            </w:r>
          </w:p>
        </w:tc>
        <w:tc>
          <w:tcPr>
            <w:tcW w:w="455" w:type="dxa"/>
            <w:vMerge w:val="restart"/>
            <w:vAlign w:val="center"/>
          </w:tcPr>
          <w:p w14:paraId="2870F850">
            <w:pPr>
              <w:pStyle w:val="541"/>
              <w:spacing w:line="240" w:lineRule="auto"/>
              <w:rPr>
                <w:rFonts w:eastAsia="宋体"/>
                <w:color w:val="000000"/>
                <w:sz w:val="18"/>
                <w:szCs w:val="18"/>
              </w:rPr>
            </w:pPr>
            <w:r>
              <w:rPr>
                <w:rFonts w:eastAsia="宋体"/>
                <w:color w:val="000000"/>
                <w:sz w:val="18"/>
                <w:szCs w:val="18"/>
              </w:rPr>
              <w:t>正常</w:t>
            </w:r>
          </w:p>
        </w:tc>
        <w:tc>
          <w:tcPr>
            <w:tcW w:w="1296" w:type="dxa"/>
            <w:vAlign w:val="center"/>
          </w:tcPr>
          <w:p w14:paraId="58821D2F">
            <w:pPr>
              <w:tabs>
                <w:tab w:val="left" w:pos="2310"/>
              </w:tabs>
              <w:spacing w:line="240" w:lineRule="atLeast"/>
              <w:jc w:val="center"/>
              <w:textAlignment w:val="center"/>
              <w:rPr>
                <w:color w:val="000000"/>
                <w:sz w:val="18"/>
                <w:szCs w:val="18"/>
              </w:rPr>
            </w:pPr>
            <w:r>
              <w:rPr>
                <w:color w:val="000000"/>
                <w:sz w:val="18"/>
                <w:szCs w:val="18"/>
              </w:rPr>
              <w:t>SO</w:t>
            </w:r>
            <w:r>
              <w:rPr>
                <w:color w:val="000000"/>
                <w:sz w:val="18"/>
                <w:szCs w:val="18"/>
                <w:vertAlign w:val="subscript"/>
              </w:rPr>
              <w:t>2</w:t>
            </w:r>
          </w:p>
        </w:tc>
        <w:tc>
          <w:tcPr>
            <w:tcW w:w="1389" w:type="dxa"/>
            <w:vAlign w:val="center"/>
          </w:tcPr>
          <w:p w14:paraId="13946794">
            <w:pPr>
              <w:tabs>
                <w:tab w:val="left" w:pos="2310"/>
              </w:tabs>
              <w:spacing w:line="240" w:lineRule="atLeast"/>
              <w:jc w:val="center"/>
              <w:textAlignment w:val="center"/>
              <w:rPr>
                <w:color w:val="000000"/>
                <w:kern w:val="0"/>
                <w:sz w:val="18"/>
                <w:szCs w:val="18"/>
              </w:rPr>
            </w:pPr>
            <w:r>
              <w:rPr>
                <w:color w:val="000000"/>
                <w:kern w:val="0"/>
                <w:sz w:val="18"/>
                <w:szCs w:val="18"/>
              </w:rPr>
              <w:t>0.00375</w:t>
            </w:r>
          </w:p>
        </w:tc>
      </w:tr>
      <w:tr w14:paraId="23D8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392" w:type="dxa"/>
            <w:vMerge w:val="continue"/>
            <w:vAlign w:val="center"/>
          </w:tcPr>
          <w:p w14:paraId="6C60ED19">
            <w:pPr>
              <w:pStyle w:val="541"/>
              <w:spacing w:line="240" w:lineRule="auto"/>
              <w:rPr>
                <w:rFonts w:eastAsia="宋体"/>
                <w:color w:val="000000"/>
                <w:sz w:val="18"/>
                <w:szCs w:val="18"/>
              </w:rPr>
            </w:pPr>
          </w:p>
        </w:tc>
        <w:tc>
          <w:tcPr>
            <w:tcW w:w="939" w:type="dxa"/>
            <w:vMerge w:val="continue"/>
            <w:vAlign w:val="center"/>
          </w:tcPr>
          <w:p w14:paraId="02488C5D">
            <w:pPr>
              <w:pStyle w:val="541"/>
              <w:spacing w:line="240" w:lineRule="auto"/>
              <w:rPr>
                <w:rFonts w:eastAsia="宋体"/>
                <w:color w:val="000000"/>
                <w:sz w:val="18"/>
                <w:szCs w:val="18"/>
              </w:rPr>
            </w:pPr>
          </w:p>
        </w:tc>
        <w:tc>
          <w:tcPr>
            <w:tcW w:w="635" w:type="dxa"/>
            <w:vMerge w:val="continue"/>
            <w:vAlign w:val="center"/>
          </w:tcPr>
          <w:p w14:paraId="575ED585">
            <w:pPr>
              <w:pStyle w:val="541"/>
              <w:spacing w:line="240" w:lineRule="auto"/>
              <w:rPr>
                <w:rFonts w:eastAsia="宋体"/>
                <w:color w:val="000000"/>
                <w:sz w:val="18"/>
                <w:szCs w:val="18"/>
              </w:rPr>
            </w:pPr>
          </w:p>
        </w:tc>
        <w:tc>
          <w:tcPr>
            <w:tcW w:w="625" w:type="dxa"/>
            <w:vMerge w:val="continue"/>
            <w:vAlign w:val="center"/>
          </w:tcPr>
          <w:p w14:paraId="4DA72315">
            <w:pPr>
              <w:pStyle w:val="541"/>
              <w:spacing w:line="240" w:lineRule="auto"/>
              <w:rPr>
                <w:rFonts w:eastAsia="宋体"/>
                <w:color w:val="000000"/>
                <w:sz w:val="18"/>
                <w:szCs w:val="18"/>
              </w:rPr>
            </w:pPr>
          </w:p>
        </w:tc>
        <w:tc>
          <w:tcPr>
            <w:tcW w:w="627" w:type="dxa"/>
            <w:vMerge w:val="continue"/>
            <w:vAlign w:val="center"/>
          </w:tcPr>
          <w:p w14:paraId="1632FA54">
            <w:pPr>
              <w:pStyle w:val="541"/>
              <w:spacing w:line="240" w:lineRule="auto"/>
              <w:rPr>
                <w:rFonts w:eastAsia="宋体"/>
                <w:color w:val="000000"/>
                <w:sz w:val="18"/>
                <w:szCs w:val="18"/>
              </w:rPr>
            </w:pPr>
          </w:p>
        </w:tc>
        <w:tc>
          <w:tcPr>
            <w:tcW w:w="627" w:type="dxa"/>
            <w:vMerge w:val="continue"/>
            <w:vAlign w:val="center"/>
          </w:tcPr>
          <w:p w14:paraId="271FE802">
            <w:pPr>
              <w:pStyle w:val="541"/>
              <w:spacing w:line="240" w:lineRule="auto"/>
              <w:rPr>
                <w:rFonts w:eastAsia="宋体"/>
                <w:color w:val="000000"/>
                <w:sz w:val="18"/>
                <w:szCs w:val="18"/>
              </w:rPr>
            </w:pPr>
          </w:p>
        </w:tc>
        <w:tc>
          <w:tcPr>
            <w:tcW w:w="626" w:type="dxa"/>
            <w:vMerge w:val="continue"/>
            <w:vAlign w:val="center"/>
          </w:tcPr>
          <w:p w14:paraId="2FF5438F">
            <w:pPr>
              <w:pStyle w:val="541"/>
              <w:spacing w:line="240" w:lineRule="auto"/>
              <w:rPr>
                <w:rFonts w:eastAsia="宋体"/>
                <w:color w:val="000000"/>
                <w:sz w:val="18"/>
                <w:szCs w:val="18"/>
              </w:rPr>
            </w:pPr>
          </w:p>
        </w:tc>
        <w:tc>
          <w:tcPr>
            <w:tcW w:w="698" w:type="dxa"/>
            <w:vMerge w:val="continue"/>
            <w:vAlign w:val="center"/>
          </w:tcPr>
          <w:p w14:paraId="4818C4BD">
            <w:pPr>
              <w:pStyle w:val="541"/>
              <w:spacing w:line="240" w:lineRule="auto"/>
              <w:rPr>
                <w:rFonts w:eastAsia="宋体"/>
                <w:color w:val="000000"/>
                <w:sz w:val="18"/>
                <w:szCs w:val="18"/>
              </w:rPr>
            </w:pPr>
          </w:p>
        </w:tc>
        <w:tc>
          <w:tcPr>
            <w:tcW w:w="455" w:type="dxa"/>
            <w:vMerge w:val="continue"/>
            <w:vAlign w:val="center"/>
          </w:tcPr>
          <w:p w14:paraId="62CA4475">
            <w:pPr>
              <w:pStyle w:val="541"/>
              <w:spacing w:line="240" w:lineRule="auto"/>
              <w:rPr>
                <w:rFonts w:eastAsia="宋体"/>
                <w:color w:val="000000"/>
                <w:sz w:val="18"/>
                <w:szCs w:val="18"/>
              </w:rPr>
            </w:pPr>
          </w:p>
        </w:tc>
        <w:tc>
          <w:tcPr>
            <w:tcW w:w="1296" w:type="dxa"/>
            <w:vAlign w:val="center"/>
          </w:tcPr>
          <w:p w14:paraId="6E78C797">
            <w:pPr>
              <w:tabs>
                <w:tab w:val="left" w:pos="2310"/>
              </w:tabs>
              <w:spacing w:line="240" w:lineRule="atLeast"/>
              <w:jc w:val="center"/>
              <w:textAlignment w:val="center"/>
              <w:rPr>
                <w:color w:val="000000"/>
                <w:sz w:val="18"/>
                <w:szCs w:val="18"/>
              </w:rPr>
            </w:pPr>
            <w:r>
              <w:rPr>
                <w:color w:val="000000"/>
                <w:sz w:val="18"/>
                <w:szCs w:val="18"/>
              </w:rPr>
              <w:t>NO</w:t>
            </w:r>
            <w:r>
              <w:rPr>
                <w:rFonts w:hint="eastAsia"/>
                <w:color w:val="000000"/>
                <w:szCs w:val="24"/>
                <w:vertAlign w:val="subscript"/>
              </w:rPr>
              <w:t>X</w:t>
            </w:r>
          </w:p>
        </w:tc>
        <w:tc>
          <w:tcPr>
            <w:tcW w:w="1389" w:type="dxa"/>
            <w:vAlign w:val="center"/>
          </w:tcPr>
          <w:p w14:paraId="4936C278">
            <w:pPr>
              <w:tabs>
                <w:tab w:val="left" w:pos="2310"/>
              </w:tabs>
              <w:spacing w:line="240" w:lineRule="atLeast"/>
              <w:jc w:val="center"/>
              <w:textAlignment w:val="center"/>
              <w:rPr>
                <w:color w:val="000000"/>
                <w:kern w:val="0"/>
                <w:sz w:val="18"/>
                <w:szCs w:val="18"/>
              </w:rPr>
            </w:pPr>
            <w:r>
              <w:rPr>
                <w:color w:val="000000"/>
                <w:kern w:val="0"/>
                <w:sz w:val="18"/>
                <w:szCs w:val="18"/>
              </w:rPr>
              <w:t>0.0225</w:t>
            </w:r>
          </w:p>
        </w:tc>
      </w:tr>
      <w:tr w14:paraId="5BE1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392" w:type="dxa"/>
            <w:vMerge w:val="continue"/>
            <w:vAlign w:val="center"/>
          </w:tcPr>
          <w:p w14:paraId="27B9F1D5">
            <w:pPr>
              <w:pStyle w:val="541"/>
              <w:spacing w:line="240" w:lineRule="auto"/>
              <w:rPr>
                <w:rFonts w:eastAsia="宋体"/>
                <w:color w:val="000000"/>
                <w:sz w:val="18"/>
                <w:szCs w:val="18"/>
              </w:rPr>
            </w:pPr>
          </w:p>
        </w:tc>
        <w:tc>
          <w:tcPr>
            <w:tcW w:w="939" w:type="dxa"/>
            <w:vMerge w:val="continue"/>
            <w:vAlign w:val="center"/>
          </w:tcPr>
          <w:p w14:paraId="555BFAFC">
            <w:pPr>
              <w:pStyle w:val="541"/>
              <w:spacing w:line="240" w:lineRule="auto"/>
              <w:rPr>
                <w:rFonts w:eastAsia="宋体"/>
                <w:color w:val="000000"/>
                <w:sz w:val="18"/>
                <w:szCs w:val="18"/>
              </w:rPr>
            </w:pPr>
          </w:p>
        </w:tc>
        <w:tc>
          <w:tcPr>
            <w:tcW w:w="635" w:type="dxa"/>
            <w:vMerge w:val="continue"/>
            <w:vAlign w:val="center"/>
          </w:tcPr>
          <w:p w14:paraId="10AC748E">
            <w:pPr>
              <w:pStyle w:val="541"/>
              <w:spacing w:line="240" w:lineRule="auto"/>
              <w:rPr>
                <w:rFonts w:eastAsia="宋体"/>
                <w:color w:val="000000"/>
                <w:sz w:val="18"/>
                <w:szCs w:val="18"/>
              </w:rPr>
            </w:pPr>
          </w:p>
        </w:tc>
        <w:tc>
          <w:tcPr>
            <w:tcW w:w="625" w:type="dxa"/>
            <w:vMerge w:val="continue"/>
            <w:vAlign w:val="center"/>
          </w:tcPr>
          <w:p w14:paraId="20E4DA42">
            <w:pPr>
              <w:pStyle w:val="541"/>
              <w:spacing w:line="240" w:lineRule="auto"/>
              <w:rPr>
                <w:rFonts w:eastAsia="宋体"/>
                <w:color w:val="000000"/>
                <w:sz w:val="18"/>
                <w:szCs w:val="18"/>
              </w:rPr>
            </w:pPr>
          </w:p>
        </w:tc>
        <w:tc>
          <w:tcPr>
            <w:tcW w:w="627" w:type="dxa"/>
            <w:vMerge w:val="continue"/>
            <w:vAlign w:val="center"/>
          </w:tcPr>
          <w:p w14:paraId="02418BF8">
            <w:pPr>
              <w:pStyle w:val="541"/>
              <w:spacing w:line="240" w:lineRule="auto"/>
              <w:rPr>
                <w:rFonts w:eastAsia="宋体"/>
                <w:color w:val="000000"/>
                <w:sz w:val="18"/>
                <w:szCs w:val="18"/>
              </w:rPr>
            </w:pPr>
          </w:p>
        </w:tc>
        <w:tc>
          <w:tcPr>
            <w:tcW w:w="627" w:type="dxa"/>
            <w:vMerge w:val="continue"/>
            <w:vAlign w:val="center"/>
          </w:tcPr>
          <w:p w14:paraId="3CE4C276">
            <w:pPr>
              <w:pStyle w:val="541"/>
              <w:spacing w:line="240" w:lineRule="auto"/>
              <w:rPr>
                <w:rFonts w:eastAsia="宋体"/>
                <w:color w:val="000000"/>
                <w:sz w:val="18"/>
                <w:szCs w:val="18"/>
              </w:rPr>
            </w:pPr>
          </w:p>
        </w:tc>
        <w:tc>
          <w:tcPr>
            <w:tcW w:w="626" w:type="dxa"/>
            <w:vMerge w:val="continue"/>
            <w:vAlign w:val="center"/>
          </w:tcPr>
          <w:p w14:paraId="5101716D">
            <w:pPr>
              <w:pStyle w:val="541"/>
              <w:spacing w:line="240" w:lineRule="auto"/>
              <w:rPr>
                <w:rFonts w:eastAsia="宋体"/>
                <w:color w:val="000000"/>
                <w:sz w:val="18"/>
                <w:szCs w:val="18"/>
              </w:rPr>
            </w:pPr>
          </w:p>
        </w:tc>
        <w:tc>
          <w:tcPr>
            <w:tcW w:w="698" w:type="dxa"/>
            <w:vMerge w:val="continue"/>
            <w:vAlign w:val="center"/>
          </w:tcPr>
          <w:p w14:paraId="41E2BB7F">
            <w:pPr>
              <w:pStyle w:val="541"/>
              <w:spacing w:line="240" w:lineRule="auto"/>
              <w:rPr>
                <w:rFonts w:eastAsia="宋体"/>
                <w:color w:val="000000"/>
                <w:sz w:val="18"/>
                <w:szCs w:val="18"/>
              </w:rPr>
            </w:pPr>
          </w:p>
        </w:tc>
        <w:tc>
          <w:tcPr>
            <w:tcW w:w="455" w:type="dxa"/>
            <w:vMerge w:val="continue"/>
            <w:vAlign w:val="center"/>
          </w:tcPr>
          <w:p w14:paraId="3676D364">
            <w:pPr>
              <w:pStyle w:val="541"/>
              <w:spacing w:line="240" w:lineRule="auto"/>
              <w:rPr>
                <w:rFonts w:eastAsia="宋体"/>
                <w:color w:val="000000"/>
                <w:sz w:val="18"/>
                <w:szCs w:val="18"/>
              </w:rPr>
            </w:pPr>
          </w:p>
        </w:tc>
        <w:tc>
          <w:tcPr>
            <w:tcW w:w="1296" w:type="dxa"/>
            <w:vAlign w:val="center"/>
          </w:tcPr>
          <w:p w14:paraId="3BD1EAC9">
            <w:pPr>
              <w:tabs>
                <w:tab w:val="left" w:pos="2310"/>
              </w:tabs>
              <w:spacing w:line="240" w:lineRule="atLeast"/>
              <w:jc w:val="center"/>
              <w:textAlignment w:val="center"/>
              <w:rPr>
                <w:color w:val="000000"/>
                <w:sz w:val="18"/>
                <w:szCs w:val="18"/>
              </w:rPr>
            </w:pPr>
            <w:r>
              <w:rPr>
                <w:color w:val="000000"/>
                <w:sz w:val="18"/>
                <w:szCs w:val="18"/>
              </w:rPr>
              <w:t>PM</w:t>
            </w:r>
            <w:r>
              <w:rPr>
                <w:color w:val="000000"/>
                <w:sz w:val="18"/>
                <w:szCs w:val="18"/>
                <w:vertAlign w:val="subscript"/>
              </w:rPr>
              <w:t>10</w:t>
            </w:r>
          </w:p>
        </w:tc>
        <w:tc>
          <w:tcPr>
            <w:tcW w:w="1389" w:type="dxa"/>
            <w:vAlign w:val="center"/>
          </w:tcPr>
          <w:p w14:paraId="04BC1EA8">
            <w:pPr>
              <w:tabs>
                <w:tab w:val="left" w:pos="2310"/>
              </w:tabs>
              <w:spacing w:line="240" w:lineRule="atLeast"/>
              <w:jc w:val="center"/>
              <w:textAlignment w:val="center"/>
              <w:rPr>
                <w:color w:val="000000"/>
                <w:kern w:val="0"/>
                <w:sz w:val="18"/>
                <w:szCs w:val="18"/>
              </w:rPr>
            </w:pPr>
            <w:r>
              <w:rPr>
                <w:color w:val="000000"/>
                <w:kern w:val="0"/>
                <w:sz w:val="18"/>
                <w:szCs w:val="18"/>
              </w:rPr>
              <w:t>0.0075</w:t>
            </w:r>
          </w:p>
        </w:tc>
      </w:tr>
    </w:tbl>
    <w:p w14:paraId="421449EA">
      <w:pPr>
        <w:numPr>
          <w:ilvl w:val="0"/>
          <w:numId w:val="2"/>
        </w:numPr>
        <w:ind w:firstLine="480"/>
        <w:rPr>
          <w:color w:val="000000"/>
          <w:szCs w:val="24"/>
        </w:rPr>
      </w:pPr>
      <w:r>
        <w:rPr>
          <w:color w:val="000000"/>
          <w:szCs w:val="24"/>
        </w:rPr>
        <w:t>估算模型计算</w:t>
      </w:r>
    </w:p>
    <w:p w14:paraId="6F2387B6">
      <w:pPr>
        <w:jc w:val="center"/>
        <w:rPr>
          <w:color w:val="000000"/>
        </w:rPr>
      </w:pPr>
      <w:r>
        <w:rPr>
          <w:color w:val="000000"/>
        </w:rPr>
        <w:t>表</w:t>
      </w:r>
      <w:r>
        <w:rPr>
          <w:color w:val="000000"/>
          <w:szCs w:val="24"/>
        </w:rPr>
        <w:t>4.2.1-2</w:t>
      </w:r>
      <w:r>
        <w:rPr>
          <w:color w:val="000000"/>
        </w:rPr>
        <w:t xml:space="preserve"> 项目估算模式参数一览表</w:t>
      </w:r>
    </w:p>
    <w:tbl>
      <w:tblPr>
        <w:tblStyle w:val="7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2804"/>
        <w:gridCol w:w="1437"/>
        <w:gridCol w:w="3252"/>
      </w:tblGrid>
      <w:tr w14:paraId="1268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245" w:type="pct"/>
            <w:gridSpan w:val="2"/>
            <w:vAlign w:val="center"/>
          </w:tcPr>
          <w:p w14:paraId="5D75F06B">
            <w:pPr>
              <w:jc w:val="center"/>
              <w:rPr>
                <w:color w:val="000000"/>
                <w:sz w:val="21"/>
              </w:rPr>
            </w:pPr>
            <w:r>
              <w:rPr>
                <w:color w:val="000000"/>
                <w:sz w:val="21"/>
              </w:rPr>
              <w:t>选项</w:t>
            </w:r>
          </w:p>
        </w:tc>
        <w:tc>
          <w:tcPr>
            <w:tcW w:w="844" w:type="pct"/>
            <w:vAlign w:val="center"/>
          </w:tcPr>
          <w:p w14:paraId="414CB99C">
            <w:pPr>
              <w:jc w:val="center"/>
              <w:rPr>
                <w:color w:val="000000"/>
                <w:sz w:val="21"/>
              </w:rPr>
            </w:pPr>
            <w:r>
              <w:rPr>
                <w:color w:val="000000"/>
                <w:sz w:val="21"/>
              </w:rPr>
              <w:t>取值</w:t>
            </w:r>
          </w:p>
        </w:tc>
        <w:tc>
          <w:tcPr>
            <w:tcW w:w="1910" w:type="pct"/>
            <w:vAlign w:val="center"/>
          </w:tcPr>
          <w:p w14:paraId="0AD7EC03">
            <w:pPr>
              <w:jc w:val="center"/>
              <w:rPr>
                <w:color w:val="000000"/>
                <w:sz w:val="21"/>
              </w:rPr>
            </w:pPr>
            <w:r>
              <w:rPr>
                <w:color w:val="000000"/>
                <w:sz w:val="21"/>
              </w:rPr>
              <w:t>参数</w:t>
            </w:r>
          </w:p>
        </w:tc>
      </w:tr>
      <w:tr w14:paraId="265F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Merge w:val="restart"/>
            <w:vAlign w:val="center"/>
          </w:tcPr>
          <w:p w14:paraId="0EA3A167">
            <w:pPr>
              <w:jc w:val="center"/>
              <w:rPr>
                <w:color w:val="000000"/>
                <w:sz w:val="21"/>
              </w:rPr>
            </w:pPr>
            <w:r>
              <w:rPr>
                <w:color w:val="000000"/>
                <w:sz w:val="21"/>
              </w:rPr>
              <w:t>城市/农村选项</w:t>
            </w:r>
          </w:p>
        </w:tc>
        <w:tc>
          <w:tcPr>
            <w:tcW w:w="1646" w:type="pct"/>
            <w:vAlign w:val="center"/>
          </w:tcPr>
          <w:p w14:paraId="3BBAD800">
            <w:pPr>
              <w:jc w:val="center"/>
              <w:rPr>
                <w:color w:val="000000"/>
                <w:sz w:val="21"/>
              </w:rPr>
            </w:pPr>
            <w:r>
              <w:rPr>
                <w:color w:val="000000"/>
                <w:sz w:val="21"/>
              </w:rPr>
              <w:t>城市/农村</w:t>
            </w:r>
          </w:p>
        </w:tc>
        <w:tc>
          <w:tcPr>
            <w:tcW w:w="844" w:type="pct"/>
            <w:vAlign w:val="center"/>
          </w:tcPr>
          <w:p w14:paraId="2B4909FA">
            <w:pPr>
              <w:jc w:val="center"/>
              <w:rPr>
                <w:color w:val="000000"/>
                <w:sz w:val="21"/>
              </w:rPr>
            </w:pPr>
            <w:r>
              <w:rPr>
                <w:color w:val="000000"/>
                <w:sz w:val="21"/>
              </w:rPr>
              <w:t>城市</w:t>
            </w:r>
          </w:p>
        </w:tc>
        <w:tc>
          <w:tcPr>
            <w:tcW w:w="1910" w:type="pct"/>
            <w:vAlign w:val="center"/>
          </w:tcPr>
          <w:p w14:paraId="1FC60BBD">
            <w:pPr>
              <w:spacing w:line="240" w:lineRule="auto"/>
              <w:jc w:val="center"/>
              <w:rPr>
                <w:color w:val="000000"/>
                <w:sz w:val="21"/>
              </w:rPr>
            </w:pPr>
            <w:r>
              <w:rPr>
                <w:bCs/>
                <w:color w:val="000000"/>
                <w:sz w:val="21"/>
              </w:rPr>
              <w:t>拟建项目厂界外3km范围内，一半以上为园区已建及规划工业建设用地，因此判断为城市类型</w:t>
            </w:r>
          </w:p>
        </w:tc>
      </w:tr>
      <w:tr w14:paraId="3B8B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98" w:type="pct"/>
            <w:vMerge w:val="continue"/>
            <w:vAlign w:val="center"/>
          </w:tcPr>
          <w:p w14:paraId="770A02B8">
            <w:pPr>
              <w:rPr>
                <w:color w:val="000000"/>
                <w:sz w:val="21"/>
              </w:rPr>
            </w:pPr>
          </w:p>
        </w:tc>
        <w:tc>
          <w:tcPr>
            <w:tcW w:w="1646" w:type="pct"/>
            <w:vAlign w:val="center"/>
          </w:tcPr>
          <w:p w14:paraId="130757D7">
            <w:pPr>
              <w:jc w:val="center"/>
              <w:rPr>
                <w:color w:val="000000"/>
                <w:sz w:val="21"/>
              </w:rPr>
            </w:pPr>
            <w:r>
              <w:rPr>
                <w:color w:val="000000"/>
                <w:sz w:val="21"/>
              </w:rPr>
              <w:t>人口数（城市选项时）</w:t>
            </w:r>
          </w:p>
        </w:tc>
        <w:tc>
          <w:tcPr>
            <w:tcW w:w="844" w:type="pct"/>
            <w:vAlign w:val="center"/>
          </w:tcPr>
          <w:p w14:paraId="76E0EF9D">
            <w:pPr>
              <w:jc w:val="center"/>
              <w:rPr>
                <w:color w:val="000000"/>
                <w:sz w:val="21"/>
              </w:rPr>
            </w:pPr>
            <w:r>
              <w:rPr>
                <w:color w:val="000000"/>
                <w:sz w:val="21"/>
              </w:rPr>
              <w:t>111.5万人</w:t>
            </w:r>
          </w:p>
        </w:tc>
        <w:tc>
          <w:tcPr>
            <w:tcW w:w="1910" w:type="pct"/>
            <w:vAlign w:val="center"/>
          </w:tcPr>
          <w:p w14:paraId="0D716A36">
            <w:pPr>
              <w:spacing w:line="240" w:lineRule="auto"/>
              <w:jc w:val="center"/>
              <w:rPr>
                <w:color w:val="000000"/>
                <w:sz w:val="21"/>
              </w:rPr>
            </w:pPr>
            <w:r>
              <w:rPr>
                <w:bCs/>
                <w:color w:val="000000"/>
                <w:sz w:val="21"/>
              </w:rPr>
              <w:t>项目位于涪陵区，常</w:t>
            </w:r>
            <w:r>
              <w:rPr>
                <w:rFonts w:hint="eastAsia"/>
                <w:bCs/>
                <w:color w:val="000000"/>
                <w:sz w:val="21"/>
              </w:rPr>
              <w:t>住</w:t>
            </w:r>
            <w:r>
              <w:rPr>
                <w:bCs/>
                <w:color w:val="000000"/>
                <w:sz w:val="21"/>
              </w:rPr>
              <w:t>人口约111.5万人</w:t>
            </w:r>
          </w:p>
        </w:tc>
      </w:tr>
      <w:tr w14:paraId="3181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245" w:type="pct"/>
            <w:gridSpan w:val="2"/>
            <w:vAlign w:val="center"/>
          </w:tcPr>
          <w:p w14:paraId="13282D4C">
            <w:pPr>
              <w:jc w:val="center"/>
              <w:rPr>
                <w:color w:val="000000"/>
                <w:sz w:val="21"/>
              </w:rPr>
            </w:pPr>
            <w:r>
              <w:rPr>
                <w:color w:val="000000"/>
                <w:sz w:val="21"/>
              </w:rPr>
              <w:t>最高环境温度/℃</w:t>
            </w:r>
          </w:p>
        </w:tc>
        <w:tc>
          <w:tcPr>
            <w:tcW w:w="844" w:type="pct"/>
            <w:vAlign w:val="center"/>
          </w:tcPr>
          <w:p w14:paraId="103B4B36">
            <w:pPr>
              <w:jc w:val="center"/>
              <w:rPr>
                <w:color w:val="000000"/>
                <w:sz w:val="21"/>
              </w:rPr>
            </w:pPr>
            <w:r>
              <w:rPr>
                <w:color w:val="000000"/>
                <w:sz w:val="21"/>
              </w:rPr>
              <w:t>42.2</w:t>
            </w:r>
          </w:p>
        </w:tc>
        <w:tc>
          <w:tcPr>
            <w:tcW w:w="1910" w:type="pct"/>
            <w:vAlign w:val="center"/>
          </w:tcPr>
          <w:p w14:paraId="751FE84D">
            <w:pPr>
              <w:spacing w:line="240" w:lineRule="auto"/>
              <w:jc w:val="center"/>
              <w:rPr>
                <w:color w:val="000000"/>
                <w:sz w:val="21"/>
              </w:rPr>
            </w:pPr>
            <w:r>
              <w:rPr>
                <w:bCs/>
                <w:color w:val="000000"/>
                <w:sz w:val="21"/>
              </w:rPr>
              <w:t>来自20a气候统计资料</w:t>
            </w:r>
          </w:p>
        </w:tc>
      </w:tr>
      <w:tr w14:paraId="165F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245" w:type="pct"/>
            <w:gridSpan w:val="2"/>
            <w:vAlign w:val="center"/>
          </w:tcPr>
          <w:p w14:paraId="13F7B68B">
            <w:pPr>
              <w:jc w:val="center"/>
              <w:rPr>
                <w:color w:val="000000"/>
                <w:sz w:val="21"/>
              </w:rPr>
            </w:pPr>
            <w:r>
              <w:rPr>
                <w:color w:val="000000"/>
                <w:sz w:val="21"/>
              </w:rPr>
              <w:t>最低环境温度/℃</w:t>
            </w:r>
          </w:p>
        </w:tc>
        <w:tc>
          <w:tcPr>
            <w:tcW w:w="844" w:type="pct"/>
            <w:vAlign w:val="center"/>
          </w:tcPr>
          <w:p w14:paraId="017FEA81">
            <w:pPr>
              <w:jc w:val="center"/>
              <w:rPr>
                <w:color w:val="000000"/>
                <w:sz w:val="21"/>
              </w:rPr>
            </w:pPr>
            <w:r>
              <w:rPr>
                <w:color w:val="000000"/>
                <w:sz w:val="21"/>
              </w:rPr>
              <w:t>-2.2</w:t>
            </w:r>
          </w:p>
        </w:tc>
        <w:tc>
          <w:tcPr>
            <w:tcW w:w="1910" w:type="pct"/>
            <w:vAlign w:val="center"/>
          </w:tcPr>
          <w:p w14:paraId="0017AB29">
            <w:pPr>
              <w:spacing w:line="240" w:lineRule="auto"/>
              <w:jc w:val="center"/>
              <w:rPr>
                <w:color w:val="000000"/>
                <w:sz w:val="21"/>
              </w:rPr>
            </w:pPr>
            <w:r>
              <w:rPr>
                <w:bCs/>
                <w:color w:val="000000"/>
                <w:sz w:val="21"/>
              </w:rPr>
              <w:t>/</w:t>
            </w:r>
          </w:p>
        </w:tc>
      </w:tr>
      <w:tr w14:paraId="035C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245" w:type="pct"/>
            <w:gridSpan w:val="2"/>
            <w:vAlign w:val="center"/>
          </w:tcPr>
          <w:p w14:paraId="25A0433C">
            <w:pPr>
              <w:jc w:val="center"/>
              <w:rPr>
                <w:color w:val="000000"/>
                <w:sz w:val="21"/>
              </w:rPr>
            </w:pPr>
            <w:r>
              <w:rPr>
                <w:color w:val="000000"/>
                <w:sz w:val="21"/>
              </w:rPr>
              <w:t>土地利用类型</w:t>
            </w:r>
          </w:p>
        </w:tc>
        <w:tc>
          <w:tcPr>
            <w:tcW w:w="844" w:type="pct"/>
            <w:vAlign w:val="center"/>
          </w:tcPr>
          <w:p w14:paraId="3343682C">
            <w:pPr>
              <w:jc w:val="center"/>
              <w:rPr>
                <w:color w:val="000000"/>
                <w:sz w:val="21"/>
              </w:rPr>
            </w:pPr>
            <w:r>
              <w:rPr>
                <w:color w:val="000000"/>
                <w:sz w:val="21"/>
              </w:rPr>
              <w:t>城市</w:t>
            </w:r>
          </w:p>
        </w:tc>
        <w:tc>
          <w:tcPr>
            <w:tcW w:w="1910" w:type="pct"/>
            <w:vAlign w:val="center"/>
          </w:tcPr>
          <w:p w14:paraId="4EF9C0D1">
            <w:pPr>
              <w:jc w:val="center"/>
              <w:rPr>
                <w:color w:val="000000"/>
                <w:sz w:val="21"/>
              </w:rPr>
            </w:pPr>
            <w:r>
              <w:rPr>
                <w:color w:val="000000"/>
                <w:sz w:val="21"/>
              </w:rPr>
              <w:t>/</w:t>
            </w:r>
          </w:p>
        </w:tc>
      </w:tr>
      <w:tr w14:paraId="4D5D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5" w:type="pct"/>
            <w:gridSpan w:val="2"/>
            <w:vAlign w:val="center"/>
          </w:tcPr>
          <w:p w14:paraId="316CCA05">
            <w:pPr>
              <w:jc w:val="center"/>
              <w:rPr>
                <w:color w:val="000000"/>
                <w:sz w:val="21"/>
              </w:rPr>
            </w:pPr>
            <w:r>
              <w:rPr>
                <w:color w:val="000000"/>
                <w:sz w:val="21"/>
              </w:rPr>
              <w:t>区域湿度条件</w:t>
            </w:r>
          </w:p>
        </w:tc>
        <w:tc>
          <w:tcPr>
            <w:tcW w:w="844" w:type="pct"/>
            <w:vAlign w:val="center"/>
          </w:tcPr>
          <w:p w14:paraId="386F5D98">
            <w:pPr>
              <w:spacing w:line="240" w:lineRule="auto"/>
              <w:jc w:val="center"/>
              <w:rPr>
                <w:color w:val="000000"/>
                <w:sz w:val="21"/>
              </w:rPr>
            </w:pPr>
            <w:r>
              <w:rPr>
                <w:color w:val="000000"/>
                <w:sz w:val="21"/>
              </w:rPr>
              <w:t>湿润区</w:t>
            </w:r>
          </w:p>
        </w:tc>
        <w:tc>
          <w:tcPr>
            <w:tcW w:w="1910" w:type="pct"/>
            <w:vAlign w:val="center"/>
          </w:tcPr>
          <w:p w14:paraId="0752BFBE">
            <w:pPr>
              <w:jc w:val="center"/>
              <w:rPr>
                <w:color w:val="000000"/>
                <w:sz w:val="21"/>
              </w:rPr>
            </w:pPr>
            <w:r>
              <w:rPr>
                <w:bCs/>
                <w:color w:val="000000"/>
                <w:sz w:val="21"/>
              </w:rPr>
              <w:t>项目所在地地属重庆涪陵区，属于亚热带季风性湿润气候，区域湿度条件选取为潮湿气候。</w:t>
            </w:r>
          </w:p>
        </w:tc>
      </w:tr>
      <w:tr w14:paraId="7163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Merge w:val="restart"/>
            <w:vAlign w:val="center"/>
          </w:tcPr>
          <w:p w14:paraId="30290F36">
            <w:pPr>
              <w:jc w:val="center"/>
              <w:rPr>
                <w:color w:val="000000"/>
                <w:sz w:val="21"/>
              </w:rPr>
            </w:pPr>
            <w:r>
              <w:rPr>
                <w:color w:val="000000"/>
                <w:sz w:val="21"/>
              </w:rPr>
              <w:t>是否考虑地形</w:t>
            </w:r>
          </w:p>
        </w:tc>
        <w:tc>
          <w:tcPr>
            <w:tcW w:w="1646" w:type="pct"/>
            <w:vAlign w:val="center"/>
          </w:tcPr>
          <w:p w14:paraId="6316001F">
            <w:pPr>
              <w:jc w:val="center"/>
              <w:rPr>
                <w:color w:val="000000"/>
                <w:sz w:val="21"/>
              </w:rPr>
            </w:pPr>
            <w:r>
              <w:rPr>
                <w:color w:val="000000"/>
                <w:sz w:val="21"/>
              </w:rPr>
              <w:t>考虑地形</w:t>
            </w:r>
          </w:p>
        </w:tc>
        <w:tc>
          <w:tcPr>
            <w:tcW w:w="844" w:type="pct"/>
            <w:vAlign w:val="center"/>
          </w:tcPr>
          <w:p w14:paraId="04192332">
            <w:pPr>
              <w:spacing w:line="240" w:lineRule="auto"/>
              <w:jc w:val="center"/>
              <w:rPr>
                <w:color w:val="000000"/>
                <w:sz w:val="21"/>
              </w:rPr>
            </w:pPr>
            <w:r>
              <w:rPr>
                <w:color w:val="000000"/>
                <w:sz w:val="21"/>
              </w:rPr>
              <w:t>是</w:t>
            </w:r>
          </w:p>
        </w:tc>
        <w:tc>
          <w:tcPr>
            <w:tcW w:w="1910" w:type="pct"/>
            <w:vAlign w:val="center"/>
          </w:tcPr>
          <w:p w14:paraId="3F8E1DE3">
            <w:pPr>
              <w:jc w:val="center"/>
              <w:rPr>
                <w:color w:val="000000"/>
                <w:sz w:val="21"/>
              </w:rPr>
            </w:pPr>
            <w:r>
              <w:rPr>
                <w:color w:val="000000"/>
                <w:sz w:val="21"/>
              </w:rPr>
              <w:t xml:space="preserve">■是   </w:t>
            </w:r>
            <w:r>
              <w:rPr>
                <w:color w:val="000000"/>
                <w:sz w:val="21"/>
              </w:rPr>
              <w:sym w:font="Wingdings 2" w:char="00A3"/>
            </w:r>
            <w:r>
              <w:rPr>
                <w:color w:val="000000"/>
                <w:sz w:val="21"/>
              </w:rPr>
              <w:t>否</w:t>
            </w:r>
          </w:p>
          <w:p w14:paraId="0C51CB49">
            <w:pPr>
              <w:jc w:val="center"/>
              <w:rPr>
                <w:color w:val="000000"/>
                <w:sz w:val="21"/>
              </w:rPr>
            </w:pPr>
            <w:r>
              <w:rPr>
                <w:bCs/>
                <w:color w:val="000000"/>
                <w:sz w:val="21"/>
              </w:rPr>
              <w:t>项目为报告书，需考虑地形因素</w:t>
            </w:r>
          </w:p>
        </w:tc>
      </w:tr>
      <w:tr w14:paraId="3AD0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98" w:type="pct"/>
            <w:vMerge w:val="continue"/>
            <w:vAlign w:val="center"/>
          </w:tcPr>
          <w:p w14:paraId="5472B1E3">
            <w:pPr>
              <w:rPr>
                <w:color w:val="000000"/>
                <w:sz w:val="21"/>
              </w:rPr>
            </w:pPr>
          </w:p>
        </w:tc>
        <w:tc>
          <w:tcPr>
            <w:tcW w:w="1646" w:type="pct"/>
            <w:vAlign w:val="center"/>
          </w:tcPr>
          <w:p w14:paraId="548EF499">
            <w:pPr>
              <w:jc w:val="center"/>
              <w:rPr>
                <w:color w:val="000000"/>
                <w:sz w:val="21"/>
              </w:rPr>
            </w:pPr>
            <w:r>
              <w:rPr>
                <w:color w:val="000000"/>
                <w:sz w:val="21"/>
              </w:rPr>
              <w:t>地形数据分辨率/m</w:t>
            </w:r>
          </w:p>
        </w:tc>
        <w:tc>
          <w:tcPr>
            <w:tcW w:w="844" w:type="pct"/>
            <w:vAlign w:val="center"/>
          </w:tcPr>
          <w:p w14:paraId="102CA262">
            <w:pPr>
              <w:spacing w:line="240" w:lineRule="auto"/>
              <w:jc w:val="center"/>
              <w:rPr>
                <w:color w:val="000000"/>
                <w:sz w:val="21"/>
              </w:rPr>
            </w:pPr>
            <w:r>
              <w:rPr>
                <w:color w:val="000000"/>
                <w:sz w:val="21"/>
              </w:rPr>
              <w:t>/</w:t>
            </w:r>
          </w:p>
        </w:tc>
        <w:tc>
          <w:tcPr>
            <w:tcW w:w="1910" w:type="pct"/>
            <w:vAlign w:val="center"/>
          </w:tcPr>
          <w:p w14:paraId="407255E9">
            <w:pPr>
              <w:jc w:val="center"/>
              <w:rPr>
                <w:color w:val="000000"/>
                <w:sz w:val="21"/>
              </w:rPr>
            </w:pPr>
            <w:r>
              <w:rPr>
                <w:color w:val="000000"/>
                <w:sz w:val="21"/>
              </w:rPr>
              <w:t>/</w:t>
            </w:r>
          </w:p>
        </w:tc>
      </w:tr>
      <w:tr w14:paraId="5BB5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98" w:type="pct"/>
            <w:vMerge w:val="restart"/>
            <w:vAlign w:val="center"/>
          </w:tcPr>
          <w:p w14:paraId="3AF93007">
            <w:pPr>
              <w:jc w:val="center"/>
              <w:rPr>
                <w:color w:val="000000"/>
                <w:sz w:val="21"/>
              </w:rPr>
            </w:pPr>
            <w:r>
              <w:rPr>
                <w:color w:val="000000"/>
                <w:sz w:val="21"/>
              </w:rPr>
              <w:t>是否考虑海岸线熏烟</w:t>
            </w:r>
          </w:p>
        </w:tc>
        <w:tc>
          <w:tcPr>
            <w:tcW w:w="1646" w:type="pct"/>
            <w:vAlign w:val="center"/>
          </w:tcPr>
          <w:p w14:paraId="38BA295B">
            <w:pPr>
              <w:jc w:val="center"/>
              <w:rPr>
                <w:color w:val="000000"/>
                <w:sz w:val="21"/>
              </w:rPr>
            </w:pPr>
            <w:r>
              <w:rPr>
                <w:color w:val="000000"/>
                <w:sz w:val="21"/>
              </w:rPr>
              <w:t>考虑海岸线熏烟</w:t>
            </w:r>
          </w:p>
        </w:tc>
        <w:tc>
          <w:tcPr>
            <w:tcW w:w="844" w:type="pct"/>
            <w:vAlign w:val="center"/>
          </w:tcPr>
          <w:p w14:paraId="0ABCA1D1">
            <w:pPr>
              <w:spacing w:line="240" w:lineRule="auto"/>
              <w:jc w:val="center"/>
              <w:rPr>
                <w:color w:val="000000"/>
                <w:sz w:val="21"/>
              </w:rPr>
            </w:pPr>
            <w:r>
              <w:rPr>
                <w:color w:val="000000"/>
                <w:sz w:val="21"/>
              </w:rPr>
              <w:t>否</w:t>
            </w:r>
          </w:p>
        </w:tc>
        <w:tc>
          <w:tcPr>
            <w:tcW w:w="1910" w:type="pct"/>
            <w:vAlign w:val="center"/>
          </w:tcPr>
          <w:p w14:paraId="4DB05B9C">
            <w:pPr>
              <w:jc w:val="center"/>
              <w:rPr>
                <w:color w:val="000000"/>
                <w:sz w:val="21"/>
              </w:rPr>
            </w:pPr>
            <w:r>
              <w:rPr>
                <w:color w:val="000000"/>
                <w:sz w:val="21"/>
              </w:rPr>
              <w:t>□是   ■否</w:t>
            </w:r>
          </w:p>
          <w:p w14:paraId="33AB7516">
            <w:pPr>
              <w:jc w:val="center"/>
              <w:rPr>
                <w:color w:val="000000"/>
                <w:sz w:val="21"/>
              </w:rPr>
            </w:pPr>
            <w:r>
              <w:rPr>
                <w:bCs/>
                <w:color w:val="000000"/>
                <w:sz w:val="21"/>
              </w:rPr>
              <w:t>污染源附近3km范围内无大型水体（湖、海），故不考虑岸线熏烟</w:t>
            </w:r>
          </w:p>
        </w:tc>
      </w:tr>
      <w:tr w14:paraId="0B12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98" w:type="pct"/>
            <w:vMerge w:val="continue"/>
            <w:vAlign w:val="center"/>
          </w:tcPr>
          <w:p w14:paraId="37252027">
            <w:pPr>
              <w:rPr>
                <w:color w:val="000000"/>
                <w:sz w:val="21"/>
              </w:rPr>
            </w:pPr>
          </w:p>
        </w:tc>
        <w:tc>
          <w:tcPr>
            <w:tcW w:w="1646" w:type="pct"/>
            <w:vAlign w:val="center"/>
          </w:tcPr>
          <w:p w14:paraId="4C4FEB06">
            <w:pPr>
              <w:jc w:val="center"/>
              <w:rPr>
                <w:color w:val="000000"/>
                <w:sz w:val="21"/>
              </w:rPr>
            </w:pPr>
            <w:r>
              <w:rPr>
                <w:color w:val="000000"/>
                <w:sz w:val="21"/>
              </w:rPr>
              <w:t>岸线距离/km</w:t>
            </w:r>
          </w:p>
        </w:tc>
        <w:tc>
          <w:tcPr>
            <w:tcW w:w="844" w:type="pct"/>
            <w:vAlign w:val="center"/>
          </w:tcPr>
          <w:p w14:paraId="701C8ACB">
            <w:pPr>
              <w:jc w:val="center"/>
              <w:rPr>
                <w:color w:val="000000"/>
                <w:sz w:val="21"/>
              </w:rPr>
            </w:pPr>
            <w:r>
              <w:rPr>
                <w:color w:val="000000"/>
                <w:sz w:val="21"/>
              </w:rPr>
              <w:t>/</w:t>
            </w:r>
          </w:p>
        </w:tc>
        <w:tc>
          <w:tcPr>
            <w:tcW w:w="1910" w:type="pct"/>
            <w:vAlign w:val="center"/>
          </w:tcPr>
          <w:p w14:paraId="468FE7F6">
            <w:pPr>
              <w:jc w:val="center"/>
              <w:rPr>
                <w:color w:val="000000"/>
                <w:sz w:val="21"/>
              </w:rPr>
            </w:pPr>
            <w:r>
              <w:rPr>
                <w:color w:val="000000"/>
                <w:sz w:val="21"/>
              </w:rPr>
              <w:t>/</w:t>
            </w:r>
          </w:p>
        </w:tc>
      </w:tr>
      <w:tr w14:paraId="162B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98" w:type="pct"/>
            <w:vMerge w:val="continue"/>
            <w:vAlign w:val="center"/>
          </w:tcPr>
          <w:p w14:paraId="0541F9F5">
            <w:pPr>
              <w:rPr>
                <w:color w:val="000000"/>
                <w:sz w:val="21"/>
              </w:rPr>
            </w:pPr>
          </w:p>
        </w:tc>
        <w:tc>
          <w:tcPr>
            <w:tcW w:w="1646" w:type="pct"/>
            <w:vAlign w:val="center"/>
          </w:tcPr>
          <w:p w14:paraId="3575F418">
            <w:pPr>
              <w:jc w:val="center"/>
              <w:rPr>
                <w:color w:val="000000"/>
                <w:sz w:val="21"/>
              </w:rPr>
            </w:pPr>
            <w:r>
              <w:rPr>
                <w:color w:val="000000"/>
                <w:sz w:val="21"/>
              </w:rPr>
              <w:t>岸线方向/°</w:t>
            </w:r>
          </w:p>
        </w:tc>
        <w:tc>
          <w:tcPr>
            <w:tcW w:w="844" w:type="pct"/>
            <w:vAlign w:val="center"/>
          </w:tcPr>
          <w:p w14:paraId="2D38E0AE">
            <w:pPr>
              <w:jc w:val="center"/>
              <w:rPr>
                <w:color w:val="000000"/>
                <w:sz w:val="21"/>
              </w:rPr>
            </w:pPr>
            <w:r>
              <w:rPr>
                <w:color w:val="000000"/>
                <w:sz w:val="21"/>
              </w:rPr>
              <w:t>/</w:t>
            </w:r>
          </w:p>
        </w:tc>
        <w:tc>
          <w:tcPr>
            <w:tcW w:w="1910" w:type="pct"/>
            <w:vAlign w:val="center"/>
          </w:tcPr>
          <w:p w14:paraId="1D36EE44">
            <w:pPr>
              <w:jc w:val="center"/>
              <w:rPr>
                <w:color w:val="000000"/>
                <w:sz w:val="21"/>
              </w:rPr>
            </w:pPr>
            <w:r>
              <w:rPr>
                <w:color w:val="000000"/>
                <w:sz w:val="21"/>
              </w:rPr>
              <w:t>/</w:t>
            </w:r>
          </w:p>
        </w:tc>
      </w:tr>
    </w:tbl>
    <w:p w14:paraId="20E71B5F">
      <w:pPr>
        <w:ind w:firstLine="480" w:firstLineChars="200"/>
        <w:rPr>
          <w:color w:val="000000"/>
        </w:rPr>
      </w:pPr>
      <w:r>
        <w:rPr>
          <w:color w:val="000000"/>
        </w:rPr>
        <w:t>（3）估算模型计算结果</w:t>
      </w:r>
    </w:p>
    <w:p w14:paraId="07CA6158">
      <w:pPr>
        <w:ind w:firstLine="480" w:firstLineChars="200"/>
        <w:rPr>
          <w:color w:val="000000"/>
        </w:rPr>
      </w:pPr>
      <w:r>
        <w:rPr>
          <w:color w:val="000000"/>
        </w:rPr>
        <w:t>主要污染物估算模型计算结果见表</w:t>
      </w:r>
      <w:r>
        <w:rPr>
          <w:color w:val="000000"/>
          <w:szCs w:val="24"/>
        </w:rPr>
        <w:t>4.2.1-3</w:t>
      </w:r>
      <w:r>
        <w:rPr>
          <w:color w:val="000000"/>
        </w:rPr>
        <w:t>。</w:t>
      </w:r>
    </w:p>
    <w:p w14:paraId="17355EAA">
      <w:pPr>
        <w:jc w:val="center"/>
        <w:rPr>
          <w:b/>
          <w:bCs/>
          <w:color w:val="000000"/>
          <w:szCs w:val="24"/>
        </w:rPr>
      </w:pPr>
      <w:r>
        <w:rPr>
          <w:color w:val="000000"/>
        </w:rPr>
        <w:t>表</w:t>
      </w:r>
      <w:r>
        <w:rPr>
          <w:color w:val="000000"/>
          <w:szCs w:val="24"/>
        </w:rPr>
        <w:t>4.2.1-3</w:t>
      </w:r>
      <w:r>
        <w:rPr>
          <w:color w:val="000000"/>
        </w:rPr>
        <w:t xml:space="preserve"> </w:t>
      </w:r>
      <w:r>
        <w:rPr>
          <w:color w:val="000000"/>
          <w:szCs w:val="24"/>
        </w:rPr>
        <w:t>估算模型计算结果表</w:t>
      </w:r>
    </w:p>
    <w:tbl>
      <w:tblPr>
        <w:tblStyle w:val="7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1993"/>
        <w:gridCol w:w="906"/>
        <w:gridCol w:w="1700"/>
        <w:gridCol w:w="1793"/>
        <w:gridCol w:w="807"/>
      </w:tblGrid>
      <w:tr w14:paraId="5642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71" w:type="pct"/>
            <w:vAlign w:val="center"/>
          </w:tcPr>
          <w:p w14:paraId="45EF5E7A">
            <w:pPr>
              <w:spacing w:line="220" w:lineRule="exact"/>
              <w:jc w:val="center"/>
              <w:rPr>
                <w:color w:val="000000"/>
                <w:sz w:val="21"/>
              </w:rPr>
            </w:pPr>
            <w:r>
              <w:rPr>
                <w:color w:val="000000"/>
                <w:sz w:val="21"/>
              </w:rPr>
              <w:t>污染源</w:t>
            </w:r>
          </w:p>
        </w:tc>
        <w:tc>
          <w:tcPr>
            <w:tcW w:w="1170" w:type="pct"/>
            <w:vAlign w:val="center"/>
          </w:tcPr>
          <w:p w14:paraId="23F3F8D0">
            <w:pPr>
              <w:spacing w:line="220" w:lineRule="exact"/>
              <w:jc w:val="center"/>
              <w:rPr>
                <w:color w:val="000000"/>
                <w:sz w:val="21"/>
              </w:rPr>
            </w:pPr>
            <w:r>
              <w:rPr>
                <w:color w:val="000000"/>
                <w:sz w:val="21"/>
              </w:rPr>
              <w:t>污染因子</w:t>
            </w:r>
          </w:p>
        </w:tc>
        <w:tc>
          <w:tcPr>
            <w:tcW w:w="532" w:type="pct"/>
            <w:vAlign w:val="center"/>
          </w:tcPr>
          <w:p w14:paraId="6CA6CE5D">
            <w:pPr>
              <w:spacing w:line="220" w:lineRule="exact"/>
              <w:jc w:val="center"/>
              <w:rPr>
                <w:color w:val="000000"/>
                <w:sz w:val="21"/>
              </w:rPr>
            </w:pPr>
            <w:r>
              <w:rPr>
                <w:color w:val="000000"/>
                <w:sz w:val="21"/>
              </w:rPr>
              <w:t>最大浓度落地点（m）</w:t>
            </w:r>
          </w:p>
        </w:tc>
        <w:tc>
          <w:tcPr>
            <w:tcW w:w="998" w:type="pct"/>
            <w:vAlign w:val="center"/>
          </w:tcPr>
          <w:p w14:paraId="0604D47C">
            <w:pPr>
              <w:spacing w:line="220" w:lineRule="exact"/>
              <w:jc w:val="center"/>
              <w:rPr>
                <w:color w:val="000000"/>
                <w:sz w:val="21"/>
              </w:rPr>
            </w:pPr>
            <w:r>
              <w:rPr>
                <w:color w:val="000000"/>
                <w:sz w:val="21"/>
              </w:rPr>
              <w:t>Cmax</w:t>
            </w:r>
          </w:p>
          <w:p w14:paraId="625AD0BA">
            <w:pPr>
              <w:spacing w:line="220" w:lineRule="exact"/>
              <w:jc w:val="center"/>
              <w:rPr>
                <w:color w:val="000000"/>
                <w:sz w:val="21"/>
              </w:rPr>
            </w:pPr>
            <w:r>
              <w:rPr>
                <w:color w:val="000000"/>
                <w:sz w:val="21"/>
              </w:rPr>
              <w:t>（μg/m</w:t>
            </w:r>
            <w:r>
              <w:rPr>
                <w:color w:val="000000"/>
                <w:sz w:val="21"/>
                <w:vertAlign w:val="superscript"/>
              </w:rPr>
              <w:t>3</w:t>
            </w:r>
            <w:r>
              <w:rPr>
                <w:color w:val="000000"/>
                <w:sz w:val="21"/>
              </w:rPr>
              <w:t>）</w:t>
            </w:r>
          </w:p>
        </w:tc>
        <w:tc>
          <w:tcPr>
            <w:tcW w:w="1053" w:type="pct"/>
            <w:vAlign w:val="center"/>
          </w:tcPr>
          <w:p w14:paraId="0755ACF8">
            <w:pPr>
              <w:spacing w:line="220" w:lineRule="exact"/>
              <w:jc w:val="center"/>
              <w:rPr>
                <w:color w:val="000000"/>
                <w:sz w:val="21"/>
              </w:rPr>
            </w:pPr>
            <w:r>
              <w:rPr>
                <w:color w:val="000000"/>
                <w:sz w:val="21"/>
              </w:rPr>
              <w:t>标准值（μg/m</w:t>
            </w:r>
            <w:r>
              <w:rPr>
                <w:color w:val="000000"/>
                <w:sz w:val="21"/>
                <w:vertAlign w:val="superscript"/>
              </w:rPr>
              <w:t>3</w:t>
            </w:r>
            <w:r>
              <w:rPr>
                <w:color w:val="000000"/>
                <w:sz w:val="21"/>
              </w:rPr>
              <w:t>）</w:t>
            </w:r>
          </w:p>
        </w:tc>
        <w:tc>
          <w:tcPr>
            <w:tcW w:w="474" w:type="pct"/>
            <w:vAlign w:val="center"/>
          </w:tcPr>
          <w:p w14:paraId="1D3F150A">
            <w:pPr>
              <w:spacing w:line="220" w:lineRule="exact"/>
              <w:jc w:val="center"/>
              <w:rPr>
                <w:color w:val="000000"/>
                <w:sz w:val="21"/>
              </w:rPr>
            </w:pPr>
            <w:r>
              <w:rPr>
                <w:color w:val="000000"/>
                <w:sz w:val="21"/>
              </w:rPr>
              <w:t>Pi%</w:t>
            </w:r>
          </w:p>
        </w:tc>
      </w:tr>
      <w:tr w14:paraId="0D31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71" w:type="pct"/>
            <w:vMerge w:val="restart"/>
            <w:vAlign w:val="center"/>
          </w:tcPr>
          <w:p w14:paraId="54F1A689">
            <w:pPr>
              <w:spacing w:line="220" w:lineRule="exact"/>
              <w:ind w:firstLine="420" w:firstLineChars="200"/>
              <w:jc w:val="center"/>
              <w:rPr>
                <w:color w:val="000000"/>
                <w:sz w:val="21"/>
              </w:rPr>
            </w:pPr>
            <w:r>
              <w:rPr>
                <w:color w:val="000000"/>
                <w:sz w:val="21"/>
              </w:rPr>
              <w:t>火炬</w:t>
            </w:r>
          </w:p>
        </w:tc>
        <w:tc>
          <w:tcPr>
            <w:tcW w:w="1170" w:type="pct"/>
            <w:vAlign w:val="center"/>
          </w:tcPr>
          <w:p w14:paraId="70A55610">
            <w:pPr>
              <w:tabs>
                <w:tab w:val="left" w:pos="2310"/>
              </w:tabs>
              <w:spacing w:line="240" w:lineRule="atLeast"/>
              <w:jc w:val="center"/>
              <w:textAlignment w:val="center"/>
              <w:rPr>
                <w:color w:val="000000"/>
                <w:sz w:val="21"/>
              </w:rPr>
            </w:pPr>
            <w:r>
              <w:rPr>
                <w:color w:val="000000"/>
                <w:sz w:val="18"/>
                <w:szCs w:val="18"/>
              </w:rPr>
              <w:t>SO</w:t>
            </w:r>
            <w:r>
              <w:rPr>
                <w:color w:val="000000"/>
                <w:sz w:val="18"/>
                <w:szCs w:val="18"/>
                <w:vertAlign w:val="subscript"/>
              </w:rPr>
              <w:t>2</w:t>
            </w:r>
          </w:p>
        </w:tc>
        <w:tc>
          <w:tcPr>
            <w:tcW w:w="532" w:type="pct"/>
            <w:vAlign w:val="center"/>
          </w:tcPr>
          <w:p w14:paraId="229673D3">
            <w:pPr>
              <w:spacing w:line="220" w:lineRule="exact"/>
              <w:jc w:val="center"/>
              <w:rPr>
                <w:color w:val="000000"/>
                <w:sz w:val="21"/>
              </w:rPr>
            </w:pPr>
            <w:r>
              <w:rPr>
                <w:color w:val="000000"/>
                <w:sz w:val="21"/>
              </w:rPr>
              <w:t>577</w:t>
            </w:r>
          </w:p>
        </w:tc>
        <w:tc>
          <w:tcPr>
            <w:tcW w:w="998" w:type="pct"/>
            <w:vAlign w:val="center"/>
          </w:tcPr>
          <w:p w14:paraId="2D594979">
            <w:pPr>
              <w:spacing w:line="220" w:lineRule="exact"/>
              <w:jc w:val="center"/>
              <w:rPr>
                <w:color w:val="000000"/>
                <w:sz w:val="21"/>
              </w:rPr>
            </w:pPr>
            <w:r>
              <w:rPr>
                <w:color w:val="000000"/>
                <w:sz w:val="21"/>
              </w:rPr>
              <w:t>0.0478</w:t>
            </w:r>
          </w:p>
        </w:tc>
        <w:tc>
          <w:tcPr>
            <w:tcW w:w="1053" w:type="pct"/>
            <w:vAlign w:val="center"/>
          </w:tcPr>
          <w:p w14:paraId="64EFA2AE">
            <w:pPr>
              <w:spacing w:line="220" w:lineRule="exact"/>
              <w:jc w:val="center"/>
              <w:rPr>
                <w:color w:val="000000"/>
                <w:sz w:val="21"/>
              </w:rPr>
            </w:pPr>
            <w:r>
              <w:rPr>
                <w:color w:val="000000"/>
                <w:sz w:val="21"/>
              </w:rPr>
              <w:t>500</w:t>
            </w:r>
          </w:p>
        </w:tc>
        <w:tc>
          <w:tcPr>
            <w:tcW w:w="474" w:type="pct"/>
            <w:vAlign w:val="center"/>
          </w:tcPr>
          <w:p w14:paraId="6BAC0EF3">
            <w:pPr>
              <w:spacing w:line="220" w:lineRule="exact"/>
              <w:jc w:val="center"/>
              <w:rPr>
                <w:color w:val="000000"/>
                <w:sz w:val="21"/>
              </w:rPr>
            </w:pPr>
            <w:r>
              <w:rPr>
                <w:color w:val="000000"/>
                <w:sz w:val="21"/>
              </w:rPr>
              <w:t>0.01</w:t>
            </w:r>
          </w:p>
        </w:tc>
      </w:tr>
      <w:tr w14:paraId="5548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1" w:type="pct"/>
            <w:vMerge w:val="continue"/>
            <w:vAlign w:val="center"/>
          </w:tcPr>
          <w:p w14:paraId="72B0B21C">
            <w:pPr>
              <w:spacing w:line="220" w:lineRule="exact"/>
              <w:ind w:firstLine="420" w:firstLineChars="200"/>
              <w:jc w:val="center"/>
              <w:rPr>
                <w:color w:val="000000"/>
                <w:sz w:val="21"/>
              </w:rPr>
            </w:pPr>
          </w:p>
        </w:tc>
        <w:tc>
          <w:tcPr>
            <w:tcW w:w="1170" w:type="pct"/>
            <w:vAlign w:val="center"/>
          </w:tcPr>
          <w:p w14:paraId="33D101B9">
            <w:pPr>
              <w:tabs>
                <w:tab w:val="left" w:pos="2310"/>
              </w:tabs>
              <w:spacing w:line="240" w:lineRule="atLeast"/>
              <w:jc w:val="center"/>
              <w:textAlignment w:val="center"/>
              <w:rPr>
                <w:color w:val="000000"/>
                <w:sz w:val="21"/>
              </w:rPr>
            </w:pPr>
            <w:r>
              <w:rPr>
                <w:color w:val="000000"/>
                <w:sz w:val="18"/>
                <w:szCs w:val="18"/>
              </w:rPr>
              <w:t>NO</w:t>
            </w:r>
            <w:r>
              <w:rPr>
                <w:rFonts w:hint="eastAsia"/>
                <w:color w:val="000000"/>
                <w:sz w:val="18"/>
                <w:szCs w:val="18"/>
                <w:vertAlign w:val="subscript"/>
              </w:rPr>
              <w:t>x</w:t>
            </w:r>
          </w:p>
        </w:tc>
        <w:tc>
          <w:tcPr>
            <w:tcW w:w="532" w:type="pct"/>
            <w:vAlign w:val="center"/>
          </w:tcPr>
          <w:p w14:paraId="28D1BA47">
            <w:pPr>
              <w:spacing w:line="220" w:lineRule="exact"/>
              <w:jc w:val="center"/>
              <w:rPr>
                <w:color w:val="000000"/>
                <w:sz w:val="21"/>
              </w:rPr>
            </w:pPr>
            <w:r>
              <w:rPr>
                <w:color w:val="000000"/>
                <w:sz w:val="21"/>
              </w:rPr>
              <w:t>577</w:t>
            </w:r>
          </w:p>
        </w:tc>
        <w:tc>
          <w:tcPr>
            <w:tcW w:w="998" w:type="pct"/>
            <w:vAlign w:val="center"/>
          </w:tcPr>
          <w:p w14:paraId="5AA266F9">
            <w:pPr>
              <w:spacing w:line="220" w:lineRule="exact"/>
              <w:jc w:val="center"/>
              <w:rPr>
                <w:color w:val="000000"/>
                <w:sz w:val="21"/>
              </w:rPr>
            </w:pPr>
            <w:r>
              <w:rPr>
                <w:color w:val="000000"/>
                <w:sz w:val="21"/>
              </w:rPr>
              <w:t>0.287</w:t>
            </w:r>
          </w:p>
        </w:tc>
        <w:tc>
          <w:tcPr>
            <w:tcW w:w="1053" w:type="pct"/>
            <w:vAlign w:val="center"/>
          </w:tcPr>
          <w:p w14:paraId="20020493">
            <w:pPr>
              <w:spacing w:line="220" w:lineRule="exact"/>
              <w:jc w:val="center"/>
              <w:rPr>
                <w:color w:val="000000"/>
                <w:sz w:val="21"/>
              </w:rPr>
            </w:pPr>
            <w:r>
              <w:rPr>
                <w:color w:val="000000"/>
                <w:sz w:val="21"/>
              </w:rPr>
              <w:t>2</w:t>
            </w:r>
            <w:r>
              <w:rPr>
                <w:rFonts w:hint="eastAsia"/>
                <w:color w:val="000000"/>
                <w:sz w:val="21"/>
              </w:rPr>
              <w:t>50</w:t>
            </w:r>
          </w:p>
        </w:tc>
        <w:tc>
          <w:tcPr>
            <w:tcW w:w="474" w:type="pct"/>
            <w:vAlign w:val="center"/>
          </w:tcPr>
          <w:p w14:paraId="161DB0CB">
            <w:pPr>
              <w:spacing w:line="220" w:lineRule="exact"/>
              <w:jc w:val="center"/>
              <w:rPr>
                <w:color w:val="000000"/>
                <w:sz w:val="21"/>
              </w:rPr>
            </w:pPr>
            <w:r>
              <w:rPr>
                <w:color w:val="000000"/>
                <w:sz w:val="21"/>
              </w:rPr>
              <w:t>0.1</w:t>
            </w:r>
            <w:r>
              <w:rPr>
                <w:rFonts w:hint="eastAsia"/>
                <w:color w:val="000000"/>
                <w:sz w:val="21"/>
              </w:rPr>
              <w:t>1</w:t>
            </w:r>
          </w:p>
        </w:tc>
      </w:tr>
      <w:tr w14:paraId="6A47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71" w:type="pct"/>
            <w:vMerge w:val="continue"/>
            <w:vAlign w:val="center"/>
          </w:tcPr>
          <w:p w14:paraId="0978F95F">
            <w:pPr>
              <w:spacing w:line="220" w:lineRule="exact"/>
              <w:ind w:firstLine="420" w:firstLineChars="200"/>
              <w:jc w:val="center"/>
              <w:rPr>
                <w:color w:val="000000"/>
                <w:sz w:val="21"/>
              </w:rPr>
            </w:pPr>
          </w:p>
        </w:tc>
        <w:tc>
          <w:tcPr>
            <w:tcW w:w="1170" w:type="pct"/>
            <w:vAlign w:val="center"/>
          </w:tcPr>
          <w:p w14:paraId="490BEB00">
            <w:pPr>
              <w:tabs>
                <w:tab w:val="left" w:pos="2310"/>
              </w:tabs>
              <w:spacing w:line="240" w:lineRule="atLeast"/>
              <w:jc w:val="center"/>
              <w:textAlignment w:val="center"/>
              <w:rPr>
                <w:color w:val="000000"/>
                <w:sz w:val="21"/>
              </w:rPr>
            </w:pPr>
            <w:r>
              <w:rPr>
                <w:color w:val="000000"/>
                <w:sz w:val="18"/>
                <w:szCs w:val="18"/>
              </w:rPr>
              <w:t>PM</w:t>
            </w:r>
            <w:r>
              <w:rPr>
                <w:color w:val="000000"/>
                <w:sz w:val="18"/>
                <w:szCs w:val="18"/>
                <w:vertAlign w:val="subscript"/>
              </w:rPr>
              <w:t>10</w:t>
            </w:r>
          </w:p>
        </w:tc>
        <w:tc>
          <w:tcPr>
            <w:tcW w:w="532" w:type="pct"/>
            <w:vAlign w:val="center"/>
          </w:tcPr>
          <w:p w14:paraId="0CC61472">
            <w:pPr>
              <w:spacing w:line="220" w:lineRule="exact"/>
              <w:jc w:val="center"/>
              <w:rPr>
                <w:color w:val="000000"/>
                <w:sz w:val="21"/>
              </w:rPr>
            </w:pPr>
            <w:r>
              <w:rPr>
                <w:color w:val="000000"/>
                <w:sz w:val="21"/>
              </w:rPr>
              <w:t>577</w:t>
            </w:r>
          </w:p>
        </w:tc>
        <w:tc>
          <w:tcPr>
            <w:tcW w:w="998" w:type="pct"/>
            <w:vAlign w:val="center"/>
          </w:tcPr>
          <w:p w14:paraId="469EFA30">
            <w:pPr>
              <w:spacing w:line="220" w:lineRule="exact"/>
              <w:jc w:val="center"/>
              <w:rPr>
                <w:color w:val="000000"/>
                <w:sz w:val="21"/>
              </w:rPr>
            </w:pPr>
            <w:r>
              <w:rPr>
                <w:color w:val="000000"/>
                <w:sz w:val="21"/>
              </w:rPr>
              <w:t>0.0955</w:t>
            </w:r>
          </w:p>
        </w:tc>
        <w:tc>
          <w:tcPr>
            <w:tcW w:w="1053" w:type="pct"/>
            <w:vAlign w:val="center"/>
          </w:tcPr>
          <w:p w14:paraId="6160B0E7">
            <w:pPr>
              <w:spacing w:line="220" w:lineRule="exact"/>
              <w:jc w:val="center"/>
              <w:rPr>
                <w:color w:val="000000"/>
                <w:sz w:val="21"/>
              </w:rPr>
            </w:pPr>
            <w:r>
              <w:rPr>
                <w:color w:val="000000"/>
                <w:sz w:val="21"/>
              </w:rPr>
              <w:t>450</w:t>
            </w:r>
          </w:p>
        </w:tc>
        <w:tc>
          <w:tcPr>
            <w:tcW w:w="474" w:type="pct"/>
            <w:vAlign w:val="center"/>
          </w:tcPr>
          <w:p w14:paraId="546E85E7">
            <w:pPr>
              <w:spacing w:line="220" w:lineRule="exact"/>
              <w:jc w:val="center"/>
              <w:rPr>
                <w:color w:val="000000"/>
                <w:sz w:val="21"/>
              </w:rPr>
            </w:pPr>
            <w:r>
              <w:rPr>
                <w:color w:val="000000"/>
                <w:sz w:val="21"/>
              </w:rPr>
              <w:t>0.02</w:t>
            </w:r>
          </w:p>
        </w:tc>
      </w:tr>
    </w:tbl>
    <w:p w14:paraId="653ADE28">
      <w:pPr>
        <w:pStyle w:val="425"/>
        <w:widowControl w:val="0"/>
        <w:spacing w:line="360" w:lineRule="auto"/>
        <w:ind w:firstLine="420"/>
        <w:rPr>
          <w:rFonts w:cs="Times New Roman"/>
          <w:color w:val="000000"/>
          <w:sz w:val="21"/>
          <w:szCs w:val="21"/>
        </w:rPr>
      </w:pPr>
      <w:r>
        <w:rPr>
          <w:rFonts w:cs="Times New Roman"/>
          <w:color w:val="000000"/>
          <w:szCs w:val="24"/>
        </w:rPr>
        <w:t>拟建项目排放的最大占标率为火炬排放</w:t>
      </w:r>
      <w:r>
        <w:rPr>
          <w:rFonts w:cs="Times New Roman"/>
          <w:color w:val="000000"/>
          <w:sz w:val="21"/>
          <w:szCs w:val="21"/>
        </w:rPr>
        <w:t>NO</w:t>
      </w:r>
      <w:r>
        <w:rPr>
          <w:rFonts w:hint="eastAsia" w:cs="Times New Roman"/>
          <w:color w:val="000000"/>
          <w:szCs w:val="24"/>
          <w:vertAlign w:val="subscript"/>
        </w:rPr>
        <w:t xml:space="preserve">X </w:t>
      </w:r>
      <w:r>
        <w:rPr>
          <w:rFonts w:cs="Times New Roman"/>
          <w:color w:val="000000"/>
          <w:szCs w:val="24"/>
        </w:rPr>
        <w:t>Pi=0.1</w:t>
      </w:r>
      <w:r>
        <w:rPr>
          <w:rFonts w:hint="eastAsia" w:cs="Times New Roman"/>
          <w:color w:val="000000"/>
          <w:szCs w:val="24"/>
        </w:rPr>
        <w:t>1</w:t>
      </w:r>
      <w:r>
        <w:rPr>
          <w:rFonts w:cs="Times New Roman"/>
          <w:color w:val="000000"/>
          <w:szCs w:val="24"/>
        </w:rPr>
        <w:t>%&lt;1%，由于拟建项目为化工行业多源项目且编制环境影响报告书，</w:t>
      </w:r>
      <w:r>
        <w:rPr>
          <w:rFonts w:cs="Times New Roman"/>
          <w:color w:val="000000"/>
        </w:rPr>
        <w:t>按照《环境影响评价技术导则-大气环境》（HJ2.2-2018），确定项目大气评价等级定为二级，空气评价范围为以火炬源为中心边长5km的矩形区域。</w:t>
      </w:r>
    </w:p>
    <w:p w14:paraId="521AA451">
      <w:pPr>
        <w:widowControl w:val="0"/>
        <w:ind w:firstLine="482"/>
        <w:rPr>
          <w:color w:val="000000"/>
          <w:kern w:val="0"/>
          <w:szCs w:val="24"/>
        </w:rPr>
      </w:pPr>
      <w:r>
        <w:rPr>
          <w:color w:val="000000"/>
          <w:kern w:val="0"/>
          <w:szCs w:val="24"/>
        </w:rPr>
        <w:t>（4）大气环境保护距离</w:t>
      </w:r>
    </w:p>
    <w:p w14:paraId="7951F826">
      <w:pPr>
        <w:widowControl w:val="0"/>
        <w:ind w:firstLine="482"/>
        <w:rPr>
          <w:color w:val="000000"/>
          <w:kern w:val="0"/>
          <w:szCs w:val="24"/>
        </w:rPr>
      </w:pPr>
      <w:r>
        <w:rPr>
          <w:color w:val="000000"/>
          <w:kern w:val="0"/>
          <w:szCs w:val="24"/>
        </w:rPr>
        <w:t>大气防护距离是指为保护人群健康，减少正常排放条件下大气污染物对居住区的环境影响，在项目厂界以外设置的环境防护距离。根据《环境影响评价技术导则 大气环境》（HJ2.2-2018），项目无需设置大气环境防护距离。</w:t>
      </w:r>
    </w:p>
    <w:p w14:paraId="4FB313AF">
      <w:pPr>
        <w:keepNext/>
        <w:keepLines/>
        <w:ind w:firstLine="470" w:firstLineChars="196"/>
        <w:jc w:val="both"/>
        <w:rPr>
          <w:color w:val="000000"/>
        </w:rPr>
      </w:pPr>
      <w:r>
        <w:rPr>
          <w:color w:val="000000"/>
          <w:szCs w:val="24"/>
        </w:rPr>
        <w:t>（5）大气污染物排放量核算</w:t>
      </w:r>
    </w:p>
    <w:p w14:paraId="28AD2BDC">
      <w:pPr>
        <w:ind w:firstLine="480" w:firstLineChars="200"/>
        <w:jc w:val="both"/>
        <w:rPr>
          <w:color w:val="000000"/>
          <w:szCs w:val="24"/>
        </w:rPr>
      </w:pPr>
      <w:r>
        <w:rPr>
          <w:color w:val="000000"/>
          <w:szCs w:val="24"/>
        </w:rPr>
        <w:t>拟建项目大气污染物排放量核算详见表4.2.1-4表4.2.1-5。</w:t>
      </w:r>
    </w:p>
    <w:p w14:paraId="615A8FAC">
      <w:pPr>
        <w:jc w:val="center"/>
        <w:rPr>
          <w:b/>
          <w:bCs/>
          <w:color w:val="000000"/>
        </w:rPr>
      </w:pPr>
    </w:p>
    <w:p w14:paraId="58D55C0C">
      <w:pPr>
        <w:jc w:val="center"/>
        <w:rPr>
          <w:color w:val="000000"/>
        </w:rPr>
      </w:pPr>
      <w:r>
        <w:rPr>
          <w:color w:val="000000"/>
        </w:rPr>
        <w:t>表</w:t>
      </w:r>
      <w:r>
        <w:rPr>
          <w:color w:val="000000"/>
          <w:szCs w:val="24"/>
        </w:rPr>
        <w:t>4.2.1-4 项目主要大气污染物有组织排放量核算表</w:t>
      </w:r>
    </w:p>
    <w:tbl>
      <w:tblPr>
        <w:tblStyle w:val="73"/>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722"/>
        <w:gridCol w:w="1301"/>
        <w:gridCol w:w="1604"/>
        <w:gridCol w:w="1593"/>
        <w:gridCol w:w="1713"/>
        <w:gridCol w:w="1567"/>
      </w:tblGrid>
      <w:tr w14:paraId="71057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2" w:hRule="atLeast"/>
          <w:jc w:val="center"/>
        </w:trPr>
        <w:tc>
          <w:tcPr>
            <w:tcW w:w="722" w:type="dxa"/>
            <w:vMerge w:val="restart"/>
            <w:tcBorders>
              <w:bottom w:val="single" w:color="000000" w:sz="4" w:space="0"/>
              <w:right w:val="single" w:color="000000" w:sz="4" w:space="0"/>
            </w:tcBorders>
            <w:vAlign w:val="center"/>
          </w:tcPr>
          <w:p w14:paraId="1C24BABC">
            <w:pPr>
              <w:pStyle w:val="407"/>
              <w:rPr>
                <w:rFonts w:ascii="Times New Roman" w:hAnsi="Times New Roman"/>
                <w:color w:val="000000"/>
                <w:szCs w:val="21"/>
              </w:rPr>
            </w:pPr>
            <w:r>
              <w:rPr>
                <w:rFonts w:ascii="Times New Roman" w:hAnsi="Times New Roman"/>
                <w:color w:val="000000"/>
                <w:szCs w:val="21"/>
              </w:rPr>
              <w:t>序号</w:t>
            </w:r>
          </w:p>
        </w:tc>
        <w:tc>
          <w:tcPr>
            <w:tcW w:w="1301" w:type="dxa"/>
            <w:vMerge w:val="restart"/>
            <w:tcBorders>
              <w:left w:val="single" w:color="000000" w:sz="4" w:space="0"/>
              <w:bottom w:val="single" w:color="000000" w:sz="4" w:space="0"/>
              <w:right w:val="single" w:color="000000" w:sz="4" w:space="0"/>
            </w:tcBorders>
            <w:vAlign w:val="center"/>
          </w:tcPr>
          <w:p w14:paraId="059C7B36">
            <w:pPr>
              <w:pStyle w:val="407"/>
              <w:rPr>
                <w:rFonts w:ascii="Times New Roman" w:hAnsi="Times New Roman"/>
                <w:color w:val="000000"/>
                <w:szCs w:val="21"/>
              </w:rPr>
            </w:pPr>
            <w:r>
              <w:rPr>
                <w:rFonts w:ascii="Times New Roman" w:hAnsi="Times New Roman"/>
                <w:color w:val="000000"/>
                <w:szCs w:val="21"/>
              </w:rPr>
              <w:t>排放口编号</w:t>
            </w:r>
          </w:p>
        </w:tc>
        <w:tc>
          <w:tcPr>
            <w:tcW w:w="1604" w:type="dxa"/>
            <w:vMerge w:val="restart"/>
            <w:tcBorders>
              <w:left w:val="single" w:color="000000" w:sz="4" w:space="0"/>
              <w:bottom w:val="single" w:color="000000" w:sz="4" w:space="0"/>
              <w:right w:val="single" w:color="000000" w:sz="4" w:space="0"/>
            </w:tcBorders>
            <w:vAlign w:val="center"/>
          </w:tcPr>
          <w:p w14:paraId="4E5D3E93">
            <w:pPr>
              <w:pStyle w:val="407"/>
              <w:rPr>
                <w:rFonts w:ascii="Times New Roman" w:hAnsi="Times New Roman"/>
                <w:color w:val="000000"/>
                <w:szCs w:val="21"/>
              </w:rPr>
            </w:pPr>
            <w:r>
              <w:rPr>
                <w:rFonts w:ascii="Times New Roman" w:hAnsi="Times New Roman"/>
                <w:color w:val="000000"/>
                <w:szCs w:val="21"/>
              </w:rPr>
              <w:t>污染物</w:t>
            </w:r>
          </w:p>
        </w:tc>
        <w:tc>
          <w:tcPr>
            <w:tcW w:w="1593" w:type="dxa"/>
            <w:vMerge w:val="restart"/>
            <w:tcBorders>
              <w:left w:val="single" w:color="000000" w:sz="4" w:space="0"/>
              <w:bottom w:val="single" w:color="000000" w:sz="4" w:space="0"/>
              <w:right w:val="single" w:color="000000" w:sz="4" w:space="0"/>
            </w:tcBorders>
            <w:vAlign w:val="center"/>
          </w:tcPr>
          <w:p w14:paraId="2126C1F5">
            <w:pPr>
              <w:pStyle w:val="407"/>
              <w:rPr>
                <w:rFonts w:ascii="Times New Roman" w:hAnsi="Times New Roman"/>
                <w:color w:val="000000"/>
                <w:szCs w:val="21"/>
              </w:rPr>
            </w:pPr>
            <w:r>
              <w:rPr>
                <w:rFonts w:ascii="Times New Roman" w:hAnsi="Times New Roman"/>
                <w:color w:val="000000"/>
                <w:szCs w:val="21"/>
              </w:rPr>
              <w:t>核算排放浓度限值/（mg/m3）</w:t>
            </w:r>
          </w:p>
        </w:tc>
        <w:tc>
          <w:tcPr>
            <w:tcW w:w="1713" w:type="dxa"/>
            <w:vMerge w:val="restart"/>
            <w:tcBorders>
              <w:left w:val="single" w:color="000000" w:sz="4" w:space="0"/>
              <w:bottom w:val="single" w:color="000000" w:sz="4" w:space="0"/>
              <w:right w:val="single" w:color="000000" w:sz="4" w:space="0"/>
            </w:tcBorders>
            <w:vAlign w:val="center"/>
          </w:tcPr>
          <w:p w14:paraId="613A156A">
            <w:pPr>
              <w:spacing w:line="220" w:lineRule="exact"/>
              <w:jc w:val="center"/>
              <w:rPr>
                <w:color w:val="000000"/>
                <w:sz w:val="21"/>
              </w:rPr>
            </w:pPr>
            <w:r>
              <w:rPr>
                <w:color w:val="000000"/>
                <w:sz w:val="21"/>
              </w:rPr>
              <w:t>核算排放速率限值/（kg/h）</w:t>
            </w:r>
          </w:p>
        </w:tc>
        <w:tc>
          <w:tcPr>
            <w:tcW w:w="1567" w:type="dxa"/>
            <w:vMerge w:val="restart"/>
            <w:tcBorders>
              <w:left w:val="single" w:color="000000" w:sz="4" w:space="0"/>
              <w:bottom w:val="single" w:color="000000" w:sz="4" w:space="0"/>
            </w:tcBorders>
            <w:vAlign w:val="center"/>
          </w:tcPr>
          <w:p w14:paraId="66E2CC04">
            <w:pPr>
              <w:spacing w:line="220" w:lineRule="exact"/>
              <w:jc w:val="center"/>
              <w:rPr>
                <w:color w:val="000000"/>
                <w:sz w:val="21"/>
              </w:rPr>
            </w:pPr>
            <w:r>
              <w:rPr>
                <w:color w:val="000000"/>
                <w:sz w:val="21"/>
              </w:rPr>
              <w:t>核算年排放量/（t/a）</w:t>
            </w:r>
          </w:p>
        </w:tc>
      </w:tr>
      <w:tr w14:paraId="4010E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2" w:hRule="atLeast"/>
          <w:jc w:val="center"/>
        </w:trPr>
        <w:tc>
          <w:tcPr>
            <w:tcW w:w="722" w:type="dxa"/>
            <w:vMerge w:val="continue"/>
            <w:tcBorders>
              <w:top w:val="single" w:color="000000" w:sz="4" w:space="0"/>
              <w:bottom w:val="single" w:color="000000" w:sz="4" w:space="0"/>
              <w:right w:val="single" w:color="000000" w:sz="4" w:space="0"/>
            </w:tcBorders>
            <w:vAlign w:val="center"/>
          </w:tcPr>
          <w:p w14:paraId="1DB5C077">
            <w:pPr>
              <w:pStyle w:val="407"/>
              <w:rPr>
                <w:rFonts w:ascii="Times New Roman" w:hAnsi="Times New Roman"/>
                <w:color w:val="000000"/>
                <w:szCs w:val="21"/>
              </w:rPr>
            </w:pPr>
          </w:p>
        </w:tc>
        <w:tc>
          <w:tcPr>
            <w:tcW w:w="1301" w:type="dxa"/>
            <w:vMerge w:val="continue"/>
            <w:tcBorders>
              <w:top w:val="single" w:color="000000" w:sz="4" w:space="0"/>
              <w:left w:val="single" w:color="000000" w:sz="4" w:space="0"/>
              <w:bottom w:val="single" w:color="000000" w:sz="4" w:space="0"/>
              <w:right w:val="single" w:color="000000" w:sz="4" w:space="0"/>
            </w:tcBorders>
            <w:vAlign w:val="center"/>
          </w:tcPr>
          <w:p w14:paraId="2B0200E0">
            <w:pPr>
              <w:pStyle w:val="407"/>
              <w:rPr>
                <w:rFonts w:ascii="Times New Roman" w:hAnsi="Times New Roman"/>
                <w:color w:val="000000"/>
                <w:szCs w:val="21"/>
              </w:rPr>
            </w:pPr>
          </w:p>
        </w:tc>
        <w:tc>
          <w:tcPr>
            <w:tcW w:w="1604" w:type="dxa"/>
            <w:vMerge w:val="continue"/>
            <w:tcBorders>
              <w:top w:val="single" w:color="000000" w:sz="4" w:space="0"/>
              <w:left w:val="single" w:color="000000" w:sz="4" w:space="0"/>
              <w:bottom w:val="single" w:color="000000" w:sz="4" w:space="0"/>
              <w:right w:val="single" w:color="000000" w:sz="4" w:space="0"/>
            </w:tcBorders>
            <w:vAlign w:val="center"/>
          </w:tcPr>
          <w:p w14:paraId="03D70C01">
            <w:pPr>
              <w:pStyle w:val="407"/>
              <w:rPr>
                <w:rFonts w:ascii="Times New Roman" w:hAnsi="Times New Roman"/>
                <w:color w:val="000000"/>
                <w:szCs w:val="21"/>
              </w:rPr>
            </w:pPr>
          </w:p>
        </w:tc>
        <w:tc>
          <w:tcPr>
            <w:tcW w:w="1593" w:type="dxa"/>
            <w:vMerge w:val="continue"/>
            <w:tcBorders>
              <w:top w:val="single" w:color="000000" w:sz="4" w:space="0"/>
              <w:left w:val="single" w:color="000000" w:sz="4" w:space="0"/>
              <w:bottom w:val="single" w:color="000000" w:sz="4" w:space="0"/>
              <w:right w:val="single" w:color="000000" w:sz="4" w:space="0"/>
            </w:tcBorders>
            <w:vAlign w:val="center"/>
          </w:tcPr>
          <w:p w14:paraId="3E8A6ECB">
            <w:pPr>
              <w:pStyle w:val="407"/>
              <w:rPr>
                <w:rFonts w:ascii="Times New Roman" w:hAnsi="Times New Roman"/>
                <w:color w:val="000000"/>
                <w:szCs w:val="21"/>
              </w:rPr>
            </w:pPr>
          </w:p>
        </w:tc>
        <w:tc>
          <w:tcPr>
            <w:tcW w:w="1713" w:type="dxa"/>
            <w:vMerge w:val="continue"/>
            <w:tcBorders>
              <w:top w:val="single" w:color="000000" w:sz="4" w:space="0"/>
              <w:left w:val="single" w:color="000000" w:sz="4" w:space="0"/>
              <w:bottom w:val="single" w:color="000000" w:sz="4" w:space="0"/>
              <w:right w:val="single" w:color="000000" w:sz="4" w:space="0"/>
            </w:tcBorders>
            <w:vAlign w:val="center"/>
          </w:tcPr>
          <w:p w14:paraId="0D24CE49">
            <w:pPr>
              <w:spacing w:line="220" w:lineRule="exact"/>
              <w:jc w:val="center"/>
              <w:rPr>
                <w:color w:val="000000"/>
                <w:sz w:val="21"/>
              </w:rPr>
            </w:pPr>
          </w:p>
        </w:tc>
        <w:tc>
          <w:tcPr>
            <w:tcW w:w="1567" w:type="dxa"/>
            <w:vMerge w:val="continue"/>
            <w:tcBorders>
              <w:top w:val="single" w:color="000000" w:sz="4" w:space="0"/>
              <w:left w:val="single" w:color="000000" w:sz="4" w:space="0"/>
              <w:bottom w:val="single" w:color="000000" w:sz="4" w:space="0"/>
            </w:tcBorders>
            <w:vAlign w:val="center"/>
          </w:tcPr>
          <w:p w14:paraId="4402C0C5">
            <w:pPr>
              <w:spacing w:line="220" w:lineRule="exact"/>
              <w:jc w:val="center"/>
              <w:rPr>
                <w:color w:val="000000"/>
                <w:sz w:val="21"/>
              </w:rPr>
            </w:pPr>
          </w:p>
        </w:tc>
      </w:tr>
      <w:tr w14:paraId="7611C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25" w:hRule="atLeast"/>
          <w:jc w:val="center"/>
        </w:trPr>
        <w:tc>
          <w:tcPr>
            <w:tcW w:w="8500" w:type="dxa"/>
            <w:gridSpan w:val="6"/>
            <w:tcBorders>
              <w:top w:val="single" w:color="000000" w:sz="4" w:space="0"/>
              <w:bottom w:val="single" w:color="000000" w:sz="4" w:space="0"/>
            </w:tcBorders>
            <w:vAlign w:val="center"/>
          </w:tcPr>
          <w:p w14:paraId="7CA827B1">
            <w:pPr>
              <w:spacing w:line="220" w:lineRule="exact"/>
              <w:jc w:val="center"/>
              <w:rPr>
                <w:color w:val="000000"/>
                <w:sz w:val="21"/>
              </w:rPr>
            </w:pPr>
            <w:r>
              <w:rPr>
                <w:color w:val="000000"/>
                <w:sz w:val="21"/>
              </w:rPr>
              <w:t>主要排放口</w:t>
            </w:r>
          </w:p>
        </w:tc>
      </w:tr>
      <w:tr w14:paraId="3ADD9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722" w:type="dxa"/>
            <w:vMerge w:val="restart"/>
            <w:tcBorders>
              <w:top w:val="single" w:color="000000" w:sz="4" w:space="0"/>
              <w:right w:val="single" w:color="000000" w:sz="4" w:space="0"/>
            </w:tcBorders>
            <w:vAlign w:val="center"/>
          </w:tcPr>
          <w:p w14:paraId="2C21F730">
            <w:pPr>
              <w:spacing w:line="220" w:lineRule="exact"/>
              <w:jc w:val="center"/>
              <w:rPr>
                <w:color w:val="000000"/>
                <w:sz w:val="21"/>
              </w:rPr>
            </w:pPr>
            <w:r>
              <w:rPr>
                <w:color w:val="000000"/>
                <w:sz w:val="21"/>
              </w:rPr>
              <w:t>1</w:t>
            </w:r>
          </w:p>
        </w:tc>
        <w:tc>
          <w:tcPr>
            <w:tcW w:w="1301" w:type="dxa"/>
            <w:vMerge w:val="restart"/>
            <w:tcBorders>
              <w:top w:val="single" w:color="000000" w:sz="4" w:space="0"/>
              <w:left w:val="single" w:color="000000" w:sz="4" w:space="0"/>
              <w:right w:val="single" w:color="000000" w:sz="4" w:space="0"/>
            </w:tcBorders>
            <w:vAlign w:val="center"/>
          </w:tcPr>
          <w:p w14:paraId="3AAF1757">
            <w:pPr>
              <w:spacing w:line="220" w:lineRule="exact"/>
              <w:jc w:val="center"/>
              <w:rPr>
                <w:color w:val="000000"/>
                <w:sz w:val="21"/>
              </w:rPr>
            </w:pPr>
            <w:r>
              <w:rPr>
                <w:color w:val="000000"/>
                <w:sz w:val="21"/>
              </w:rPr>
              <w:t>火炬</w:t>
            </w:r>
          </w:p>
        </w:tc>
        <w:tc>
          <w:tcPr>
            <w:tcW w:w="1604" w:type="dxa"/>
            <w:tcBorders>
              <w:top w:val="single" w:color="000000" w:sz="4" w:space="0"/>
              <w:left w:val="single" w:color="000000" w:sz="4" w:space="0"/>
              <w:bottom w:val="single" w:color="000000" w:sz="4" w:space="0"/>
              <w:right w:val="single" w:color="000000" w:sz="4" w:space="0"/>
            </w:tcBorders>
            <w:vAlign w:val="center"/>
          </w:tcPr>
          <w:p w14:paraId="3E54FAE5">
            <w:pPr>
              <w:pStyle w:val="12"/>
              <w:spacing w:line="240" w:lineRule="auto"/>
              <w:rPr>
                <w:color w:val="000000"/>
                <w:sz w:val="21"/>
                <w:szCs w:val="21"/>
              </w:rPr>
            </w:pPr>
            <w:r>
              <w:rPr>
                <w:color w:val="000000"/>
                <w:sz w:val="21"/>
                <w:szCs w:val="21"/>
              </w:rPr>
              <w:t>颗粒物</w:t>
            </w:r>
          </w:p>
        </w:tc>
        <w:tc>
          <w:tcPr>
            <w:tcW w:w="1593" w:type="dxa"/>
            <w:tcBorders>
              <w:top w:val="single" w:color="000000" w:sz="4" w:space="0"/>
              <w:left w:val="single" w:color="000000" w:sz="4" w:space="0"/>
              <w:bottom w:val="single" w:color="000000" w:sz="4" w:space="0"/>
              <w:right w:val="single" w:color="000000" w:sz="4" w:space="0"/>
            </w:tcBorders>
            <w:vAlign w:val="center"/>
          </w:tcPr>
          <w:p w14:paraId="519939F3">
            <w:pPr>
              <w:jc w:val="center"/>
              <w:textAlignment w:val="center"/>
              <w:rPr>
                <w:color w:val="000000"/>
                <w:sz w:val="21"/>
              </w:rPr>
            </w:pPr>
            <w:r>
              <w:rPr>
                <w:color w:val="000000"/>
                <w:sz w:val="21"/>
              </w:rPr>
              <w:t>20</w:t>
            </w:r>
          </w:p>
        </w:tc>
        <w:tc>
          <w:tcPr>
            <w:tcW w:w="1713" w:type="dxa"/>
            <w:tcBorders>
              <w:top w:val="single" w:color="000000" w:sz="4" w:space="0"/>
              <w:left w:val="single" w:color="000000" w:sz="4" w:space="0"/>
              <w:bottom w:val="single" w:color="000000" w:sz="4" w:space="0"/>
              <w:right w:val="single" w:color="000000" w:sz="4" w:space="0"/>
            </w:tcBorders>
            <w:vAlign w:val="center"/>
          </w:tcPr>
          <w:p w14:paraId="6F6DCFC2">
            <w:pPr>
              <w:spacing w:line="220" w:lineRule="exact"/>
              <w:jc w:val="center"/>
              <w:rPr>
                <w:color w:val="000000"/>
                <w:sz w:val="21"/>
              </w:rPr>
            </w:pPr>
            <w:r>
              <w:rPr>
                <w:color w:val="000000"/>
                <w:sz w:val="21"/>
              </w:rPr>
              <w:t>0.0075</w:t>
            </w:r>
          </w:p>
        </w:tc>
        <w:tc>
          <w:tcPr>
            <w:tcW w:w="1567" w:type="dxa"/>
            <w:tcBorders>
              <w:top w:val="single" w:color="000000" w:sz="4" w:space="0"/>
              <w:left w:val="single" w:color="000000" w:sz="4" w:space="0"/>
              <w:bottom w:val="single" w:color="000000" w:sz="4" w:space="0"/>
            </w:tcBorders>
            <w:vAlign w:val="center"/>
          </w:tcPr>
          <w:p w14:paraId="052A15D1">
            <w:pPr>
              <w:jc w:val="center"/>
              <w:textAlignment w:val="center"/>
              <w:rPr>
                <w:color w:val="000000"/>
                <w:sz w:val="21"/>
              </w:rPr>
            </w:pPr>
            <w:r>
              <w:rPr>
                <w:color w:val="000000"/>
                <w:kern w:val="0"/>
                <w:sz w:val="21"/>
              </w:rPr>
              <w:t>0.06</w:t>
            </w:r>
          </w:p>
        </w:tc>
      </w:tr>
      <w:tr w14:paraId="543B9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722" w:type="dxa"/>
            <w:vMerge w:val="continue"/>
            <w:tcBorders>
              <w:right w:val="single" w:color="000000" w:sz="4" w:space="0"/>
            </w:tcBorders>
            <w:vAlign w:val="center"/>
          </w:tcPr>
          <w:p w14:paraId="11A822BC">
            <w:pPr>
              <w:spacing w:line="220" w:lineRule="exact"/>
              <w:jc w:val="center"/>
              <w:rPr>
                <w:color w:val="000000"/>
                <w:sz w:val="21"/>
              </w:rPr>
            </w:pPr>
          </w:p>
        </w:tc>
        <w:tc>
          <w:tcPr>
            <w:tcW w:w="1301" w:type="dxa"/>
            <w:vMerge w:val="continue"/>
            <w:tcBorders>
              <w:left w:val="single" w:color="000000" w:sz="4" w:space="0"/>
              <w:right w:val="single" w:color="000000" w:sz="4" w:space="0"/>
            </w:tcBorders>
            <w:vAlign w:val="center"/>
          </w:tcPr>
          <w:p w14:paraId="0315704D">
            <w:pPr>
              <w:spacing w:line="220" w:lineRule="exact"/>
              <w:jc w:val="center"/>
              <w:rPr>
                <w:color w:val="000000"/>
                <w:sz w:val="21"/>
              </w:rPr>
            </w:pPr>
          </w:p>
        </w:tc>
        <w:tc>
          <w:tcPr>
            <w:tcW w:w="1604" w:type="dxa"/>
            <w:tcBorders>
              <w:top w:val="single" w:color="000000" w:sz="4" w:space="0"/>
              <w:left w:val="single" w:color="000000" w:sz="4" w:space="0"/>
              <w:bottom w:val="single" w:color="000000" w:sz="4" w:space="0"/>
              <w:right w:val="single" w:color="000000" w:sz="4" w:space="0"/>
            </w:tcBorders>
            <w:vAlign w:val="center"/>
          </w:tcPr>
          <w:p w14:paraId="62D674C2">
            <w:pPr>
              <w:pStyle w:val="12"/>
              <w:spacing w:line="240" w:lineRule="auto"/>
              <w:rPr>
                <w:color w:val="000000"/>
                <w:sz w:val="21"/>
                <w:szCs w:val="21"/>
              </w:rPr>
            </w:pPr>
            <w:r>
              <w:rPr>
                <w:color w:val="000000"/>
                <w:sz w:val="21"/>
                <w:szCs w:val="21"/>
              </w:rPr>
              <w:t>SO</w:t>
            </w:r>
            <w:r>
              <w:rPr>
                <w:color w:val="000000"/>
                <w:sz w:val="21"/>
                <w:szCs w:val="21"/>
                <w:vertAlign w:val="subscript"/>
              </w:rPr>
              <w:t>2</w:t>
            </w:r>
          </w:p>
        </w:tc>
        <w:tc>
          <w:tcPr>
            <w:tcW w:w="1593" w:type="dxa"/>
            <w:tcBorders>
              <w:top w:val="single" w:color="000000" w:sz="4" w:space="0"/>
              <w:left w:val="single" w:color="000000" w:sz="4" w:space="0"/>
              <w:bottom w:val="single" w:color="000000" w:sz="4" w:space="0"/>
              <w:right w:val="single" w:color="000000" w:sz="4" w:space="0"/>
            </w:tcBorders>
            <w:vAlign w:val="center"/>
          </w:tcPr>
          <w:p w14:paraId="7E31D4B7">
            <w:pPr>
              <w:jc w:val="center"/>
              <w:textAlignment w:val="center"/>
              <w:rPr>
                <w:color w:val="000000"/>
                <w:sz w:val="21"/>
              </w:rPr>
            </w:pPr>
            <w:r>
              <w:rPr>
                <w:color w:val="000000"/>
                <w:kern w:val="0"/>
                <w:sz w:val="21"/>
              </w:rPr>
              <w:t>8.79</w:t>
            </w:r>
          </w:p>
        </w:tc>
        <w:tc>
          <w:tcPr>
            <w:tcW w:w="1713" w:type="dxa"/>
            <w:tcBorders>
              <w:top w:val="single" w:color="000000" w:sz="4" w:space="0"/>
              <w:left w:val="single" w:color="000000" w:sz="4" w:space="0"/>
              <w:bottom w:val="single" w:color="000000" w:sz="4" w:space="0"/>
              <w:right w:val="single" w:color="000000" w:sz="4" w:space="0"/>
            </w:tcBorders>
            <w:vAlign w:val="center"/>
          </w:tcPr>
          <w:p w14:paraId="630E5534">
            <w:pPr>
              <w:spacing w:line="220" w:lineRule="exact"/>
              <w:jc w:val="center"/>
              <w:rPr>
                <w:color w:val="000000"/>
                <w:sz w:val="21"/>
              </w:rPr>
            </w:pPr>
            <w:r>
              <w:rPr>
                <w:color w:val="000000"/>
                <w:sz w:val="21"/>
              </w:rPr>
              <w:t>0.00375</w:t>
            </w:r>
          </w:p>
        </w:tc>
        <w:tc>
          <w:tcPr>
            <w:tcW w:w="1567" w:type="dxa"/>
            <w:tcBorders>
              <w:top w:val="single" w:color="000000" w:sz="4" w:space="0"/>
              <w:left w:val="single" w:color="000000" w:sz="4" w:space="0"/>
              <w:bottom w:val="single" w:color="000000" w:sz="4" w:space="0"/>
            </w:tcBorders>
            <w:vAlign w:val="center"/>
          </w:tcPr>
          <w:p w14:paraId="3C955EB5">
            <w:pPr>
              <w:jc w:val="center"/>
              <w:textAlignment w:val="center"/>
              <w:rPr>
                <w:color w:val="000000"/>
                <w:sz w:val="21"/>
              </w:rPr>
            </w:pPr>
            <w:r>
              <w:rPr>
                <w:color w:val="000000"/>
                <w:kern w:val="0"/>
                <w:sz w:val="21"/>
              </w:rPr>
              <w:t>0.03</w:t>
            </w:r>
          </w:p>
        </w:tc>
      </w:tr>
      <w:tr w14:paraId="5DD43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722" w:type="dxa"/>
            <w:vMerge w:val="continue"/>
            <w:tcBorders>
              <w:bottom w:val="single" w:color="000000" w:sz="4" w:space="0"/>
              <w:right w:val="single" w:color="000000" w:sz="4" w:space="0"/>
            </w:tcBorders>
            <w:vAlign w:val="center"/>
          </w:tcPr>
          <w:p w14:paraId="5E4CEAF6">
            <w:pPr>
              <w:spacing w:line="220" w:lineRule="exact"/>
              <w:jc w:val="center"/>
              <w:rPr>
                <w:color w:val="000000"/>
                <w:sz w:val="21"/>
              </w:rPr>
            </w:pPr>
          </w:p>
        </w:tc>
        <w:tc>
          <w:tcPr>
            <w:tcW w:w="1301" w:type="dxa"/>
            <w:vMerge w:val="continue"/>
            <w:tcBorders>
              <w:left w:val="single" w:color="000000" w:sz="4" w:space="0"/>
              <w:bottom w:val="single" w:color="000000" w:sz="4" w:space="0"/>
              <w:right w:val="single" w:color="000000" w:sz="4" w:space="0"/>
            </w:tcBorders>
            <w:vAlign w:val="center"/>
          </w:tcPr>
          <w:p w14:paraId="7BB7B0AC">
            <w:pPr>
              <w:spacing w:line="220" w:lineRule="exact"/>
              <w:jc w:val="center"/>
              <w:rPr>
                <w:color w:val="000000"/>
                <w:sz w:val="21"/>
              </w:rPr>
            </w:pPr>
          </w:p>
        </w:tc>
        <w:tc>
          <w:tcPr>
            <w:tcW w:w="1604" w:type="dxa"/>
            <w:tcBorders>
              <w:top w:val="single" w:color="000000" w:sz="4" w:space="0"/>
              <w:left w:val="single" w:color="000000" w:sz="4" w:space="0"/>
              <w:bottom w:val="single" w:color="000000" w:sz="4" w:space="0"/>
              <w:right w:val="single" w:color="000000" w:sz="4" w:space="0"/>
            </w:tcBorders>
            <w:vAlign w:val="center"/>
          </w:tcPr>
          <w:p w14:paraId="6374A8E0">
            <w:pPr>
              <w:pStyle w:val="12"/>
              <w:spacing w:line="240" w:lineRule="auto"/>
              <w:rPr>
                <w:color w:val="000000"/>
                <w:sz w:val="21"/>
                <w:szCs w:val="21"/>
              </w:rPr>
            </w:pPr>
            <w:r>
              <w:rPr>
                <w:color w:val="000000"/>
                <w:sz w:val="21"/>
                <w:szCs w:val="21"/>
              </w:rPr>
              <w:t>NO</w:t>
            </w:r>
            <w:r>
              <w:rPr>
                <w:rFonts w:hint="eastAsia"/>
                <w:color w:val="000000"/>
                <w:sz w:val="24"/>
                <w:szCs w:val="24"/>
                <w:vertAlign w:val="subscript"/>
              </w:rPr>
              <w:t>X</w:t>
            </w:r>
          </w:p>
        </w:tc>
        <w:tc>
          <w:tcPr>
            <w:tcW w:w="1593" w:type="dxa"/>
            <w:tcBorders>
              <w:top w:val="single" w:color="000000" w:sz="4" w:space="0"/>
              <w:left w:val="single" w:color="000000" w:sz="4" w:space="0"/>
              <w:bottom w:val="single" w:color="000000" w:sz="4" w:space="0"/>
              <w:right w:val="single" w:color="000000" w:sz="4" w:space="0"/>
            </w:tcBorders>
            <w:vAlign w:val="center"/>
          </w:tcPr>
          <w:p w14:paraId="03D3092B">
            <w:pPr>
              <w:jc w:val="center"/>
              <w:textAlignment w:val="center"/>
              <w:rPr>
                <w:color w:val="000000"/>
                <w:sz w:val="21"/>
              </w:rPr>
            </w:pPr>
            <w:r>
              <w:rPr>
                <w:color w:val="000000"/>
                <w:kern w:val="0"/>
                <w:sz w:val="21"/>
              </w:rPr>
              <w:t>59.2</w:t>
            </w:r>
          </w:p>
        </w:tc>
        <w:tc>
          <w:tcPr>
            <w:tcW w:w="1713" w:type="dxa"/>
            <w:tcBorders>
              <w:top w:val="single" w:color="000000" w:sz="4" w:space="0"/>
              <w:left w:val="single" w:color="000000" w:sz="4" w:space="0"/>
              <w:bottom w:val="single" w:color="000000" w:sz="4" w:space="0"/>
              <w:right w:val="single" w:color="000000" w:sz="4" w:space="0"/>
            </w:tcBorders>
            <w:vAlign w:val="center"/>
          </w:tcPr>
          <w:p w14:paraId="27F258C2">
            <w:pPr>
              <w:spacing w:line="220" w:lineRule="exact"/>
              <w:jc w:val="center"/>
              <w:rPr>
                <w:color w:val="000000"/>
                <w:sz w:val="21"/>
              </w:rPr>
            </w:pPr>
            <w:r>
              <w:rPr>
                <w:color w:val="000000"/>
                <w:sz w:val="21"/>
              </w:rPr>
              <w:t>0.0225</w:t>
            </w:r>
          </w:p>
        </w:tc>
        <w:tc>
          <w:tcPr>
            <w:tcW w:w="1567" w:type="dxa"/>
            <w:tcBorders>
              <w:top w:val="single" w:color="000000" w:sz="4" w:space="0"/>
              <w:left w:val="single" w:color="000000" w:sz="4" w:space="0"/>
              <w:bottom w:val="single" w:color="000000" w:sz="4" w:space="0"/>
            </w:tcBorders>
            <w:vAlign w:val="center"/>
          </w:tcPr>
          <w:p w14:paraId="70115BA4">
            <w:pPr>
              <w:jc w:val="center"/>
              <w:textAlignment w:val="center"/>
              <w:rPr>
                <w:color w:val="000000"/>
                <w:sz w:val="21"/>
              </w:rPr>
            </w:pPr>
            <w:r>
              <w:rPr>
                <w:color w:val="000000"/>
                <w:kern w:val="0"/>
                <w:sz w:val="21"/>
              </w:rPr>
              <w:t>0.18</w:t>
            </w:r>
          </w:p>
        </w:tc>
      </w:tr>
      <w:tr w14:paraId="0F715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5" w:hRule="atLeast"/>
          <w:jc w:val="center"/>
        </w:trPr>
        <w:tc>
          <w:tcPr>
            <w:tcW w:w="2023" w:type="dxa"/>
            <w:gridSpan w:val="2"/>
            <w:vMerge w:val="restart"/>
            <w:tcBorders>
              <w:top w:val="single" w:color="000000" w:sz="4" w:space="0"/>
              <w:right w:val="single" w:color="000000" w:sz="4" w:space="0"/>
            </w:tcBorders>
            <w:vAlign w:val="center"/>
          </w:tcPr>
          <w:p w14:paraId="38A33D28">
            <w:pPr>
              <w:spacing w:line="220" w:lineRule="exact"/>
              <w:jc w:val="center"/>
              <w:rPr>
                <w:color w:val="000000"/>
                <w:sz w:val="21"/>
              </w:rPr>
            </w:pPr>
            <w:r>
              <w:rPr>
                <w:color w:val="000000"/>
                <w:sz w:val="21"/>
              </w:rPr>
              <w:t>主要排放口合计</w:t>
            </w:r>
          </w:p>
        </w:tc>
        <w:tc>
          <w:tcPr>
            <w:tcW w:w="4910" w:type="dxa"/>
            <w:gridSpan w:val="3"/>
            <w:tcBorders>
              <w:top w:val="single" w:color="000000" w:sz="4" w:space="0"/>
              <w:left w:val="single" w:color="000000" w:sz="4" w:space="0"/>
              <w:bottom w:val="single" w:color="000000" w:sz="4" w:space="0"/>
              <w:right w:val="single" w:color="000000" w:sz="4" w:space="0"/>
            </w:tcBorders>
            <w:vAlign w:val="center"/>
          </w:tcPr>
          <w:p w14:paraId="5C9FF8AE">
            <w:pPr>
              <w:pStyle w:val="12"/>
              <w:spacing w:line="240" w:lineRule="auto"/>
              <w:rPr>
                <w:color w:val="000000"/>
                <w:sz w:val="21"/>
                <w:szCs w:val="21"/>
              </w:rPr>
            </w:pPr>
            <w:r>
              <w:rPr>
                <w:color w:val="000000"/>
                <w:sz w:val="21"/>
                <w:szCs w:val="21"/>
              </w:rPr>
              <w:t>颗粒物</w:t>
            </w:r>
          </w:p>
        </w:tc>
        <w:tc>
          <w:tcPr>
            <w:tcW w:w="1567" w:type="dxa"/>
            <w:tcBorders>
              <w:top w:val="single" w:color="000000" w:sz="4" w:space="0"/>
              <w:left w:val="single" w:color="000000" w:sz="4" w:space="0"/>
              <w:bottom w:val="single" w:color="000000" w:sz="4" w:space="0"/>
            </w:tcBorders>
            <w:vAlign w:val="center"/>
          </w:tcPr>
          <w:p w14:paraId="532B1B23">
            <w:pPr>
              <w:jc w:val="center"/>
              <w:textAlignment w:val="center"/>
              <w:rPr>
                <w:color w:val="000000"/>
                <w:sz w:val="21"/>
              </w:rPr>
            </w:pPr>
            <w:r>
              <w:rPr>
                <w:color w:val="000000"/>
                <w:kern w:val="0"/>
                <w:sz w:val="21"/>
              </w:rPr>
              <w:t>0.06</w:t>
            </w:r>
          </w:p>
        </w:tc>
      </w:tr>
      <w:tr w14:paraId="07D65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5" w:hRule="atLeast"/>
          <w:jc w:val="center"/>
        </w:trPr>
        <w:tc>
          <w:tcPr>
            <w:tcW w:w="2023" w:type="dxa"/>
            <w:gridSpan w:val="2"/>
            <w:vMerge w:val="continue"/>
            <w:tcBorders>
              <w:right w:val="single" w:color="000000" w:sz="4" w:space="0"/>
            </w:tcBorders>
            <w:vAlign w:val="center"/>
          </w:tcPr>
          <w:p w14:paraId="3933E4E4">
            <w:pPr>
              <w:spacing w:line="220" w:lineRule="exact"/>
              <w:jc w:val="center"/>
              <w:rPr>
                <w:color w:val="000000"/>
                <w:sz w:val="21"/>
              </w:rPr>
            </w:pPr>
          </w:p>
        </w:tc>
        <w:tc>
          <w:tcPr>
            <w:tcW w:w="4910" w:type="dxa"/>
            <w:gridSpan w:val="3"/>
            <w:tcBorders>
              <w:top w:val="single" w:color="000000" w:sz="4" w:space="0"/>
              <w:left w:val="single" w:color="000000" w:sz="4" w:space="0"/>
              <w:bottom w:val="single" w:color="000000" w:sz="4" w:space="0"/>
              <w:right w:val="single" w:color="000000" w:sz="4" w:space="0"/>
            </w:tcBorders>
            <w:vAlign w:val="center"/>
          </w:tcPr>
          <w:p w14:paraId="7F233F15">
            <w:pPr>
              <w:pStyle w:val="12"/>
              <w:spacing w:line="240" w:lineRule="auto"/>
              <w:rPr>
                <w:color w:val="000000"/>
                <w:kern w:val="0"/>
                <w:sz w:val="21"/>
                <w:szCs w:val="21"/>
              </w:rPr>
            </w:pPr>
            <w:r>
              <w:rPr>
                <w:color w:val="000000"/>
                <w:sz w:val="21"/>
                <w:szCs w:val="21"/>
              </w:rPr>
              <w:t>SO</w:t>
            </w:r>
            <w:r>
              <w:rPr>
                <w:color w:val="000000"/>
                <w:sz w:val="21"/>
                <w:szCs w:val="21"/>
                <w:vertAlign w:val="subscript"/>
              </w:rPr>
              <w:t>2</w:t>
            </w:r>
          </w:p>
        </w:tc>
        <w:tc>
          <w:tcPr>
            <w:tcW w:w="1567" w:type="dxa"/>
            <w:tcBorders>
              <w:top w:val="single" w:color="000000" w:sz="4" w:space="0"/>
              <w:left w:val="single" w:color="000000" w:sz="4" w:space="0"/>
              <w:bottom w:val="single" w:color="000000" w:sz="4" w:space="0"/>
            </w:tcBorders>
            <w:vAlign w:val="center"/>
          </w:tcPr>
          <w:p w14:paraId="74B1E605">
            <w:pPr>
              <w:jc w:val="center"/>
              <w:textAlignment w:val="center"/>
              <w:rPr>
                <w:color w:val="000000"/>
                <w:sz w:val="21"/>
              </w:rPr>
            </w:pPr>
            <w:r>
              <w:rPr>
                <w:color w:val="000000"/>
                <w:kern w:val="0"/>
                <w:sz w:val="21"/>
              </w:rPr>
              <w:t>0.03</w:t>
            </w:r>
          </w:p>
        </w:tc>
      </w:tr>
      <w:tr w14:paraId="795BC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8" w:hRule="atLeast"/>
          <w:jc w:val="center"/>
        </w:trPr>
        <w:tc>
          <w:tcPr>
            <w:tcW w:w="2023" w:type="dxa"/>
            <w:gridSpan w:val="2"/>
            <w:vMerge w:val="continue"/>
            <w:tcBorders>
              <w:right w:val="single" w:color="000000" w:sz="4" w:space="0"/>
            </w:tcBorders>
            <w:vAlign w:val="center"/>
          </w:tcPr>
          <w:p w14:paraId="5C53D559">
            <w:pPr>
              <w:spacing w:line="220" w:lineRule="exact"/>
              <w:jc w:val="center"/>
              <w:rPr>
                <w:color w:val="000000"/>
                <w:sz w:val="21"/>
              </w:rPr>
            </w:pPr>
          </w:p>
        </w:tc>
        <w:tc>
          <w:tcPr>
            <w:tcW w:w="4910" w:type="dxa"/>
            <w:gridSpan w:val="3"/>
            <w:tcBorders>
              <w:top w:val="single" w:color="000000" w:sz="4" w:space="0"/>
              <w:left w:val="single" w:color="000000" w:sz="4" w:space="0"/>
              <w:bottom w:val="single" w:color="000000" w:sz="4" w:space="0"/>
              <w:right w:val="single" w:color="000000" w:sz="4" w:space="0"/>
            </w:tcBorders>
            <w:vAlign w:val="center"/>
          </w:tcPr>
          <w:p w14:paraId="7737E650">
            <w:pPr>
              <w:pStyle w:val="12"/>
              <w:spacing w:line="240" w:lineRule="auto"/>
              <w:rPr>
                <w:color w:val="000000"/>
                <w:sz w:val="21"/>
                <w:szCs w:val="21"/>
              </w:rPr>
            </w:pPr>
            <w:r>
              <w:rPr>
                <w:color w:val="000000"/>
                <w:sz w:val="21"/>
                <w:szCs w:val="21"/>
              </w:rPr>
              <w:t>NO</w:t>
            </w:r>
            <w:r>
              <w:rPr>
                <w:rFonts w:hint="eastAsia"/>
                <w:color w:val="000000"/>
                <w:sz w:val="24"/>
                <w:szCs w:val="24"/>
                <w:vertAlign w:val="subscript"/>
              </w:rPr>
              <w:t>X</w:t>
            </w:r>
          </w:p>
        </w:tc>
        <w:tc>
          <w:tcPr>
            <w:tcW w:w="1567" w:type="dxa"/>
            <w:tcBorders>
              <w:top w:val="single" w:color="000000" w:sz="4" w:space="0"/>
              <w:left w:val="single" w:color="000000" w:sz="4" w:space="0"/>
              <w:bottom w:val="single" w:color="000000" w:sz="4" w:space="0"/>
            </w:tcBorders>
            <w:vAlign w:val="center"/>
          </w:tcPr>
          <w:p w14:paraId="61A446B6">
            <w:pPr>
              <w:jc w:val="center"/>
              <w:textAlignment w:val="center"/>
              <w:rPr>
                <w:color w:val="000000"/>
                <w:sz w:val="21"/>
              </w:rPr>
            </w:pPr>
            <w:r>
              <w:rPr>
                <w:color w:val="000000"/>
                <w:kern w:val="0"/>
                <w:sz w:val="21"/>
              </w:rPr>
              <w:t>0.18</w:t>
            </w:r>
          </w:p>
        </w:tc>
      </w:tr>
      <w:tr w14:paraId="35C97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31" w:hRule="atLeast"/>
          <w:jc w:val="center"/>
        </w:trPr>
        <w:tc>
          <w:tcPr>
            <w:tcW w:w="8500" w:type="dxa"/>
            <w:gridSpan w:val="6"/>
            <w:tcBorders>
              <w:top w:val="single" w:color="000000" w:sz="4" w:space="0"/>
              <w:bottom w:val="single" w:color="000000" w:sz="4" w:space="0"/>
            </w:tcBorders>
            <w:vAlign w:val="center"/>
          </w:tcPr>
          <w:p w14:paraId="2CC8F886">
            <w:pPr>
              <w:spacing w:line="220" w:lineRule="exact"/>
              <w:ind w:firstLine="420" w:firstLineChars="200"/>
              <w:rPr>
                <w:color w:val="000000"/>
                <w:sz w:val="21"/>
              </w:rPr>
            </w:pPr>
            <w:r>
              <w:rPr>
                <w:color w:val="000000"/>
                <w:sz w:val="21"/>
              </w:rPr>
              <w:t>一般排放口</w:t>
            </w:r>
          </w:p>
        </w:tc>
      </w:tr>
      <w:tr w14:paraId="594CD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00" w:hRule="atLeast"/>
          <w:jc w:val="center"/>
        </w:trPr>
        <w:tc>
          <w:tcPr>
            <w:tcW w:w="722" w:type="dxa"/>
            <w:tcBorders>
              <w:top w:val="single" w:color="000000" w:sz="4" w:space="0"/>
              <w:bottom w:val="single" w:color="000000" w:sz="4" w:space="0"/>
              <w:right w:val="single" w:color="000000" w:sz="4" w:space="0"/>
            </w:tcBorders>
            <w:vAlign w:val="center"/>
          </w:tcPr>
          <w:p w14:paraId="1CBC4D75">
            <w:pPr>
              <w:spacing w:line="220" w:lineRule="exact"/>
              <w:jc w:val="center"/>
              <w:rPr>
                <w:color w:val="000000"/>
                <w:sz w:val="21"/>
              </w:rPr>
            </w:pPr>
            <w:r>
              <w:rPr>
                <w:color w:val="000000"/>
                <w:sz w:val="21"/>
              </w:rPr>
              <w:t>/</w:t>
            </w:r>
          </w:p>
        </w:tc>
        <w:tc>
          <w:tcPr>
            <w:tcW w:w="1301" w:type="dxa"/>
            <w:tcBorders>
              <w:top w:val="single" w:color="000000" w:sz="4" w:space="0"/>
              <w:left w:val="single" w:color="000000" w:sz="4" w:space="0"/>
              <w:bottom w:val="single" w:color="000000" w:sz="4" w:space="0"/>
              <w:right w:val="single" w:color="000000" w:sz="4" w:space="0"/>
            </w:tcBorders>
            <w:vAlign w:val="center"/>
          </w:tcPr>
          <w:p w14:paraId="14AD7456">
            <w:pPr>
              <w:spacing w:line="220" w:lineRule="exact"/>
              <w:jc w:val="center"/>
              <w:rPr>
                <w:color w:val="000000"/>
                <w:sz w:val="21"/>
              </w:rPr>
            </w:pPr>
            <w:r>
              <w:rPr>
                <w:color w:val="000000"/>
                <w:sz w:val="21"/>
              </w:rPr>
              <w:t>/</w:t>
            </w:r>
          </w:p>
        </w:tc>
        <w:tc>
          <w:tcPr>
            <w:tcW w:w="1604" w:type="dxa"/>
            <w:tcBorders>
              <w:top w:val="single" w:color="000000" w:sz="4" w:space="0"/>
              <w:left w:val="single" w:color="000000" w:sz="4" w:space="0"/>
              <w:bottom w:val="single" w:color="000000" w:sz="4" w:space="0"/>
              <w:right w:val="single" w:color="000000" w:sz="4" w:space="0"/>
            </w:tcBorders>
            <w:vAlign w:val="center"/>
          </w:tcPr>
          <w:p w14:paraId="1BAE6C54">
            <w:pPr>
              <w:spacing w:line="220" w:lineRule="exact"/>
              <w:ind w:firstLine="420" w:firstLineChars="200"/>
              <w:jc w:val="center"/>
              <w:rPr>
                <w:color w:val="000000"/>
                <w:sz w:val="21"/>
              </w:rPr>
            </w:pPr>
            <w:r>
              <w:rPr>
                <w:color w:val="000000"/>
                <w:sz w:val="21"/>
              </w:rPr>
              <w:t>/</w:t>
            </w:r>
          </w:p>
        </w:tc>
        <w:tc>
          <w:tcPr>
            <w:tcW w:w="1593" w:type="dxa"/>
            <w:tcBorders>
              <w:top w:val="single" w:color="000000" w:sz="4" w:space="0"/>
              <w:left w:val="single" w:color="000000" w:sz="4" w:space="0"/>
              <w:bottom w:val="single" w:color="000000" w:sz="4" w:space="0"/>
              <w:right w:val="single" w:color="000000" w:sz="4" w:space="0"/>
            </w:tcBorders>
            <w:vAlign w:val="center"/>
          </w:tcPr>
          <w:p w14:paraId="2203EA6E">
            <w:pPr>
              <w:spacing w:line="220" w:lineRule="exact"/>
              <w:ind w:firstLine="420" w:firstLineChars="200"/>
              <w:jc w:val="center"/>
              <w:rPr>
                <w:color w:val="000000"/>
                <w:sz w:val="21"/>
              </w:rPr>
            </w:pPr>
            <w:r>
              <w:rPr>
                <w:color w:val="000000"/>
                <w:sz w:val="21"/>
              </w:rPr>
              <w:t>/</w:t>
            </w:r>
          </w:p>
        </w:tc>
        <w:tc>
          <w:tcPr>
            <w:tcW w:w="1713" w:type="dxa"/>
            <w:tcBorders>
              <w:top w:val="single" w:color="000000" w:sz="4" w:space="0"/>
              <w:left w:val="single" w:color="000000" w:sz="4" w:space="0"/>
              <w:bottom w:val="single" w:color="000000" w:sz="4" w:space="0"/>
              <w:right w:val="single" w:color="000000" w:sz="4" w:space="0"/>
            </w:tcBorders>
            <w:vAlign w:val="center"/>
          </w:tcPr>
          <w:p w14:paraId="3A3B730F">
            <w:pPr>
              <w:spacing w:line="220" w:lineRule="exact"/>
              <w:ind w:firstLine="420" w:firstLineChars="200"/>
              <w:jc w:val="center"/>
              <w:rPr>
                <w:color w:val="000000"/>
                <w:sz w:val="21"/>
              </w:rPr>
            </w:pPr>
            <w:r>
              <w:rPr>
                <w:color w:val="000000"/>
                <w:sz w:val="21"/>
              </w:rPr>
              <w:t>/</w:t>
            </w:r>
          </w:p>
        </w:tc>
        <w:tc>
          <w:tcPr>
            <w:tcW w:w="1567" w:type="dxa"/>
            <w:tcBorders>
              <w:top w:val="single" w:color="000000" w:sz="4" w:space="0"/>
              <w:left w:val="single" w:color="000000" w:sz="4" w:space="0"/>
              <w:bottom w:val="single" w:color="000000" w:sz="4" w:space="0"/>
            </w:tcBorders>
            <w:vAlign w:val="center"/>
          </w:tcPr>
          <w:p w14:paraId="6413D478">
            <w:pPr>
              <w:spacing w:line="220" w:lineRule="exact"/>
              <w:ind w:firstLine="420" w:firstLineChars="200"/>
              <w:jc w:val="center"/>
              <w:rPr>
                <w:color w:val="000000"/>
                <w:sz w:val="21"/>
              </w:rPr>
            </w:pPr>
            <w:r>
              <w:rPr>
                <w:color w:val="000000"/>
                <w:sz w:val="21"/>
              </w:rPr>
              <w:t>/</w:t>
            </w:r>
          </w:p>
        </w:tc>
      </w:tr>
      <w:tr w14:paraId="79F07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0" w:hRule="atLeast"/>
          <w:jc w:val="center"/>
        </w:trPr>
        <w:tc>
          <w:tcPr>
            <w:tcW w:w="8500" w:type="dxa"/>
            <w:gridSpan w:val="6"/>
            <w:tcBorders>
              <w:top w:val="single" w:color="000000" w:sz="4" w:space="0"/>
              <w:bottom w:val="single" w:color="000000" w:sz="4" w:space="0"/>
            </w:tcBorders>
            <w:vAlign w:val="center"/>
          </w:tcPr>
          <w:p w14:paraId="7BD183E6">
            <w:pPr>
              <w:spacing w:line="220" w:lineRule="exact"/>
              <w:rPr>
                <w:color w:val="000000"/>
                <w:sz w:val="21"/>
              </w:rPr>
            </w:pPr>
            <w:r>
              <w:rPr>
                <w:color w:val="000000"/>
                <w:sz w:val="21"/>
              </w:rPr>
              <w:t>拟建项目有组织排放总计</w:t>
            </w:r>
          </w:p>
        </w:tc>
      </w:tr>
      <w:tr w14:paraId="5093F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5" w:hRule="atLeast"/>
          <w:jc w:val="center"/>
        </w:trPr>
        <w:tc>
          <w:tcPr>
            <w:tcW w:w="2023" w:type="dxa"/>
            <w:gridSpan w:val="2"/>
            <w:vMerge w:val="restart"/>
            <w:tcBorders>
              <w:top w:val="single" w:color="000000" w:sz="4" w:space="0"/>
              <w:right w:val="single" w:color="000000" w:sz="4" w:space="0"/>
            </w:tcBorders>
            <w:vAlign w:val="center"/>
          </w:tcPr>
          <w:p w14:paraId="6494A174">
            <w:pPr>
              <w:spacing w:line="220" w:lineRule="exact"/>
              <w:jc w:val="center"/>
              <w:rPr>
                <w:color w:val="000000"/>
                <w:sz w:val="21"/>
              </w:rPr>
            </w:pPr>
            <w:r>
              <w:rPr>
                <w:color w:val="000000"/>
                <w:sz w:val="21"/>
              </w:rPr>
              <w:t>有组织排放总计</w:t>
            </w:r>
          </w:p>
        </w:tc>
        <w:tc>
          <w:tcPr>
            <w:tcW w:w="4910" w:type="dxa"/>
            <w:gridSpan w:val="3"/>
            <w:tcBorders>
              <w:top w:val="single" w:color="000000" w:sz="4" w:space="0"/>
              <w:left w:val="single" w:color="000000" w:sz="4" w:space="0"/>
              <w:bottom w:val="single" w:color="000000" w:sz="4" w:space="0"/>
              <w:right w:val="single" w:color="000000" w:sz="4" w:space="0"/>
            </w:tcBorders>
            <w:vAlign w:val="center"/>
          </w:tcPr>
          <w:p w14:paraId="3C26E6C6">
            <w:pPr>
              <w:pStyle w:val="12"/>
              <w:spacing w:line="240" w:lineRule="auto"/>
              <w:rPr>
                <w:color w:val="000000"/>
                <w:kern w:val="0"/>
                <w:sz w:val="21"/>
                <w:szCs w:val="21"/>
              </w:rPr>
            </w:pPr>
            <w:r>
              <w:rPr>
                <w:color w:val="000000"/>
                <w:sz w:val="21"/>
                <w:szCs w:val="21"/>
              </w:rPr>
              <w:t>颗粒物</w:t>
            </w:r>
          </w:p>
        </w:tc>
        <w:tc>
          <w:tcPr>
            <w:tcW w:w="1567" w:type="dxa"/>
            <w:tcBorders>
              <w:top w:val="single" w:color="000000" w:sz="4" w:space="0"/>
              <w:left w:val="single" w:color="000000" w:sz="4" w:space="0"/>
              <w:bottom w:val="single" w:color="000000" w:sz="4" w:space="0"/>
            </w:tcBorders>
            <w:vAlign w:val="center"/>
          </w:tcPr>
          <w:p w14:paraId="5158158C">
            <w:pPr>
              <w:jc w:val="center"/>
              <w:textAlignment w:val="center"/>
              <w:rPr>
                <w:color w:val="000000"/>
                <w:sz w:val="21"/>
              </w:rPr>
            </w:pPr>
            <w:r>
              <w:rPr>
                <w:color w:val="000000"/>
                <w:kern w:val="0"/>
                <w:sz w:val="21"/>
              </w:rPr>
              <w:t>0.06</w:t>
            </w:r>
          </w:p>
        </w:tc>
      </w:tr>
      <w:tr w14:paraId="734D0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jc w:val="center"/>
        </w:trPr>
        <w:tc>
          <w:tcPr>
            <w:tcW w:w="2023" w:type="dxa"/>
            <w:gridSpan w:val="2"/>
            <w:vMerge w:val="continue"/>
            <w:tcBorders>
              <w:right w:val="single" w:color="000000" w:sz="4" w:space="0"/>
            </w:tcBorders>
            <w:vAlign w:val="center"/>
          </w:tcPr>
          <w:p w14:paraId="17B3B54E">
            <w:pPr>
              <w:spacing w:line="220" w:lineRule="exact"/>
              <w:jc w:val="center"/>
              <w:rPr>
                <w:color w:val="000000"/>
                <w:sz w:val="21"/>
              </w:rPr>
            </w:pPr>
          </w:p>
        </w:tc>
        <w:tc>
          <w:tcPr>
            <w:tcW w:w="4910" w:type="dxa"/>
            <w:gridSpan w:val="3"/>
            <w:tcBorders>
              <w:top w:val="single" w:color="000000" w:sz="4" w:space="0"/>
              <w:left w:val="single" w:color="000000" w:sz="4" w:space="0"/>
              <w:bottom w:val="single" w:color="000000" w:sz="4" w:space="0"/>
              <w:right w:val="single" w:color="000000" w:sz="4" w:space="0"/>
            </w:tcBorders>
            <w:vAlign w:val="center"/>
          </w:tcPr>
          <w:p w14:paraId="6517C2C7">
            <w:pPr>
              <w:pStyle w:val="12"/>
              <w:spacing w:line="240" w:lineRule="auto"/>
              <w:rPr>
                <w:color w:val="000000"/>
                <w:sz w:val="21"/>
                <w:szCs w:val="21"/>
              </w:rPr>
            </w:pPr>
            <w:r>
              <w:rPr>
                <w:color w:val="000000"/>
                <w:sz w:val="21"/>
                <w:szCs w:val="21"/>
              </w:rPr>
              <w:t>SO</w:t>
            </w:r>
            <w:r>
              <w:rPr>
                <w:color w:val="000000"/>
                <w:sz w:val="21"/>
                <w:szCs w:val="21"/>
                <w:vertAlign w:val="subscript"/>
              </w:rPr>
              <w:t>2</w:t>
            </w:r>
          </w:p>
        </w:tc>
        <w:tc>
          <w:tcPr>
            <w:tcW w:w="1567" w:type="dxa"/>
            <w:tcBorders>
              <w:top w:val="single" w:color="000000" w:sz="4" w:space="0"/>
              <w:left w:val="single" w:color="000000" w:sz="4" w:space="0"/>
              <w:bottom w:val="single" w:color="000000" w:sz="4" w:space="0"/>
            </w:tcBorders>
            <w:vAlign w:val="center"/>
          </w:tcPr>
          <w:p w14:paraId="392D9932">
            <w:pPr>
              <w:jc w:val="center"/>
              <w:textAlignment w:val="center"/>
              <w:rPr>
                <w:color w:val="000000"/>
                <w:sz w:val="21"/>
              </w:rPr>
            </w:pPr>
            <w:r>
              <w:rPr>
                <w:color w:val="000000"/>
                <w:kern w:val="0"/>
                <w:sz w:val="21"/>
              </w:rPr>
              <w:t>0.03</w:t>
            </w:r>
          </w:p>
        </w:tc>
      </w:tr>
      <w:tr w14:paraId="34D64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5" w:hRule="atLeast"/>
          <w:jc w:val="center"/>
        </w:trPr>
        <w:tc>
          <w:tcPr>
            <w:tcW w:w="2023" w:type="dxa"/>
            <w:gridSpan w:val="2"/>
            <w:vMerge w:val="continue"/>
            <w:tcBorders>
              <w:right w:val="single" w:color="000000" w:sz="4" w:space="0"/>
            </w:tcBorders>
            <w:vAlign w:val="center"/>
          </w:tcPr>
          <w:p w14:paraId="78B4229A">
            <w:pPr>
              <w:spacing w:line="220" w:lineRule="exact"/>
              <w:jc w:val="center"/>
              <w:rPr>
                <w:color w:val="000000"/>
                <w:sz w:val="21"/>
              </w:rPr>
            </w:pPr>
          </w:p>
        </w:tc>
        <w:tc>
          <w:tcPr>
            <w:tcW w:w="4910" w:type="dxa"/>
            <w:gridSpan w:val="3"/>
            <w:tcBorders>
              <w:top w:val="single" w:color="000000" w:sz="4" w:space="0"/>
              <w:left w:val="single" w:color="000000" w:sz="4" w:space="0"/>
              <w:bottom w:val="single" w:color="000000" w:sz="4" w:space="0"/>
              <w:right w:val="single" w:color="000000" w:sz="4" w:space="0"/>
            </w:tcBorders>
            <w:vAlign w:val="center"/>
          </w:tcPr>
          <w:p w14:paraId="61AA0257">
            <w:pPr>
              <w:pStyle w:val="12"/>
              <w:spacing w:line="240" w:lineRule="auto"/>
              <w:rPr>
                <w:color w:val="000000"/>
                <w:sz w:val="21"/>
                <w:szCs w:val="21"/>
              </w:rPr>
            </w:pPr>
            <w:r>
              <w:rPr>
                <w:color w:val="000000"/>
                <w:sz w:val="21"/>
                <w:szCs w:val="21"/>
              </w:rPr>
              <w:t>NO</w:t>
            </w:r>
            <w:r>
              <w:rPr>
                <w:rFonts w:hint="eastAsia"/>
                <w:color w:val="000000"/>
                <w:sz w:val="24"/>
                <w:szCs w:val="24"/>
                <w:vertAlign w:val="subscript"/>
              </w:rPr>
              <w:t>X</w:t>
            </w:r>
          </w:p>
        </w:tc>
        <w:tc>
          <w:tcPr>
            <w:tcW w:w="1567" w:type="dxa"/>
            <w:tcBorders>
              <w:top w:val="single" w:color="000000" w:sz="4" w:space="0"/>
              <w:left w:val="single" w:color="000000" w:sz="4" w:space="0"/>
              <w:bottom w:val="single" w:color="000000" w:sz="4" w:space="0"/>
            </w:tcBorders>
            <w:vAlign w:val="center"/>
          </w:tcPr>
          <w:p w14:paraId="5C7B057E">
            <w:pPr>
              <w:jc w:val="center"/>
              <w:textAlignment w:val="center"/>
              <w:rPr>
                <w:color w:val="000000"/>
                <w:sz w:val="21"/>
              </w:rPr>
            </w:pPr>
            <w:r>
              <w:rPr>
                <w:color w:val="000000"/>
                <w:kern w:val="0"/>
                <w:sz w:val="21"/>
              </w:rPr>
              <w:t>0.18</w:t>
            </w:r>
          </w:p>
        </w:tc>
      </w:tr>
    </w:tbl>
    <w:p w14:paraId="624EE11C">
      <w:pPr>
        <w:spacing w:line="460" w:lineRule="atLeast"/>
        <w:jc w:val="center"/>
        <w:rPr>
          <w:color w:val="000000"/>
          <w:szCs w:val="24"/>
        </w:rPr>
      </w:pPr>
      <w:r>
        <w:rPr>
          <w:color w:val="000000"/>
          <w:szCs w:val="24"/>
        </w:rPr>
        <w:t>表4.2.1-5 项目主要大气污染物无组织排放量核算表</w:t>
      </w:r>
    </w:p>
    <w:tbl>
      <w:tblPr>
        <w:tblStyle w:val="73"/>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37"/>
        <w:gridCol w:w="720"/>
        <w:gridCol w:w="900"/>
        <w:gridCol w:w="1259"/>
        <w:gridCol w:w="1123"/>
        <w:gridCol w:w="1352"/>
        <w:gridCol w:w="1414"/>
        <w:gridCol w:w="1110"/>
      </w:tblGrid>
      <w:tr w14:paraId="2D0054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0" w:hRule="atLeast"/>
          <w:jc w:val="center"/>
        </w:trPr>
        <w:tc>
          <w:tcPr>
            <w:tcW w:w="637" w:type="dxa"/>
            <w:vMerge w:val="restart"/>
            <w:vAlign w:val="center"/>
          </w:tcPr>
          <w:p w14:paraId="1E883B42">
            <w:pPr>
              <w:pStyle w:val="407"/>
              <w:jc w:val="both"/>
              <w:rPr>
                <w:rFonts w:ascii="Times New Roman" w:hAnsi="Times New Roman"/>
                <w:color w:val="000000"/>
                <w:szCs w:val="21"/>
              </w:rPr>
            </w:pPr>
            <w:r>
              <w:rPr>
                <w:rFonts w:ascii="Times New Roman" w:hAnsi="Times New Roman"/>
                <w:color w:val="000000"/>
                <w:szCs w:val="21"/>
              </w:rPr>
              <w:t>序号</w:t>
            </w:r>
          </w:p>
        </w:tc>
        <w:tc>
          <w:tcPr>
            <w:tcW w:w="720" w:type="dxa"/>
            <w:vMerge w:val="restart"/>
            <w:vAlign w:val="center"/>
          </w:tcPr>
          <w:p w14:paraId="0CA4F9FC">
            <w:pPr>
              <w:spacing w:line="220" w:lineRule="exact"/>
              <w:jc w:val="center"/>
              <w:rPr>
                <w:color w:val="000000"/>
                <w:sz w:val="21"/>
              </w:rPr>
            </w:pPr>
            <w:r>
              <w:rPr>
                <w:color w:val="000000"/>
                <w:sz w:val="21"/>
              </w:rPr>
              <w:t>排放口编号</w:t>
            </w:r>
          </w:p>
        </w:tc>
        <w:tc>
          <w:tcPr>
            <w:tcW w:w="900" w:type="dxa"/>
            <w:vMerge w:val="restart"/>
            <w:vAlign w:val="center"/>
          </w:tcPr>
          <w:p w14:paraId="3CF1D05A">
            <w:pPr>
              <w:spacing w:line="220" w:lineRule="exact"/>
              <w:jc w:val="center"/>
              <w:rPr>
                <w:color w:val="000000"/>
                <w:sz w:val="21"/>
              </w:rPr>
            </w:pPr>
            <w:r>
              <w:rPr>
                <w:color w:val="000000"/>
                <w:sz w:val="21"/>
              </w:rPr>
              <w:t>产污环节</w:t>
            </w:r>
          </w:p>
        </w:tc>
        <w:tc>
          <w:tcPr>
            <w:tcW w:w="1259" w:type="dxa"/>
            <w:vMerge w:val="restart"/>
            <w:vAlign w:val="center"/>
          </w:tcPr>
          <w:p w14:paraId="23A024BD">
            <w:pPr>
              <w:spacing w:line="220" w:lineRule="exact"/>
              <w:jc w:val="center"/>
              <w:rPr>
                <w:color w:val="000000"/>
                <w:sz w:val="21"/>
              </w:rPr>
            </w:pPr>
            <w:r>
              <w:rPr>
                <w:color w:val="000000"/>
                <w:sz w:val="21"/>
              </w:rPr>
              <w:t>污染物种类</w:t>
            </w:r>
          </w:p>
        </w:tc>
        <w:tc>
          <w:tcPr>
            <w:tcW w:w="1123" w:type="dxa"/>
            <w:vMerge w:val="restart"/>
            <w:vAlign w:val="center"/>
          </w:tcPr>
          <w:p w14:paraId="49C48250">
            <w:pPr>
              <w:spacing w:line="220" w:lineRule="exact"/>
              <w:jc w:val="center"/>
              <w:rPr>
                <w:color w:val="000000"/>
                <w:sz w:val="21"/>
              </w:rPr>
            </w:pPr>
            <w:r>
              <w:rPr>
                <w:color w:val="000000"/>
                <w:sz w:val="21"/>
              </w:rPr>
              <w:t>主要污染防治措施</w:t>
            </w:r>
          </w:p>
        </w:tc>
        <w:tc>
          <w:tcPr>
            <w:tcW w:w="2766" w:type="dxa"/>
            <w:gridSpan w:val="2"/>
            <w:vAlign w:val="center"/>
          </w:tcPr>
          <w:p w14:paraId="7B483345">
            <w:pPr>
              <w:spacing w:line="220" w:lineRule="exact"/>
              <w:jc w:val="center"/>
              <w:rPr>
                <w:color w:val="000000"/>
                <w:sz w:val="21"/>
              </w:rPr>
            </w:pPr>
            <w:r>
              <w:rPr>
                <w:color w:val="000000"/>
                <w:sz w:val="21"/>
              </w:rPr>
              <w:t>国家或地方污染物排放标准</w:t>
            </w:r>
          </w:p>
        </w:tc>
        <w:tc>
          <w:tcPr>
            <w:tcW w:w="1110" w:type="dxa"/>
            <w:vMerge w:val="restart"/>
            <w:vAlign w:val="center"/>
          </w:tcPr>
          <w:p w14:paraId="01D806C0">
            <w:pPr>
              <w:spacing w:line="220" w:lineRule="exact"/>
              <w:jc w:val="center"/>
              <w:rPr>
                <w:color w:val="000000"/>
                <w:sz w:val="21"/>
              </w:rPr>
            </w:pPr>
            <w:r>
              <w:rPr>
                <w:color w:val="000000"/>
                <w:sz w:val="21"/>
              </w:rPr>
              <w:t>年排放量</w:t>
            </w:r>
          </w:p>
        </w:tc>
      </w:tr>
      <w:tr w14:paraId="2827EA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2" w:hRule="atLeast"/>
          <w:jc w:val="center"/>
        </w:trPr>
        <w:tc>
          <w:tcPr>
            <w:tcW w:w="637" w:type="dxa"/>
            <w:vMerge w:val="continue"/>
            <w:vAlign w:val="center"/>
          </w:tcPr>
          <w:p w14:paraId="3664D5EE">
            <w:pPr>
              <w:pStyle w:val="407"/>
              <w:rPr>
                <w:rFonts w:ascii="Times New Roman" w:hAnsi="Times New Roman"/>
                <w:color w:val="000000"/>
                <w:szCs w:val="21"/>
              </w:rPr>
            </w:pPr>
          </w:p>
        </w:tc>
        <w:tc>
          <w:tcPr>
            <w:tcW w:w="720" w:type="dxa"/>
            <w:vMerge w:val="continue"/>
            <w:vAlign w:val="center"/>
          </w:tcPr>
          <w:p w14:paraId="5EB4C5A9">
            <w:pPr>
              <w:spacing w:line="220" w:lineRule="exact"/>
              <w:jc w:val="center"/>
              <w:rPr>
                <w:color w:val="000000"/>
                <w:sz w:val="21"/>
              </w:rPr>
            </w:pPr>
          </w:p>
        </w:tc>
        <w:tc>
          <w:tcPr>
            <w:tcW w:w="900" w:type="dxa"/>
            <w:vMerge w:val="continue"/>
            <w:vAlign w:val="center"/>
          </w:tcPr>
          <w:p w14:paraId="34197004">
            <w:pPr>
              <w:spacing w:line="220" w:lineRule="exact"/>
              <w:jc w:val="center"/>
              <w:rPr>
                <w:color w:val="000000"/>
                <w:sz w:val="21"/>
              </w:rPr>
            </w:pPr>
          </w:p>
        </w:tc>
        <w:tc>
          <w:tcPr>
            <w:tcW w:w="1259" w:type="dxa"/>
            <w:vMerge w:val="continue"/>
            <w:vAlign w:val="center"/>
          </w:tcPr>
          <w:p w14:paraId="58ADDB05">
            <w:pPr>
              <w:spacing w:line="220" w:lineRule="exact"/>
              <w:jc w:val="center"/>
              <w:rPr>
                <w:color w:val="000000"/>
                <w:sz w:val="21"/>
              </w:rPr>
            </w:pPr>
          </w:p>
        </w:tc>
        <w:tc>
          <w:tcPr>
            <w:tcW w:w="1123" w:type="dxa"/>
            <w:vMerge w:val="continue"/>
            <w:vAlign w:val="center"/>
          </w:tcPr>
          <w:p w14:paraId="646B798F">
            <w:pPr>
              <w:spacing w:line="220" w:lineRule="exact"/>
              <w:jc w:val="center"/>
              <w:rPr>
                <w:color w:val="000000"/>
                <w:sz w:val="21"/>
              </w:rPr>
            </w:pPr>
          </w:p>
        </w:tc>
        <w:tc>
          <w:tcPr>
            <w:tcW w:w="1352" w:type="dxa"/>
            <w:vMerge w:val="restart"/>
            <w:vAlign w:val="center"/>
          </w:tcPr>
          <w:p w14:paraId="647F3497">
            <w:pPr>
              <w:spacing w:line="220" w:lineRule="exact"/>
              <w:jc w:val="center"/>
              <w:rPr>
                <w:color w:val="000000"/>
                <w:sz w:val="21"/>
              </w:rPr>
            </w:pPr>
            <w:r>
              <w:rPr>
                <w:color w:val="000000"/>
                <w:sz w:val="21"/>
              </w:rPr>
              <w:t>标准名称</w:t>
            </w:r>
          </w:p>
        </w:tc>
        <w:tc>
          <w:tcPr>
            <w:tcW w:w="1414" w:type="dxa"/>
            <w:vMerge w:val="restart"/>
            <w:vAlign w:val="center"/>
          </w:tcPr>
          <w:p w14:paraId="2F1049EB">
            <w:pPr>
              <w:spacing w:line="220" w:lineRule="exact"/>
              <w:jc w:val="center"/>
              <w:rPr>
                <w:color w:val="000000"/>
                <w:sz w:val="21"/>
              </w:rPr>
            </w:pPr>
            <w:r>
              <w:rPr>
                <w:color w:val="000000"/>
                <w:sz w:val="21"/>
              </w:rPr>
              <w:t>浓度限值/（mg/m3）</w:t>
            </w:r>
          </w:p>
        </w:tc>
        <w:tc>
          <w:tcPr>
            <w:tcW w:w="1110" w:type="dxa"/>
            <w:vMerge w:val="continue"/>
            <w:vAlign w:val="center"/>
          </w:tcPr>
          <w:p w14:paraId="44B93E67">
            <w:pPr>
              <w:spacing w:line="220" w:lineRule="exact"/>
              <w:jc w:val="center"/>
              <w:rPr>
                <w:color w:val="000000"/>
                <w:sz w:val="21"/>
              </w:rPr>
            </w:pPr>
          </w:p>
        </w:tc>
      </w:tr>
      <w:tr w14:paraId="63972C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2" w:hRule="atLeast"/>
          <w:jc w:val="center"/>
        </w:trPr>
        <w:tc>
          <w:tcPr>
            <w:tcW w:w="637" w:type="dxa"/>
            <w:vMerge w:val="continue"/>
            <w:vAlign w:val="center"/>
          </w:tcPr>
          <w:p w14:paraId="5708E29D">
            <w:pPr>
              <w:pStyle w:val="407"/>
              <w:rPr>
                <w:rFonts w:ascii="Times New Roman" w:hAnsi="Times New Roman"/>
                <w:color w:val="000000"/>
                <w:szCs w:val="21"/>
              </w:rPr>
            </w:pPr>
          </w:p>
        </w:tc>
        <w:tc>
          <w:tcPr>
            <w:tcW w:w="720" w:type="dxa"/>
            <w:vMerge w:val="continue"/>
            <w:vAlign w:val="center"/>
          </w:tcPr>
          <w:p w14:paraId="48E9CC36">
            <w:pPr>
              <w:spacing w:line="220" w:lineRule="exact"/>
              <w:jc w:val="center"/>
              <w:rPr>
                <w:color w:val="000000"/>
                <w:sz w:val="21"/>
              </w:rPr>
            </w:pPr>
          </w:p>
        </w:tc>
        <w:tc>
          <w:tcPr>
            <w:tcW w:w="900" w:type="dxa"/>
            <w:vMerge w:val="continue"/>
            <w:vAlign w:val="center"/>
          </w:tcPr>
          <w:p w14:paraId="4CF643BD">
            <w:pPr>
              <w:spacing w:line="220" w:lineRule="exact"/>
              <w:jc w:val="center"/>
              <w:rPr>
                <w:color w:val="000000"/>
                <w:sz w:val="21"/>
              </w:rPr>
            </w:pPr>
          </w:p>
        </w:tc>
        <w:tc>
          <w:tcPr>
            <w:tcW w:w="1259" w:type="dxa"/>
            <w:vMerge w:val="continue"/>
            <w:vAlign w:val="center"/>
          </w:tcPr>
          <w:p w14:paraId="3152407F">
            <w:pPr>
              <w:spacing w:line="220" w:lineRule="exact"/>
              <w:jc w:val="center"/>
              <w:rPr>
                <w:color w:val="000000"/>
                <w:sz w:val="21"/>
              </w:rPr>
            </w:pPr>
          </w:p>
        </w:tc>
        <w:tc>
          <w:tcPr>
            <w:tcW w:w="1123" w:type="dxa"/>
            <w:vMerge w:val="continue"/>
            <w:vAlign w:val="center"/>
          </w:tcPr>
          <w:p w14:paraId="61835B8B">
            <w:pPr>
              <w:spacing w:line="220" w:lineRule="exact"/>
              <w:jc w:val="center"/>
              <w:rPr>
                <w:color w:val="000000"/>
                <w:sz w:val="21"/>
              </w:rPr>
            </w:pPr>
          </w:p>
        </w:tc>
        <w:tc>
          <w:tcPr>
            <w:tcW w:w="1352" w:type="dxa"/>
            <w:vMerge w:val="continue"/>
            <w:vAlign w:val="center"/>
          </w:tcPr>
          <w:p w14:paraId="732A696A">
            <w:pPr>
              <w:spacing w:line="220" w:lineRule="exact"/>
              <w:jc w:val="center"/>
              <w:rPr>
                <w:color w:val="000000"/>
                <w:sz w:val="21"/>
              </w:rPr>
            </w:pPr>
          </w:p>
        </w:tc>
        <w:tc>
          <w:tcPr>
            <w:tcW w:w="1414" w:type="dxa"/>
            <w:vMerge w:val="continue"/>
            <w:vAlign w:val="center"/>
          </w:tcPr>
          <w:p w14:paraId="161834DA">
            <w:pPr>
              <w:spacing w:line="220" w:lineRule="exact"/>
              <w:jc w:val="center"/>
              <w:rPr>
                <w:color w:val="000000"/>
                <w:sz w:val="21"/>
              </w:rPr>
            </w:pPr>
          </w:p>
        </w:tc>
        <w:tc>
          <w:tcPr>
            <w:tcW w:w="1110" w:type="dxa"/>
            <w:vMerge w:val="continue"/>
            <w:vAlign w:val="center"/>
          </w:tcPr>
          <w:p w14:paraId="47D9F67D">
            <w:pPr>
              <w:spacing w:line="220" w:lineRule="exact"/>
              <w:jc w:val="center"/>
              <w:rPr>
                <w:color w:val="000000"/>
                <w:sz w:val="21"/>
              </w:rPr>
            </w:pPr>
          </w:p>
        </w:tc>
      </w:tr>
      <w:tr w14:paraId="518782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8" w:hRule="atLeast"/>
          <w:jc w:val="center"/>
        </w:trPr>
        <w:tc>
          <w:tcPr>
            <w:tcW w:w="637" w:type="dxa"/>
            <w:vMerge w:val="restart"/>
            <w:vAlign w:val="center"/>
          </w:tcPr>
          <w:p w14:paraId="676CBF07">
            <w:pPr>
              <w:pStyle w:val="407"/>
              <w:rPr>
                <w:rFonts w:ascii="Times New Roman" w:hAnsi="Times New Roman"/>
                <w:color w:val="000000"/>
                <w:szCs w:val="21"/>
              </w:rPr>
            </w:pPr>
            <w:r>
              <w:rPr>
                <w:rFonts w:ascii="Times New Roman" w:hAnsi="Times New Roman"/>
                <w:color w:val="000000"/>
                <w:szCs w:val="21"/>
              </w:rPr>
              <w:t>1　</w:t>
            </w:r>
          </w:p>
        </w:tc>
        <w:tc>
          <w:tcPr>
            <w:tcW w:w="720" w:type="dxa"/>
            <w:vMerge w:val="restart"/>
            <w:vAlign w:val="center"/>
          </w:tcPr>
          <w:p w14:paraId="383B087C">
            <w:pPr>
              <w:spacing w:line="220" w:lineRule="exact"/>
              <w:jc w:val="both"/>
              <w:rPr>
                <w:color w:val="000000"/>
                <w:sz w:val="21"/>
              </w:rPr>
            </w:pPr>
            <w:r>
              <w:rPr>
                <w:color w:val="000000"/>
                <w:sz w:val="21"/>
              </w:rPr>
              <w:t>工艺装置区</w:t>
            </w:r>
          </w:p>
        </w:tc>
        <w:tc>
          <w:tcPr>
            <w:tcW w:w="900" w:type="dxa"/>
            <w:vMerge w:val="restart"/>
            <w:vAlign w:val="center"/>
          </w:tcPr>
          <w:p w14:paraId="1E3E7B00">
            <w:pPr>
              <w:pStyle w:val="12"/>
              <w:spacing w:line="240" w:lineRule="auto"/>
              <w:rPr>
                <w:color w:val="000000"/>
                <w:sz w:val="21"/>
                <w:szCs w:val="21"/>
              </w:rPr>
            </w:pPr>
            <w:r>
              <w:rPr>
                <w:color w:val="000000"/>
                <w:sz w:val="21"/>
                <w:szCs w:val="21"/>
              </w:rPr>
              <w:t>吸附脱氢再生尾气G3</w:t>
            </w:r>
          </w:p>
        </w:tc>
        <w:tc>
          <w:tcPr>
            <w:tcW w:w="1259" w:type="dxa"/>
            <w:vAlign w:val="center"/>
          </w:tcPr>
          <w:p w14:paraId="72CB6163">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氮气</w:t>
            </w:r>
          </w:p>
        </w:tc>
        <w:tc>
          <w:tcPr>
            <w:tcW w:w="1123" w:type="dxa"/>
            <w:vMerge w:val="restart"/>
            <w:vAlign w:val="center"/>
          </w:tcPr>
          <w:p w14:paraId="5A518F40">
            <w:pPr>
              <w:spacing w:line="220" w:lineRule="exact"/>
              <w:jc w:val="center"/>
              <w:rPr>
                <w:color w:val="000000"/>
                <w:sz w:val="21"/>
              </w:rPr>
            </w:pPr>
            <w:r>
              <w:rPr>
                <w:color w:val="000000"/>
                <w:sz w:val="21"/>
              </w:rPr>
              <w:t>直接放空</w:t>
            </w:r>
          </w:p>
        </w:tc>
        <w:tc>
          <w:tcPr>
            <w:tcW w:w="1352" w:type="dxa"/>
            <w:vMerge w:val="restart"/>
            <w:vAlign w:val="center"/>
          </w:tcPr>
          <w:p w14:paraId="605D7651">
            <w:pPr>
              <w:spacing w:line="220" w:lineRule="exact"/>
              <w:jc w:val="center"/>
              <w:rPr>
                <w:color w:val="000000"/>
                <w:sz w:val="21"/>
              </w:rPr>
            </w:pPr>
            <w:r>
              <w:rPr>
                <w:color w:val="000000"/>
                <w:sz w:val="21"/>
              </w:rPr>
              <w:t>/</w:t>
            </w:r>
          </w:p>
          <w:p w14:paraId="6B535F5E">
            <w:pPr>
              <w:rPr>
                <w:color w:val="000000"/>
              </w:rPr>
            </w:pPr>
          </w:p>
        </w:tc>
        <w:tc>
          <w:tcPr>
            <w:tcW w:w="1414" w:type="dxa"/>
            <w:vAlign w:val="center"/>
          </w:tcPr>
          <w:p w14:paraId="3B2ECCE9">
            <w:pPr>
              <w:spacing w:line="220" w:lineRule="exact"/>
              <w:jc w:val="center"/>
              <w:rPr>
                <w:color w:val="000000"/>
                <w:sz w:val="21"/>
              </w:rPr>
            </w:pPr>
            <w:r>
              <w:rPr>
                <w:color w:val="000000"/>
                <w:sz w:val="21"/>
              </w:rPr>
              <w:t>/</w:t>
            </w:r>
          </w:p>
        </w:tc>
        <w:tc>
          <w:tcPr>
            <w:tcW w:w="1110" w:type="dxa"/>
            <w:vAlign w:val="center"/>
          </w:tcPr>
          <w:p w14:paraId="26BAD146">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32</w:t>
            </w:r>
          </w:p>
        </w:tc>
      </w:tr>
      <w:tr w14:paraId="0B3876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8" w:hRule="atLeast"/>
          <w:jc w:val="center"/>
        </w:trPr>
        <w:tc>
          <w:tcPr>
            <w:tcW w:w="637" w:type="dxa"/>
            <w:vMerge w:val="continue"/>
            <w:vAlign w:val="center"/>
          </w:tcPr>
          <w:p w14:paraId="40A76DD8">
            <w:pPr>
              <w:pStyle w:val="407"/>
              <w:rPr>
                <w:rFonts w:ascii="Times New Roman" w:hAnsi="Times New Roman"/>
                <w:color w:val="000000"/>
                <w:szCs w:val="21"/>
              </w:rPr>
            </w:pPr>
          </w:p>
        </w:tc>
        <w:tc>
          <w:tcPr>
            <w:tcW w:w="720" w:type="dxa"/>
            <w:vMerge w:val="continue"/>
            <w:vAlign w:val="center"/>
          </w:tcPr>
          <w:p w14:paraId="13F68C2F">
            <w:pPr>
              <w:spacing w:line="220" w:lineRule="exact"/>
              <w:jc w:val="both"/>
              <w:rPr>
                <w:color w:val="000000"/>
                <w:sz w:val="21"/>
              </w:rPr>
            </w:pPr>
          </w:p>
        </w:tc>
        <w:tc>
          <w:tcPr>
            <w:tcW w:w="900" w:type="dxa"/>
            <w:vMerge w:val="continue"/>
            <w:vAlign w:val="center"/>
          </w:tcPr>
          <w:p w14:paraId="314548DF">
            <w:pPr>
              <w:pStyle w:val="12"/>
              <w:spacing w:line="240" w:lineRule="auto"/>
              <w:rPr>
                <w:color w:val="000000"/>
                <w:sz w:val="21"/>
                <w:szCs w:val="21"/>
              </w:rPr>
            </w:pPr>
          </w:p>
        </w:tc>
        <w:tc>
          <w:tcPr>
            <w:tcW w:w="1259" w:type="dxa"/>
            <w:vAlign w:val="center"/>
          </w:tcPr>
          <w:p w14:paraId="0752F0CB">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氧气</w:t>
            </w:r>
          </w:p>
        </w:tc>
        <w:tc>
          <w:tcPr>
            <w:tcW w:w="1123" w:type="dxa"/>
            <w:vMerge w:val="continue"/>
            <w:vAlign w:val="center"/>
          </w:tcPr>
          <w:p w14:paraId="78213A2D">
            <w:pPr>
              <w:spacing w:line="220" w:lineRule="exact"/>
              <w:jc w:val="center"/>
              <w:rPr>
                <w:color w:val="000000"/>
                <w:sz w:val="21"/>
              </w:rPr>
            </w:pPr>
          </w:p>
        </w:tc>
        <w:tc>
          <w:tcPr>
            <w:tcW w:w="1352" w:type="dxa"/>
            <w:vMerge w:val="continue"/>
            <w:vAlign w:val="center"/>
          </w:tcPr>
          <w:p w14:paraId="2253174A">
            <w:pPr>
              <w:spacing w:line="220" w:lineRule="exact"/>
              <w:jc w:val="center"/>
              <w:rPr>
                <w:color w:val="000000"/>
                <w:sz w:val="21"/>
              </w:rPr>
            </w:pPr>
          </w:p>
        </w:tc>
        <w:tc>
          <w:tcPr>
            <w:tcW w:w="1414" w:type="dxa"/>
            <w:vAlign w:val="center"/>
          </w:tcPr>
          <w:p w14:paraId="48CB7480">
            <w:pPr>
              <w:spacing w:line="220" w:lineRule="exact"/>
              <w:jc w:val="center"/>
              <w:rPr>
                <w:color w:val="000000"/>
                <w:sz w:val="21"/>
              </w:rPr>
            </w:pPr>
            <w:r>
              <w:rPr>
                <w:color w:val="000000"/>
                <w:sz w:val="21"/>
              </w:rPr>
              <w:t>/</w:t>
            </w:r>
          </w:p>
        </w:tc>
        <w:tc>
          <w:tcPr>
            <w:tcW w:w="1110" w:type="dxa"/>
            <w:vAlign w:val="center"/>
          </w:tcPr>
          <w:p w14:paraId="7335C7A1">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0.24</w:t>
            </w:r>
          </w:p>
        </w:tc>
      </w:tr>
      <w:tr w14:paraId="32419C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7" w:hRule="atLeast"/>
          <w:jc w:val="center"/>
        </w:trPr>
        <w:tc>
          <w:tcPr>
            <w:tcW w:w="637" w:type="dxa"/>
            <w:vMerge w:val="restart"/>
            <w:vAlign w:val="center"/>
          </w:tcPr>
          <w:p w14:paraId="2131AB9B">
            <w:pPr>
              <w:pStyle w:val="407"/>
              <w:rPr>
                <w:rFonts w:ascii="Times New Roman" w:hAnsi="Times New Roman"/>
                <w:color w:val="000000"/>
                <w:szCs w:val="21"/>
              </w:rPr>
            </w:pPr>
            <w:r>
              <w:rPr>
                <w:rFonts w:ascii="Times New Roman" w:hAnsi="Times New Roman"/>
                <w:color w:val="000000"/>
                <w:szCs w:val="21"/>
              </w:rPr>
              <w:t>2</w:t>
            </w:r>
          </w:p>
        </w:tc>
        <w:tc>
          <w:tcPr>
            <w:tcW w:w="720" w:type="dxa"/>
            <w:vMerge w:val="continue"/>
            <w:vAlign w:val="center"/>
          </w:tcPr>
          <w:p w14:paraId="43857412">
            <w:pPr>
              <w:spacing w:line="220" w:lineRule="exact"/>
              <w:jc w:val="center"/>
              <w:rPr>
                <w:color w:val="000000"/>
                <w:sz w:val="21"/>
              </w:rPr>
            </w:pPr>
          </w:p>
        </w:tc>
        <w:tc>
          <w:tcPr>
            <w:tcW w:w="900" w:type="dxa"/>
            <w:vMerge w:val="restart"/>
            <w:vAlign w:val="center"/>
          </w:tcPr>
          <w:p w14:paraId="208F037B">
            <w:pPr>
              <w:pStyle w:val="12"/>
              <w:spacing w:line="240" w:lineRule="auto"/>
              <w:rPr>
                <w:color w:val="000000"/>
                <w:sz w:val="21"/>
                <w:szCs w:val="21"/>
              </w:rPr>
            </w:pPr>
            <w:r>
              <w:rPr>
                <w:color w:val="000000"/>
                <w:sz w:val="21"/>
                <w:szCs w:val="21"/>
              </w:rPr>
              <w:t>脱碳干燥再生尾气G4</w:t>
            </w:r>
          </w:p>
        </w:tc>
        <w:tc>
          <w:tcPr>
            <w:tcW w:w="1259" w:type="dxa"/>
            <w:vAlign w:val="center"/>
          </w:tcPr>
          <w:p w14:paraId="4BA66260">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氮气</w:t>
            </w:r>
          </w:p>
        </w:tc>
        <w:tc>
          <w:tcPr>
            <w:tcW w:w="1123" w:type="dxa"/>
            <w:vMerge w:val="restart"/>
            <w:vAlign w:val="center"/>
          </w:tcPr>
          <w:p w14:paraId="439413F2">
            <w:pPr>
              <w:spacing w:line="220" w:lineRule="exact"/>
              <w:jc w:val="center"/>
              <w:rPr>
                <w:color w:val="000000"/>
                <w:sz w:val="21"/>
              </w:rPr>
            </w:pPr>
            <w:r>
              <w:rPr>
                <w:color w:val="000000"/>
                <w:sz w:val="21"/>
              </w:rPr>
              <w:t>直接放空</w:t>
            </w:r>
          </w:p>
        </w:tc>
        <w:tc>
          <w:tcPr>
            <w:tcW w:w="1352" w:type="dxa"/>
            <w:vMerge w:val="continue"/>
            <w:vAlign w:val="center"/>
          </w:tcPr>
          <w:p w14:paraId="13A63F55">
            <w:pPr>
              <w:spacing w:line="220" w:lineRule="exact"/>
              <w:jc w:val="center"/>
              <w:rPr>
                <w:color w:val="000000"/>
                <w:sz w:val="21"/>
              </w:rPr>
            </w:pPr>
          </w:p>
        </w:tc>
        <w:tc>
          <w:tcPr>
            <w:tcW w:w="1414" w:type="dxa"/>
            <w:vAlign w:val="center"/>
          </w:tcPr>
          <w:p w14:paraId="563B867D">
            <w:pPr>
              <w:spacing w:line="220" w:lineRule="exact"/>
              <w:jc w:val="center"/>
              <w:rPr>
                <w:color w:val="000000"/>
                <w:sz w:val="21"/>
              </w:rPr>
            </w:pPr>
            <w:r>
              <w:rPr>
                <w:color w:val="000000"/>
                <w:sz w:val="21"/>
              </w:rPr>
              <w:t>/</w:t>
            </w:r>
          </w:p>
        </w:tc>
        <w:tc>
          <w:tcPr>
            <w:tcW w:w="1110" w:type="dxa"/>
            <w:vAlign w:val="center"/>
          </w:tcPr>
          <w:p w14:paraId="174D37D0">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66.64</w:t>
            </w:r>
          </w:p>
        </w:tc>
      </w:tr>
      <w:tr w14:paraId="00E797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7" w:hRule="atLeast"/>
          <w:jc w:val="center"/>
        </w:trPr>
        <w:tc>
          <w:tcPr>
            <w:tcW w:w="637" w:type="dxa"/>
            <w:vMerge w:val="continue"/>
            <w:vAlign w:val="center"/>
          </w:tcPr>
          <w:p w14:paraId="00952504">
            <w:pPr>
              <w:pStyle w:val="407"/>
              <w:rPr>
                <w:rFonts w:ascii="Times New Roman" w:hAnsi="Times New Roman"/>
                <w:color w:val="000000"/>
                <w:szCs w:val="21"/>
              </w:rPr>
            </w:pPr>
          </w:p>
        </w:tc>
        <w:tc>
          <w:tcPr>
            <w:tcW w:w="720" w:type="dxa"/>
            <w:vMerge w:val="continue"/>
            <w:vAlign w:val="center"/>
          </w:tcPr>
          <w:p w14:paraId="241FB23F">
            <w:pPr>
              <w:spacing w:line="220" w:lineRule="exact"/>
              <w:jc w:val="center"/>
              <w:rPr>
                <w:color w:val="000000"/>
                <w:sz w:val="21"/>
              </w:rPr>
            </w:pPr>
          </w:p>
        </w:tc>
        <w:tc>
          <w:tcPr>
            <w:tcW w:w="900" w:type="dxa"/>
            <w:vMerge w:val="continue"/>
            <w:vAlign w:val="center"/>
          </w:tcPr>
          <w:p w14:paraId="124DD8A1">
            <w:pPr>
              <w:pStyle w:val="12"/>
              <w:spacing w:line="240" w:lineRule="auto"/>
              <w:rPr>
                <w:color w:val="000000"/>
                <w:sz w:val="21"/>
                <w:szCs w:val="21"/>
              </w:rPr>
            </w:pPr>
          </w:p>
        </w:tc>
        <w:tc>
          <w:tcPr>
            <w:tcW w:w="1259" w:type="dxa"/>
            <w:vAlign w:val="center"/>
          </w:tcPr>
          <w:p w14:paraId="4E0F512F">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吹脱的水</w:t>
            </w:r>
          </w:p>
        </w:tc>
        <w:tc>
          <w:tcPr>
            <w:tcW w:w="1123" w:type="dxa"/>
            <w:vMerge w:val="continue"/>
            <w:vAlign w:val="center"/>
          </w:tcPr>
          <w:p w14:paraId="3F086590">
            <w:pPr>
              <w:spacing w:line="220" w:lineRule="exact"/>
              <w:jc w:val="center"/>
              <w:rPr>
                <w:color w:val="000000"/>
                <w:sz w:val="21"/>
              </w:rPr>
            </w:pPr>
          </w:p>
        </w:tc>
        <w:tc>
          <w:tcPr>
            <w:tcW w:w="1352" w:type="dxa"/>
            <w:vMerge w:val="restart"/>
            <w:vAlign w:val="center"/>
          </w:tcPr>
          <w:p w14:paraId="1B623863">
            <w:pPr>
              <w:spacing w:line="220" w:lineRule="exact"/>
              <w:jc w:val="center"/>
              <w:rPr>
                <w:color w:val="000000"/>
                <w:sz w:val="21"/>
              </w:rPr>
            </w:pPr>
            <w:r>
              <w:rPr>
                <w:color w:val="000000"/>
                <w:sz w:val="21"/>
              </w:rPr>
              <w:t>/</w:t>
            </w:r>
          </w:p>
          <w:p w14:paraId="234F5BC6">
            <w:pPr>
              <w:spacing w:line="220" w:lineRule="exact"/>
              <w:jc w:val="center"/>
              <w:rPr>
                <w:color w:val="000000"/>
                <w:sz w:val="21"/>
              </w:rPr>
            </w:pPr>
          </w:p>
        </w:tc>
        <w:tc>
          <w:tcPr>
            <w:tcW w:w="1414" w:type="dxa"/>
            <w:vAlign w:val="center"/>
          </w:tcPr>
          <w:p w14:paraId="5A5EBD70">
            <w:pPr>
              <w:spacing w:line="220" w:lineRule="exact"/>
              <w:jc w:val="center"/>
              <w:rPr>
                <w:color w:val="000000"/>
                <w:sz w:val="21"/>
              </w:rPr>
            </w:pPr>
            <w:r>
              <w:rPr>
                <w:color w:val="000000"/>
                <w:sz w:val="21"/>
              </w:rPr>
              <w:t>/</w:t>
            </w:r>
          </w:p>
        </w:tc>
        <w:tc>
          <w:tcPr>
            <w:tcW w:w="1110" w:type="dxa"/>
            <w:vAlign w:val="center"/>
          </w:tcPr>
          <w:p w14:paraId="7F669BF9">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0.0002</w:t>
            </w:r>
          </w:p>
        </w:tc>
      </w:tr>
      <w:tr w14:paraId="179564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7" w:hRule="atLeast"/>
          <w:jc w:val="center"/>
        </w:trPr>
        <w:tc>
          <w:tcPr>
            <w:tcW w:w="637" w:type="dxa"/>
            <w:vMerge w:val="continue"/>
            <w:vAlign w:val="center"/>
          </w:tcPr>
          <w:p w14:paraId="42A240D8">
            <w:pPr>
              <w:pStyle w:val="407"/>
              <w:rPr>
                <w:rFonts w:ascii="Times New Roman" w:hAnsi="Times New Roman"/>
                <w:color w:val="000000"/>
                <w:szCs w:val="21"/>
              </w:rPr>
            </w:pPr>
          </w:p>
        </w:tc>
        <w:tc>
          <w:tcPr>
            <w:tcW w:w="720" w:type="dxa"/>
            <w:vMerge w:val="continue"/>
            <w:vAlign w:val="center"/>
          </w:tcPr>
          <w:p w14:paraId="50A57684">
            <w:pPr>
              <w:spacing w:line="220" w:lineRule="exact"/>
              <w:jc w:val="center"/>
              <w:rPr>
                <w:color w:val="000000"/>
                <w:sz w:val="21"/>
              </w:rPr>
            </w:pPr>
          </w:p>
        </w:tc>
        <w:tc>
          <w:tcPr>
            <w:tcW w:w="900" w:type="dxa"/>
            <w:vMerge w:val="continue"/>
            <w:vAlign w:val="center"/>
          </w:tcPr>
          <w:p w14:paraId="1BC63A5A">
            <w:pPr>
              <w:pStyle w:val="12"/>
              <w:spacing w:line="240" w:lineRule="auto"/>
              <w:rPr>
                <w:color w:val="000000"/>
                <w:sz w:val="21"/>
                <w:szCs w:val="21"/>
              </w:rPr>
            </w:pPr>
          </w:p>
        </w:tc>
        <w:tc>
          <w:tcPr>
            <w:tcW w:w="1259" w:type="dxa"/>
            <w:vAlign w:val="center"/>
          </w:tcPr>
          <w:p w14:paraId="262973AA">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吹脱的二氧化碳</w:t>
            </w:r>
          </w:p>
        </w:tc>
        <w:tc>
          <w:tcPr>
            <w:tcW w:w="1123" w:type="dxa"/>
            <w:vMerge w:val="continue"/>
            <w:vAlign w:val="center"/>
          </w:tcPr>
          <w:p w14:paraId="3232D283">
            <w:pPr>
              <w:spacing w:line="220" w:lineRule="exact"/>
              <w:jc w:val="center"/>
              <w:rPr>
                <w:color w:val="000000"/>
                <w:sz w:val="21"/>
              </w:rPr>
            </w:pPr>
          </w:p>
        </w:tc>
        <w:tc>
          <w:tcPr>
            <w:tcW w:w="1352" w:type="dxa"/>
            <w:vMerge w:val="continue"/>
            <w:vAlign w:val="center"/>
          </w:tcPr>
          <w:p w14:paraId="31890191">
            <w:pPr>
              <w:spacing w:line="220" w:lineRule="exact"/>
              <w:jc w:val="center"/>
              <w:rPr>
                <w:color w:val="000000"/>
                <w:sz w:val="21"/>
              </w:rPr>
            </w:pPr>
          </w:p>
        </w:tc>
        <w:tc>
          <w:tcPr>
            <w:tcW w:w="1414" w:type="dxa"/>
            <w:vAlign w:val="center"/>
          </w:tcPr>
          <w:p w14:paraId="4951A0FE">
            <w:pPr>
              <w:spacing w:line="220" w:lineRule="exact"/>
              <w:jc w:val="center"/>
              <w:rPr>
                <w:color w:val="000000"/>
                <w:sz w:val="21"/>
              </w:rPr>
            </w:pPr>
            <w:r>
              <w:rPr>
                <w:color w:val="000000"/>
                <w:sz w:val="21"/>
              </w:rPr>
              <w:t>/</w:t>
            </w:r>
          </w:p>
        </w:tc>
        <w:tc>
          <w:tcPr>
            <w:tcW w:w="1110" w:type="dxa"/>
            <w:vAlign w:val="center"/>
          </w:tcPr>
          <w:p w14:paraId="383B03CB">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0.0006</w:t>
            </w:r>
          </w:p>
        </w:tc>
      </w:tr>
      <w:tr w14:paraId="1FC883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515" w:type="dxa"/>
            <w:gridSpan w:val="8"/>
            <w:vAlign w:val="center"/>
          </w:tcPr>
          <w:p w14:paraId="6B2CCB32">
            <w:pPr>
              <w:pStyle w:val="407"/>
              <w:adjustRightInd w:val="0"/>
              <w:snapToGrid w:val="0"/>
              <w:rPr>
                <w:rFonts w:ascii="Times New Roman" w:hAnsi="Times New Roman"/>
                <w:color w:val="000000"/>
                <w:szCs w:val="21"/>
              </w:rPr>
            </w:pPr>
            <w:r>
              <w:rPr>
                <w:rFonts w:ascii="Times New Roman" w:hAnsi="Times New Roman"/>
                <w:color w:val="000000"/>
                <w:szCs w:val="21"/>
              </w:rPr>
              <w:t>无组织排放总计</w:t>
            </w:r>
          </w:p>
        </w:tc>
      </w:tr>
      <w:tr w14:paraId="107831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1" w:hRule="atLeast"/>
          <w:jc w:val="center"/>
        </w:trPr>
        <w:tc>
          <w:tcPr>
            <w:tcW w:w="3516" w:type="dxa"/>
            <w:gridSpan w:val="4"/>
            <w:vMerge w:val="restart"/>
            <w:vAlign w:val="center"/>
          </w:tcPr>
          <w:p w14:paraId="67B1457A">
            <w:pPr>
              <w:spacing w:line="220" w:lineRule="exact"/>
              <w:jc w:val="center"/>
              <w:rPr>
                <w:color w:val="000000"/>
                <w:sz w:val="21"/>
              </w:rPr>
            </w:pPr>
            <w:r>
              <w:rPr>
                <w:color w:val="000000"/>
                <w:sz w:val="21"/>
              </w:rPr>
              <w:t>拟建项目无组织排放总计</w:t>
            </w:r>
          </w:p>
        </w:tc>
        <w:tc>
          <w:tcPr>
            <w:tcW w:w="2475" w:type="dxa"/>
            <w:gridSpan w:val="2"/>
            <w:vAlign w:val="center"/>
          </w:tcPr>
          <w:p w14:paraId="699BB46A">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氮气</w:t>
            </w:r>
          </w:p>
        </w:tc>
        <w:tc>
          <w:tcPr>
            <w:tcW w:w="2524" w:type="dxa"/>
            <w:gridSpan w:val="2"/>
            <w:vAlign w:val="center"/>
          </w:tcPr>
          <w:p w14:paraId="73AA785F">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98.64</w:t>
            </w:r>
          </w:p>
        </w:tc>
      </w:tr>
      <w:tr w14:paraId="3119F7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1" w:hRule="atLeast"/>
          <w:jc w:val="center"/>
        </w:trPr>
        <w:tc>
          <w:tcPr>
            <w:tcW w:w="3516" w:type="dxa"/>
            <w:gridSpan w:val="4"/>
            <w:vMerge w:val="continue"/>
            <w:vAlign w:val="center"/>
          </w:tcPr>
          <w:p w14:paraId="21FC77B7">
            <w:pPr>
              <w:spacing w:line="220" w:lineRule="exact"/>
              <w:jc w:val="center"/>
              <w:rPr>
                <w:color w:val="000000"/>
                <w:sz w:val="21"/>
              </w:rPr>
            </w:pPr>
          </w:p>
        </w:tc>
        <w:tc>
          <w:tcPr>
            <w:tcW w:w="2475" w:type="dxa"/>
            <w:gridSpan w:val="2"/>
            <w:vAlign w:val="center"/>
          </w:tcPr>
          <w:p w14:paraId="64A7A73A">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氧气</w:t>
            </w:r>
          </w:p>
        </w:tc>
        <w:tc>
          <w:tcPr>
            <w:tcW w:w="2524" w:type="dxa"/>
            <w:gridSpan w:val="2"/>
            <w:vAlign w:val="center"/>
          </w:tcPr>
          <w:p w14:paraId="1070681F">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0.24</w:t>
            </w:r>
          </w:p>
        </w:tc>
      </w:tr>
      <w:tr w14:paraId="2E5C64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3516" w:type="dxa"/>
            <w:gridSpan w:val="4"/>
            <w:vMerge w:val="continue"/>
            <w:vAlign w:val="center"/>
          </w:tcPr>
          <w:p w14:paraId="72099F0F">
            <w:pPr>
              <w:spacing w:line="220" w:lineRule="exact"/>
              <w:jc w:val="center"/>
              <w:rPr>
                <w:color w:val="000000"/>
                <w:sz w:val="21"/>
              </w:rPr>
            </w:pPr>
          </w:p>
        </w:tc>
        <w:tc>
          <w:tcPr>
            <w:tcW w:w="2475" w:type="dxa"/>
            <w:gridSpan w:val="2"/>
            <w:vAlign w:val="center"/>
          </w:tcPr>
          <w:p w14:paraId="2B17079C">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吹脱的水</w:t>
            </w:r>
          </w:p>
        </w:tc>
        <w:tc>
          <w:tcPr>
            <w:tcW w:w="2524" w:type="dxa"/>
            <w:gridSpan w:val="2"/>
            <w:vAlign w:val="center"/>
          </w:tcPr>
          <w:p w14:paraId="26456340">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0.0002</w:t>
            </w:r>
          </w:p>
        </w:tc>
      </w:tr>
      <w:tr w14:paraId="7AA296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3516" w:type="dxa"/>
            <w:gridSpan w:val="4"/>
            <w:vMerge w:val="continue"/>
            <w:vAlign w:val="center"/>
          </w:tcPr>
          <w:p w14:paraId="4CAF4742">
            <w:pPr>
              <w:spacing w:line="220" w:lineRule="exact"/>
              <w:jc w:val="center"/>
              <w:rPr>
                <w:color w:val="000000"/>
                <w:sz w:val="21"/>
              </w:rPr>
            </w:pPr>
          </w:p>
        </w:tc>
        <w:tc>
          <w:tcPr>
            <w:tcW w:w="2475" w:type="dxa"/>
            <w:gridSpan w:val="2"/>
            <w:vAlign w:val="center"/>
          </w:tcPr>
          <w:p w14:paraId="462D0AA6">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吹脱的二氧化碳</w:t>
            </w:r>
          </w:p>
        </w:tc>
        <w:tc>
          <w:tcPr>
            <w:tcW w:w="2524" w:type="dxa"/>
            <w:gridSpan w:val="2"/>
            <w:vAlign w:val="center"/>
          </w:tcPr>
          <w:p w14:paraId="3A1DC1DB">
            <w:pPr>
              <w:pStyle w:val="68"/>
              <w:widowControl w:val="0"/>
              <w:spacing w:before="0" w:beforeAutospacing="0" w:after="0" w:afterAutospacing="0"/>
              <w:jc w:val="center"/>
              <w:rPr>
                <w:rFonts w:ascii="Times New Roman" w:hAnsi="Times New Roman"/>
                <w:color w:val="000000"/>
                <w:kern w:val="2"/>
                <w:sz w:val="21"/>
                <w:szCs w:val="21"/>
              </w:rPr>
            </w:pPr>
            <w:r>
              <w:rPr>
                <w:rFonts w:ascii="Times New Roman" w:hAnsi="Times New Roman"/>
                <w:color w:val="000000"/>
                <w:kern w:val="2"/>
                <w:sz w:val="21"/>
                <w:szCs w:val="21"/>
              </w:rPr>
              <w:t>0.0006</w:t>
            </w:r>
          </w:p>
        </w:tc>
      </w:tr>
    </w:tbl>
    <w:p w14:paraId="5148171E">
      <w:pPr>
        <w:spacing w:line="460" w:lineRule="atLeast"/>
        <w:jc w:val="center"/>
        <w:rPr>
          <w:color w:val="000000"/>
          <w:szCs w:val="24"/>
        </w:rPr>
      </w:pPr>
    </w:p>
    <w:p w14:paraId="3DDAFCA4">
      <w:pPr>
        <w:spacing w:line="460" w:lineRule="atLeast"/>
        <w:jc w:val="center"/>
        <w:rPr>
          <w:color w:val="000000"/>
          <w:szCs w:val="24"/>
        </w:rPr>
      </w:pPr>
    </w:p>
    <w:p w14:paraId="2AD99B86">
      <w:pPr>
        <w:spacing w:line="460" w:lineRule="atLeast"/>
        <w:jc w:val="center"/>
        <w:rPr>
          <w:color w:val="000000"/>
          <w:szCs w:val="24"/>
        </w:rPr>
      </w:pPr>
    </w:p>
    <w:p w14:paraId="644B1BD8">
      <w:pPr>
        <w:spacing w:line="460" w:lineRule="atLeast"/>
        <w:jc w:val="center"/>
        <w:rPr>
          <w:color w:val="000000"/>
          <w:szCs w:val="24"/>
        </w:rPr>
      </w:pPr>
      <w:r>
        <w:rPr>
          <w:color w:val="000000"/>
          <w:szCs w:val="24"/>
        </w:rPr>
        <w:t>表4.2.1-6  本项目主要大气污染物年排放量核算表</w:t>
      </w:r>
    </w:p>
    <w:tbl>
      <w:tblPr>
        <w:tblStyle w:val="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4"/>
        <w:gridCol w:w="2834"/>
        <w:gridCol w:w="2867"/>
      </w:tblGrid>
      <w:tr w14:paraId="2D03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814" w:type="dxa"/>
          </w:tcPr>
          <w:p w14:paraId="0465BD5A">
            <w:pPr>
              <w:spacing w:line="220" w:lineRule="exact"/>
              <w:jc w:val="center"/>
              <w:rPr>
                <w:color w:val="000000"/>
                <w:sz w:val="21"/>
              </w:rPr>
            </w:pPr>
            <w:r>
              <w:rPr>
                <w:color w:val="000000"/>
                <w:sz w:val="21"/>
              </w:rPr>
              <w:t>序号</w:t>
            </w:r>
          </w:p>
        </w:tc>
        <w:tc>
          <w:tcPr>
            <w:tcW w:w="2834" w:type="dxa"/>
          </w:tcPr>
          <w:p w14:paraId="46433405">
            <w:pPr>
              <w:spacing w:line="220" w:lineRule="exact"/>
              <w:jc w:val="center"/>
              <w:rPr>
                <w:color w:val="000000"/>
                <w:sz w:val="21"/>
              </w:rPr>
            </w:pPr>
            <w:r>
              <w:rPr>
                <w:color w:val="000000"/>
                <w:sz w:val="21"/>
              </w:rPr>
              <w:t>污染物</w:t>
            </w:r>
          </w:p>
        </w:tc>
        <w:tc>
          <w:tcPr>
            <w:tcW w:w="2867" w:type="dxa"/>
          </w:tcPr>
          <w:p w14:paraId="0E38A5C3">
            <w:pPr>
              <w:spacing w:line="220" w:lineRule="exact"/>
              <w:jc w:val="center"/>
              <w:rPr>
                <w:color w:val="000000"/>
                <w:sz w:val="21"/>
              </w:rPr>
            </w:pPr>
            <w:r>
              <w:rPr>
                <w:color w:val="000000"/>
                <w:sz w:val="21"/>
              </w:rPr>
              <w:t>年排放量（t/a）</w:t>
            </w:r>
          </w:p>
        </w:tc>
      </w:tr>
      <w:tr w14:paraId="4A45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4" w:type="dxa"/>
            <w:vAlign w:val="center"/>
          </w:tcPr>
          <w:p w14:paraId="19EC6A9E">
            <w:pPr>
              <w:spacing w:line="220" w:lineRule="exact"/>
              <w:jc w:val="center"/>
              <w:rPr>
                <w:color w:val="000000"/>
                <w:sz w:val="21"/>
              </w:rPr>
            </w:pPr>
            <w:r>
              <w:rPr>
                <w:color w:val="000000"/>
                <w:sz w:val="21"/>
              </w:rPr>
              <w:t>1</w:t>
            </w:r>
          </w:p>
        </w:tc>
        <w:tc>
          <w:tcPr>
            <w:tcW w:w="2834" w:type="dxa"/>
            <w:vAlign w:val="center"/>
          </w:tcPr>
          <w:p w14:paraId="6E708DD8">
            <w:pPr>
              <w:pStyle w:val="12"/>
              <w:spacing w:line="240" w:lineRule="auto"/>
              <w:rPr>
                <w:color w:val="000000"/>
                <w:sz w:val="21"/>
                <w:szCs w:val="21"/>
              </w:rPr>
            </w:pPr>
            <w:r>
              <w:rPr>
                <w:color w:val="000000"/>
                <w:sz w:val="21"/>
                <w:szCs w:val="21"/>
              </w:rPr>
              <w:t>颗粒物</w:t>
            </w:r>
          </w:p>
        </w:tc>
        <w:tc>
          <w:tcPr>
            <w:tcW w:w="2867" w:type="dxa"/>
            <w:vAlign w:val="center"/>
          </w:tcPr>
          <w:p w14:paraId="100622BC">
            <w:pPr>
              <w:jc w:val="center"/>
              <w:textAlignment w:val="center"/>
              <w:rPr>
                <w:color w:val="000000"/>
                <w:kern w:val="0"/>
                <w:sz w:val="21"/>
              </w:rPr>
            </w:pPr>
            <w:r>
              <w:rPr>
                <w:color w:val="000000"/>
                <w:kern w:val="0"/>
                <w:sz w:val="21"/>
              </w:rPr>
              <w:t>0.06</w:t>
            </w:r>
          </w:p>
        </w:tc>
      </w:tr>
      <w:tr w14:paraId="0341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814" w:type="dxa"/>
            <w:vAlign w:val="center"/>
          </w:tcPr>
          <w:p w14:paraId="3D3397B1">
            <w:pPr>
              <w:spacing w:line="220" w:lineRule="exact"/>
              <w:jc w:val="center"/>
              <w:rPr>
                <w:color w:val="000000"/>
                <w:sz w:val="21"/>
              </w:rPr>
            </w:pPr>
            <w:r>
              <w:rPr>
                <w:color w:val="000000"/>
                <w:sz w:val="21"/>
              </w:rPr>
              <w:t>3</w:t>
            </w:r>
          </w:p>
        </w:tc>
        <w:tc>
          <w:tcPr>
            <w:tcW w:w="2834" w:type="dxa"/>
            <w:vAlign w:val="center"/>
          </w:tcPr>
          <w:p w14:paraId="171075CA">
            <w:pPr>
              <w:pStyle w:val="12"/>
              <w:spacing w:line="240" w:lineRule="auto"/>
              <w:rPr>
                <w:color w:val="000000"/>
                <w:sz w:val="21"/>
                <w:szCs w:val="21"/>
              </w:rPr>
            </w:pPr>
            <w:r>
              <w:rPr>
                <w:color w:val="000000"/>
                <w:sz w:val="21"/>
                <w:szCs w:val="21"/>
              </w:rPr>
              <w:t>SO</w:t>
            </w:r>
            <w:r>
              <w:rPr>
                <w:color w:val="000000"/>
                <w:sz w:val="21"/>
                <w:szCs w:val="21"/>
                <w:vertAlign w:val="subscript"/>
              </w:rPr>
              <w:t>2</w:t>
            </w:r>
          </w:p>
        </w:tc>
        <w:tc>
          <w:tcPr>
            <w:tcW w:w="2867" w:type="dxa"/>
            <w:vAlign w:val="center"/>
          </w:tcPr>
          <w:p w14:paraId="52041D5A">
            <w:pPr>
              <w:jc w:val="center"/>
              <w:textAlignment w:val="center"/>
              <w:rPr>
                <w:color w:val="000000"/>
                <w:kern w:val="0"/>
                <w:sz w:val="21"/>
              </w:rPr>
            </w:pPr>
            <w:r>
              <w:rPr>
                <w:color w:val="000000"/>
                <w:kern w:val="0"/>
                <w:sz w:val="21"/>
              </w:rPr>
              <w:t>0.03</w:t>
            </w:r>
          </w:p>
        </w:tc>
      </w:tr>
      <w:tr w14:paraId="6BB7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814" w:type="dxa"/>
            <w:vAlign w:val="center"/>
          </w:tcPr>
          <w:p w14:paraId="5A7D167A">
            <w:pPr>
              <w:spacing w:line="220" w:lineRule="exact"/>
              <w:jc w:val="center"/>
              <w:rPr>
                <w:color w:val="000000"/>
                <w:sz w:val="21"/>
              </w:rPr>
            </w:pPr>
            <w:r>
              <w:rPr>
                <w:color w:val="000000"/>
                <w:sz w:val="21"/>
              </w:rPr>
              <w:t>4</w:t>
            </w:r>
          </w:p>
        </w:tc>
        <w:tc>
          <w:tcPr>
            <w:tcW w:w="2834" w:type="dxa"/>
            <w:vAlign w:val="center"/>
          </w:tcPr>
          <w:p w14:paraId="3E0EABBA">
            <w:pPr>
              <w:pStyle w:val="12"/>
              <w:spacing w:line="240" w:lineRule="auto"/>
              <w:rPr>
                <w:color w:val="000000"/>
                <w:kern w:val="0"/>
                <w:sz w:val="21"/>
                <w:szCs w:val="21"/>
              </w:rPr>
            </w:pPr>
            <w:r>
              <w:rPr>
                <w:color w:val="000000"/>
                <w:sz w:val="21"/>
                <w:szCs w:val="21"/>
              </w:rPr>
              <w:t>NO</w:t>
            </w:r>
            <w:r>
              <w:rPr>
                <w:rFonts w:hint="eastAsia"/>
                <w:color w:val="000000"/>
                <w:sz w:val="24"/>
                <w:szCs w:val="24"/>
                <w:vertAlign w:val="subscript"/>
              </w:rPr>
              <w:t>X</w:t>
            </w:r>
          </w:p>
        </w:tc>
        <w:tc>
          <w:tcPr>
            <w:tcW w:w="2867" w:type="dxa"/>
            <w:vAlign w:val="center"/>
          </w:tcPr>
          <w:p w14:paraId="77F32A8C">
            <w:pPr>
              <w:jc w:val="center"/>
              <w:textAlignment w:val="center"/>
              <w:rPr>
                <w:color w:val="000000"/>
                <w:kern w:val="0"/>
                <w:sz w:val="21"/>
              </w:rPr>
            </w:pPr>
            <w:r>
              <w:rPr>
                <w:color w:val="000000"/>
                <w:kern w:val="0"/>
                <w:sz w:val="21"/>
              </w:rPr>
              <w:t>0.18</w:t>
            </w:r>
          </w:p>
        </w:tc>
      </w:tr>
      <w:tr w14:paraId="422A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4" w:type="dxa"/>
            <w:vAlign w:val="center"/>
          </w:tcPr>
          <w:p w14:paraId="53288596">
            <w:pPr>
              <w:spacing w:line="220" w:lineRule="exact"/>
              <w:jc w:val="center"/>
              <w:rPr>
                <w:color w:val="000000"/>
                <w:sz w:val="21"/>
              </w:rPr>
            </w:pPr>
            <w:r>
              <w:rPr>
                <w:color w:val="000000"/>
                <w:sz w:val="21"/>
              </w:rPr>
              <w:t>5</w:t>
            </w:r>
          </w:p>
        </w:tc>
        <w:tc>
          <w:tcPr>
            <w:tcW w:w="2834" w:type="dxa"/>
            <w:vAlign w:val="center"/>
          </w:tcPr>
          <w:p w14:paraId="11AF899E">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氮气</w:t>
            </w:r>
          </w:p>
        </w:tc>
        <w:tc>
          <w:tcPr>
            <w:tcW w:w="2867" w:type="dxa"/>
            <w:vAlign w:val="center"/>
          </w:tcPr>
          <w:p w14:paraId="09897CF9">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98.64</w:t>
            </w:r>
          </w:p>
        </w:tc>
      </w:tr>
      <w:tr w14:paraId="10B7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814" w:type="dxa"/>
            <w:vAlign w:val="center"/>
          </w:tcPr>
          <w:p w14:paraId="47367C19">
            <w:pPr>
              <w:spacing w:line="220" w:lineRule="exact"/>
              <w:jc w:val="center"/>
              <w:rPr>
                <w:color w:val="000000"/>
                <w:sz w:val="21"/>
              </w:rPr>
            </w:pPr>
            <w:r>
              <w:rPr>
                <w:color w:val="000000"/>
                <w:sz w:val="21"/>
              </w:rPr>
              <w:t>6</w:t>
            </w:r>
          </w:p>
        </w:tc>
        <w:tc>
          <w:tcPr>
            <w:tcW w:w="2834" w:type="dxa"/>
            <w:vAlign w:val="center"/>
          </w:tcPr>
          <w:p w14:paraId="1BBE8EF3">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氧气</w:t>
            </w:r>
          </w:p>
        </w:tc>
        <w:tc>
          <w:tcPr>
            <w:tcW w:w="2867" w:type="dxa"/>
            <w:vAlign w:val="center"/>
          </w:tcPr>
          <w:p w14:paraId="7DE980C5">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0.24</w:t>
            </w:r>
          </w:p>
        </w:tc>
      </w:tr>
      <w:tr w14:paraId="709F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814" w:type="dxa"/>
            <w:vAlign w:val="center"/>
          </w:tcPr>
          <w:p w14:paraId="3A948CAB">
            <w:pPr>
              <w:spacing w:line="220" w:lineRule="exact"/>
              <w:jc w:val="center"/>
              <w:rPr>
                <w:color w:val="000000"/>
                <w:sz w:val="21"/>
              </w:rPr>
            </w:pPr>
            <w:r>
              <w:rPr>
                <w:color w:val="000000"/>
                <w:sz w:val="21"/>
              </w:rPr>
              <w:t>7</w:t>
            </w:r>
          </w:p>
        </w:tc>
        <w:tc>
          <w:tcPr>
            <w:tcW w:w="2834" w:type="dxa"/>
            <w:vAlign w:val="center"/>
          </w:tcPr>
          <w:p w14:paraId="65CC4580">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吹脱的水</w:t>
            </w:r>
          </w:p>
        </w:tc>
        <w:tc>
          <w:tcPr>
            <w:tcW w:w="2867" w:type="dxa"/>
            <w:vAlign w:val="center"/>
          </w:tcPr>
          <w:p w14:paraId="4484E411">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0.0002</w:t>
            </w:r>
          </w:p>
        </w:tc>
      </w:tr>
      <w:tr w14:paraId="375F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814" w:type="dxa"/>
            <w:vAlign w:val="center"/>
          </w:tcPr>
          <w:p w14:paraId="29A31EAB">
            <w:pPr>
              <w:spacing w:line="220" w:lineRule="exact"/>
              <w:jc w:val="center"/>
              <w:rPr>
                <w:color w:val="000000"/>
                <w:sz w:val="21"/>
              </w:rPr>
            </w:pPr>
            <w:r>
              <w:rPr>
                <w:color w:val="000000"/>
                <w:sz w:val="21"/>
              </w:rPr>
              <w:t>8</w:t>
            </w:r>
          </w:p>
        </w:tc>
        <w:tc>
          <w:tcPr>
            <w:tcW w:w="2834" w:type="dxa"/>
            <w:vAlign w:val="center"/>
          </w:tcPr>
          <w:p w14:paraId="2477484D">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吹脱的二氧化碳</w:t>
            </w:r>
          </w:p>
        </w:tc>
        <w:tc>
          <w:tcPr>
            <w:tcW w:w="2867" w:type="dxa"/>
            <w:vAlign w:val="center"/>
          </w:tcPr>
          <w:p w14:paraId="5DCEFD23">
            <w:pPr>
              <w:pStyle w:val="68"/>
              <w:widowControl w:val="0"/>
              <w:spacing w:before="0" w:beforeAutospacing="0" w:after="0" w:afterAutospacing="0"/>
              <w:jc w:val="center"/>
              <w:rPr>
                <w:rFonts w:ascii="Times New Roman" w:hAnsi="Times New Roman"/>
                <w:color w:val="000000"/>
                <w:sz w:val="21"/>
                <w:szCs w:val="21"/>
              </w:rPr>
            </w:pPr>
            <w:r>
              <w:rPr>
                <w:rFonts w:ascii="Times New Roman" w:hAnsi="Times New Roman"/>
                <w:color w:val="000000"/>
                <w:kern w:val="2"/>
                <w:sz w:val="21"/>
                <w:szCs w:val="21"/>
              </w:rPr>
              <w:t>0.0006</w:t>
            </w:r>
          </w:p>
        </w:tc>
      </w:tr>
    </w:tbl>
    <w:p w14:paraId="463B3EAD">
      <w:pPr>
        <w:pStyle w:val="771"/>
        <w:rPr>
          <w:color w:val="000000"/>
        </w:rPr>
      </w:pPr>
      <w:bookmarkStart w:id="489" w:name="_Toc6612_WPSOffice_Level3"/>
      <w:r>
        <w:rPr>
          <w:color w:val="000000"/>
        </w:rPr>
        <w:t>5.2.2 地表水环境影响分析</w:t>
      </w:r>
      <w:bookmarkEnd w:id="483"/>
      <w:bookmarkEnd w:id="484"/>
      <w:bookmarkEnd w:id="485"/>
      <w:bookmarkEnd w:id="486"/>
      <w:bookmarkEnd w:id="487"/>
      <w:bookmarkEnd w:id="489"/>
      <w:r>
        <w:rPr>
          <w:color w:val="000000"/>
        </w:rPr>
        <w:t>与评价</w:t>
      </w:r>
    </w:p>
    <w:p w14:paraId="5F8398AB">
      <w:pPr>
        <w:ind w:firstLine="480"/>
        <w:rPr>
          <w:color w:val="000000"/>
          <w:szCs w:val="24"/>
        </w:rPr>
      </w:pPr>
      <w:r>
        <w:rPr>
          <w:color w:val="000000"/>
        </w:rPr>
        <w:t>根据《环境影响评价技术导则—地表水环境》（HJ2.3-2018）中对三级B的项目的</w:t>
      </w:r>
      <w:r>
        <w:rPr>
          <w:color w:val="000000"/>
          <w:szCs w:val="24"/>
        </w:rPr>
        <w:t>要求，本项目环境影响分析主要对项目水污染控制和水环境影响减缓措施有效性评价、依托污水处理设施的环境可行性评价。</w:t>
      </w:r>
    </w:p>
    <w:p w14:paraId="5E8DBDCF">
      <w:pPr>
        <w:pStyle w:val="785"/>
        <w:rPr>
          <w:color w:val="000000"/>
          <w:szCs w:val="24"/>
        </w:rPr>
      </w:pPr>
      <w:bookmarkStart w:id="490" w:name="_Toc11604902"/>
      <w:bookmarkStart w:id="491" w:name="_Toc11604903"/>
      <w:bookmarkStart w:id="492" w:name="_Hlk61435577"/>
      <w:r>
        <w:rPr>
          <w:color w:val="000000"/>
          <w:szCs w:val="24"/>
          <w:lang w:val="en-US"/>
        </w:rPr>
        <w:t>5.2.2.1</w:t>
      </w:r>
      <w:r>
        <w:rPr>
          <w:color w:val="000000"/>
          <w:szCs w:val="24"/>
        </w:rPr>
        <w:t>水污染控制和水环境影响减缓措施有效性评价</w:t>
      </w:r>
    </w:p>
    <w:p w14:paraId="2928548E">
      <w:pPr>
        <w:ind w:firstLine="480" w:firstLineChars="200"/>
        <w:rPr>
          <w:color w:val="000000"/>
          <w:szCs w:val="24"/>
        </w:rPr>
      </w:pPr>
      <w:r>
        <w:rPr>
          <w:color w:val="000000"/>
          <w:szCs w:val="24"/>
        </w:rPr>
        <w:t>本项目生产装置催化燃烧脱氢中氢气和氧气发生反应生成的水经冷却器冷凝析出，产生冷凝水W1，该部分水量约为0.0056m</w:t>
      </w:r>
      <w:r>
        <w:rPr>
          <w:color w:val="000000"/>
          <w:szCs w:val="24"/>
          <w:vertAlign w:val="superscript"/>
        </w:rPr>
        <w:t>3</w:t>
      </w:r>
      <w:r>
        <w:rPr>
          <w:color w:val="000000"/>
          <w:szCs w:val="24"/>
        </w:rPr>
        <w:t>/h（即0.1344m</w:t>
      </w:r>
      <w:r>
        <w:rPr>
          <w:color w:val="000000"/>
          <w:szCs w:val="24"/>
          <w:vertAlign w:val="superscript"/>
        </w:rPr>
        <w:t>3</w:t>
      </w:r>
      <w:r>
        <w:rPr>
          <w:color w:val="000000"/>
          <w:szCs w:val="24"/>
        </w:rPr>
        <w:t>/d），污染物主要为SS、COD等，污染物浓度与生活污水中SS、COD浓度接近。</w:t>
      </w:r>
    </w:p>
    <w:p w14:paraId="045A119E">
      <w:pPr>
        <w:ind w:firstLine="480" w:firstLineChars="200"/>
        <w:rPr>
          <w:color w:val="000000"/>
          <w:szCs w:val="24"/>
        </w:rPr>
      </w:pPr>
      <w:r>
        <w:rPr>
          <w:color w:val="000000"/>
          <w:szCs w:val="24"/>
        </w:rPr>
        <w:t>本项目生活污水来自员工日常生活污水，产生量为0.54m</w:t>
      </w:r>
      <w:r>
        <w:rPr>
          <w:color w:val="000000"/>
          <w:szCs w:val="24"/>
          <w:vertAlign w:val="superscript"/>
        </w:rPr>
        <w:t>3</w:t>
      </w:r>
      <w:r>
        <w:rPr>
          <w:color w:val="000000"/>
          <w:szCs w:val="24"/>
        </w:rPr>
        <w:t>/d，产生量较小，污染物为COD、BOD</w:t>
      </w:r>
      <w:r>
        <w:rPr>
          <w:color w:val="000000"/>
          <w:szCs w:val="24"/>
          <w:vertAlign w:val="subscript"/>
        </w:rPr>
        <w:t>5</w:t>
      </w:r>
      <w:r>
        <w:rPr>
          <w:color w:val="000000"/>
          <w:szCs w:val="24"/>
        </w:rPr>
        <w:t>、NH</w:t>
      </w:r>
      <w:r>
        <w:rPr>
          <w:color w:val="000000"/>
          <w:szCs w:val="24"/>
          <w:vertAlign w:val="subscript"/>
        </w:rPr>
        <w:t>3</w:t>
      </w:r>
      <w:r>
        <w:rPr>
          <w:color w:val="000000"/>
          <w:szCs w:val="24"/>
        </w:rPr>
        <w:t>-N、SS。</w:t>
      </w:r>
    </w:p>
    <w:p w14:paraId="5AF6194C">
      <w:pPr>
        <w:pStyle w:val="31"/>
        <w:spacing w:after="0"/>
        <w:rPr>
          <w:color w:val="000000"/>
        </w:rPr>
      </w:pPr>
      <w:r>
        <w:rPr>
          <w:color w:val="000000"/>
          <w:kern w:val="2"/>
          <w:szCs w:val="24"/>
        </w:rPr>
        <w:t xml:space="preserve">    本项目生产废水、生活污水产生量较少，污染物因子简单，生产废水依托LNG工厂生产废水池处理后进入生产废水提升池、生活污水依托LNG工厂现有化粪池处理后进入生活污水提升池，分别经泵提升后在界区内汇合后统一输送至园区潘家坝污水处理厂处理</w:t>
      </w:r>
      <w:r>
        <w:rPr>
          <w:rFonts w:hint="eastAsia"/>
          <w:color w:val="000000"/>
          <w:kern w:val="2"/>
          <w:szCs w:val="24"/>
        </w:rPr>
        <w:t>，生产废水及生活污水</w:t>
      </w:r>
      <w:r>
        <w:rPr>
          <w:color w:val="000000"/>
          <w:kern w:val="2"/>
          <w:szCs w:val="24"/>
        </w:rPr>
        <w:t>利用现有设施处理后可做到达标排放，因此本项目采用的水污染防治措施有效。</w:t>
      </w:r>
    </w:p>
    <w:p w14:paraId="4D5E64A2">
      <w:pPr>
        <w:outlineLvl w:val="3"/>
        <w:rPr>
          <w:color w:val="000000"/>
          <w:szCs w:val="24"/>
        </w:rPr>
      </w:pPr>
      <w:r>
        <w:rPr>
          <w:color w:val="000000"/>
          <w:szCs w:val="24"/>
        </w:rPr>
        <w:t>5.2.2.2依托现有污水处理设施的可行性分析</w:t>
      </w:r>
    </w:p>
    <w:p w14:paraId="593D158C">
      <w:pPr>
        <w:ind w:firstLine="480" w:firstLineChars="200"/>
        <w:rPr>
          <w:color w:val="000000"/>
          <w:szCs w:val="24"/>
        </w:rPr>
      </w:pPr>
      <w:r>
        <w:rPr>
          <w:color w:val="000000"/>
          <w:szCs w:val="24"/>
        </w:rPr>
        <w:t>本项目废水主要生产废水、生活污水，合计0.67m</w:t>
      </w:r>
      <w:r>
        <w:rPr>
          <w:color w:val="000000"/>
          <w:szCs w:val="24"/>
          <w:vertAlign w:val="superscript"/>
        </w:rPr>
        <w:t>3</w:t>
      </w:r>
      <w:r>
        <w:rPr>
          <w:color w:val="000000"/>
          <w:szCs w:val="24"/>
        </w:rPr>
        <w:t>/d，废水产生量较小，水质污染因子简单，污染物浓度较小。生活污水依托LNG工厂现有化粪池处理后进入生活污水提升池，生产废水依托LNG工厂生产废水池处理，经泵输送汇合后一起输送至园区潘家坝污水处理厂处理。</w:t>
      </w:r>
    </w:p>
    <w:p w14:paraId="28F2D6A5">
      <w:pPr>
        <w:widowControl w:val="0"/>
        <w:ind w:firstLine="480" w:firstLineChars="200"/>
        <w:rPr>
          <w:color w:val="000000"/>
          <w:szCs w:val="24"/>
        </w:rPr>
      </w:pPr>
      <w:r>
        <w:rPr>
          <w:color w:val="000000"/>
          <w:szCs w:val="24"/>
        </w:rPr>
        <w:t>LNG工厂设有1个生产废水池（设计处理规模2.2m</w:t>
      </w:r>
      <w:r>
        <w:rPr>
          <w:color w:val="000000"/>
          <w:szCs w:val="24"/>
          <w:vertAlign w:val="superscript"/>
        </w:rPr>
        <w:t>3</w:t>
      </w:r>
      <w:r>
        <w:rPr>
          <w:color w:val="000000"/>
          <w:szCs w:val="24"/>
        </w:rPr>
        <w:t>/h），现实际处理规模约2m</w:t>
      </w:r>
      <w:r>
        <w:rPr>
          <w:color w:val="000000"/>
          <w:szCs w:val="24"/>
          <w:vertAlign w:val="superscript"/>
        </w:rPr>
        <w:t>3</w:t>
      </w:r>
      <w:r>
        <w:rPr>
          <w:color w:val="000000"/>
          <w:szCs w:val="24"/>
        </w:rPr>
        <w:t>/h，富余0.2m</w:t>
      </w:r>
      <w:r>
        <w:rPr>
          <w:color w:val="000000"/>
          <w:szCs w:val="24"/>
          <w:vertAlign w:val="superscript"/>
        </w:rPr>
        <w:t>3</w:t>
      </w:r>
      <w:r>
        <w:rPr>
          <w:color w:val="000000"/>
          <w:szCs w:val="24"/>
        </w:rPr>
        <w:t>/h，本项目生产废水量为0.0056m</w:t>
      </w:r>
      <w:r>
        <w:rPr>
          <w:color w:val="000000"/>
          <w:szCs w:val="24"/>
          <w:vertAlign w:val="superscript"/>
        </w:rPr>
        <w:t>3</w:t>
      </w:r>
      <w:r>
        <w:rPr>
          <w:color w:val="000000"/>
          <w:szCs w:val="24"/>
        </w:rPr>
        <w:t>/h，其富余规模可满足本项目生产废水处理需求。</w:t>
      </w:r>
    </w:p>
    <w:p w14:paraId="348D3A4B">
      <w:pPr>
        <w:widowControl w:val="0"/>
        <w:ind w:firstLine="480" w:firstLineChars="200"/>
        <w:rPr>
          <w:color w:val="000000"/>
          <w:szCs w:val="24"/>
        </w:rPr>
      </w:pPr>
      <w:r>
        <w:rPr>
          <w:color w:val="000000"/>
          <w:szCs w:val="24"/>
        </w:rPr>
        <w:t>生活污水产生量0.54m</w:t>
      </w:r>
      <w:r>
        <w:rPr>
          <w:color w:val="000000"/>
          <w:szCs w:val="24"/>
          <w:vertAlign w:val="superscript"/>
        </w:rPr>
        <w:t>3</w:t>
      </w:r>
      <w:r>
        <w:rPr>
          <w:color w:val="000000"/>
          <w:szCs w:val="24"/>
        </w:rPr>
        <w:t>/d，LNG工厂设有2个化粪池，其中综合楼化粪池处理规模约12m</w:t>
      </w:r>
      <w:r>
        <w:rPr>
          <w:color w:val="000000"/>
          <w:szCs w:val="24"/>
          <w:vertAlign w:val="superscript"/>
        </w:rPr>
        <w:t>3</w:t>
      </w:r>
      <w:r>
        <w:rPr>
          <w:color w:val="000000"/>
          <w:szCs w:val="24"/>
        </w:rPr>
        <w:t>/d，装卸区化粪池处理规模</w:t>
      </w:r>
      <w:r>
        <w:rPr>
          <w:rFonts w:hint="eastAsia"/>
          <w:color w:val="000000"/>
          <w:szCs w:val="24"/>
        </w:rPr>
        <w:t>6</w:t>
      </w:r>
      <w:r>
        <w:rPr>
          <w:color w:val="000000"/>
          <w:szCs w:val="24"/>
        </w:rPr>
        <w:t>m</w:t>
      </w:r>
      <w:r>
        <w:rPr>
          <w:color w:val="000000"/>
          <w:szCs w:val="24"/>
          <w:vertAlign w:val="superscript"/>
        </w:rPr>
        <w:t>3</w:t>
      </w:r>
      <w:r>
        <w:rPr>
          <w:color w:val="000000"/>
          <w:szCs w:val="24"/>
        </w:rPr>
        <w:t>/d，本项目依托综合楼化粪池现实际处理规模约8m</w:t>
      </w:r>
      <w:r>
        <w:rPr>
          <w:color w:val="000000"/>
          <w:szCs w:val="24"/>
          <w:vertAlign w:val="superscript"/>
        </w:rPr>
        <w:t>3</w:t>
      </w:r>
      <w:r>
        <w:rPr>
          <w:color w:val="000000"/>
          <w:szCs w:val="24"/>
        </w:rPr>
        <w:t>/d，富余4m</w:t>
      </w:r>
      <w:r>
        <w:rPr>
          <w:color w:val="000000"/>
          <w:szCs w:val="24"/>
          <w:vertAlign w:val="superscript"/>
        </w:rPr>
        <w:t>3</w:t>
      </w:r>
      <w:r>
        <w:rPr>
          <w:color w:val="000000"/>
          <w:szCs w:val="24"/>
        </w:rPr>
        <w:t>/d，可满足本项目生活污水处理需求。</w:t>
      </w:r>
    </w:p>
    <w:p w14:paraId="7AA7EEFE">
      <w:pPr>
        <w:ind w:firstLine="480" w:firstLineChars="200"/>
        <w:rPr>
          <w:color w:val="000000"/>
          <w:szCs w:val="24"/>
        </w:rPr>
      </w:pPr>
      <w:r>
        <w:rPr>
          <w:color w:val="000000"/>
          <w:szCs w:val="24"/>
        </w:rPr>
        <w:t>故从水质、水量上分析，项目生产废水、生活污水依托现有污水处理装置是可行的。</w:t>
      </w:r>
    </w:p>
    <w:p w14:paraId="448A1EB7">
      <w:pPr>
        <w:widowControl w:val="0"/>
        <w:outlineLvl w:val="3"/>
        <w:rPr>
          <w:color w:val="000000"/>
          <w:szCs w:val="24"/>
        </w:rPr>
      </w:pPr>
      <w:r>
        <w:rPr>
          <w:color w:val="000000"/>
          <w:szCs w:val="24"/>
        </w:rPr>
        <w:t>5.2.2.3依托潘家坝污水处理厂的可行性分析</w:t>
      </w:r>
    </w:p>
    <w:p w14:paraId="47F3D5D9">
      <w:pPr>
        <w:ind w:firstLine="480" w:firstLineChars="200"/>
        <w:rPr>
          <w:color w:val="000000"/>
          <w:szCs w:val="24"/>
        </w:rPr>
      </w:pPr>
      <w:r>
        <w:rPr>
          <w:color w:val="000000"/>
          <w:szCs w:val="24"/>
        </w:rPr>
        <w:t>项目废水经厂区现有污水处理装置处理达</w:t>
      </w:r>
      <w:r>
        <w:rPr>
          <w:color w:val="000000"/>
        </w:rPr>
        <w:t>涪陵区拓源污水治理有限公司白涛化工园区潘家坝污水处理厂进水水质标准及</w:t>
      </w:r>
      <w:r>
        <w:rPr>
          <w:color w:val="000000"/>
          <w:szCs w:val="24"/>
        </w:rPr>
        <w:t>《污水综合排放标准》（GB8978-1996）三级标准后进入园区污水管网，最后排入园区潘家坝污水处理厂集中处理达到《化工园区主要水污染物排放标准》（DB50/457-2012）中表1标准后排放。</w:t>
      </w:r>
    </w:p>
    <w:p w14:paraId="53400304">
      <w:pPr>
        <w:widowControl w:val="0"/>
        <w:ind w:firstLine="480" w:firstLineChars="200"/>
        <w:rPr>
          <w:bCs/>
          <w:color w:val="000000"/>
          <w:szCs w:val="24"/>
        </w:rPr>
      </w:pPr>
      <w:r>
        <w:rPr>
          <w:color w:val="000000"/>
          <w:szCs w:val="24"/>
        </w:rPr>
        <w:t>潘家坝污水处理厂由2008年启动建设，目前一期工程已经建成投入使用，建设规模为1万m</w:t>
      </w:r>
      <w:r>
        <w:rPr>
          <w:color w:val="000000"/>
          <w:szCs w:val="24"/>
          <w:vertAlign w:val="superscript"/>
        </w:rPr>
        <w:t>3</w:t>
      </w:r>
      <w:r>
        <w:rPr>
          <w:color w:val="000000"/>
          <w:szCs w:val="24"/>
        </w:rPr>
        <w:t>/d，</w:t>
      </w:r>
      <w:r>
        <w:rPr>
          <w:bCs/>
          <w:color w:val="000000"/>
          <w:szCs w:val="24"/>
        </w:rPr>
        <w:t>采用的工艺为CASS处理工艺，即集水池-旋流除砂—混凝沉淀—CASS—消毒。并配套管网建设。服务范围为白涛化工园区天然气化工区，具体为：潘家坝以北沿后溪河约4km</w:t>
      </w:r>
      <w:r>
        <w:rPr>
          <w:bCs/>
          <w:color w:val="000000"/>
          <w:szCs w:val="24"/>
          <w:vertAlign w:val="superscript"/>
        </w:rPr>
        <w:t>2</w:t>
      </w:r>
      <w:r>
        <w:rPr>
          <w:bCs/>
          <w:color w:val="000000"/>
          <w:szCs w:val="24"/>
        </w:rPr>
        <w:t>的范围。目前正常日纳水量约为6000m</w:t>
      </w:r>
      <w:r>
        <w:rPr>
          <w:bCs/>
          <w:color w:val="000000"/>
          <w:szCs w:val="24"/>
          <w:vertAlign w:val="superscript"/>
        </w:rPr>
        <w:t>3</w:t>
      </w:r>
      <w:r>
        <w:rPr>
          <w:bCs/>
          <w:color w:val="000000"/>
          <w:szCs w:val="24"/>
        </w:rPr>
        <w:t>/d，最大日接纳水量为9000m</w:t>
      </w:r>
      <w:r>
        <w:rPr>
          <w:bCs/>
          <w:color w:val="000000"/>
          <w:szCs w:val="24"/>
          <w:vertAlign w:val="superscript"/>
        </w:rPr>
        <w:t>3</w:t>
      </w:r>
      <w:r>
        <w:rPr>
          <w:bCs/>
          <w:color w:val="000000"/>
          <w:szCs w:val="24"/>
        </w:rPr>
        <w:t>/d。为了满足园区发展需要，目前潘家坝污水处理厂正在实施扩建，新增处理能力为2.0万m</w:t>
      </w:r>
      <w:r>
        <w:rPr>
          <w:bCs/>
          <w:color w:val="000000"/>
          <w:szCs w:val="24"/>
          <w:vertAlign w:val="superscript"/>
        </w:rPr>
        <w:t>3</w:t>
      </w:r>
      <w:r>
        <w:rPr>
          <w:bCs/>
          <w:color w:val="000000"/>
          <w:szCs w:val="24"/>
        </w:rPr>
        <w:t>/d（扩建后潘家坝污水处理厂的处理能力将达到3.0万m</w:t>
      </w:r>
      <w:r>
        <w:rPr>
          <w:bCs/>
          <w:color w:val="000000"/>
          <w:szCs w:val="24"/>
          <w:vertAlign w:val="superscript"/>
        </w:rPr>
        <w:t>3</w:t>
      </w:r>
      <w:r>
        <w:rPr>
          <w:bCs/>
          <w:color w:val="000000"/>
          <w:szCs w:val="24"/>
        </w:rPr>
        <w:t>/d），目前扩建工程已建成1万m</w:t>
      </w:r>
      <w:r>
        <w:rPr>
          <w:bCs/>
          <w:color w:val="000000"/>
          <w:szCs w:val="24"/>
          <w:vertAlign w:val="superscript"/>
        </w:rPr>
        <w:t>3</w:t>
      </w:r>
      <w:r>
        <w:rPr>
          <w:bCs/>
          <w:color w:val="000000"/>
          <w:szCs w:val="24"/>
        </w:rPr>
        <w:t>/d处理能力，处于竣工环保验收阶段，总处理能力为2.0万m</w:t>
      </w:r>
      <w:r>
        <w:rPr>
          <w:bCs/>
          <w:color w:val="000000"/>
          <w:szCs w:val="24"/>
          <w:vertAlign w:val="superscript"/>
        </w:rPr>
        <w:t>3</w:t>
      </w:r>
      <w:r>
        <w:rPr>
          <w:bCs/>
          <w:color w:val="000000"/>
          <w:szCs w:val="24"/>
        </w:rPr>
        <w:t>/d。满足本项目废水处理的需求。建设单位与</w:t>
      </w:r>
      <w:r>
        <w:rPr>
          <w:color w:val="000000"/>
          <w:szCs w:val="24"/>
        </w:rPr>
        <w:t>潘家坝污水处理厂运营公司（</w:t>
      </w:r>
      <w:r>
        <w:rPr>
          <w:color w:val="000000"/>
        </w:rPr>
        <w:t>涪陵区拓源污水治理有限公司</w:t>
      </w:r>
      <w:r>
        <w:rPr>
          <w:color w:val="000000"/>
          <w:szCs w:val="24"/>
        </w:rPr>
        <w:t>）签订了污水处理服务合同。</w:t>
      </w:r>
    </w:p>
    <w:p w14:paraId="6A2586D8">
      <w:pPr>
        <w:pStyle w:val="43"/>
        <w:widowControl w:val="0"/>
        <w:spacing w:after="0" w:line="360" w:lineRule="auto"/>
        <w:ind w:left="0" w:leftChars="0" w:firstLine="480" w:firstLineChars="200"/>
        <w:rPr>
          <w:color w:val="000000"/>
        </w:rPr>
      </w:pPr>
      <w:r>
        <w:rPr>
          <w:color w:val="000000"/>
          <w:szCs w:val="24"/>
        </w:rPr>
        <w:t>因此，本项目废水处理后排入潘家坝污水处理厂可行。</w:t>
      </w:r>
    </w:p>
    <w:bookmarkEnd w:id="490"/>
    <w:bookmarkEnd w:id="491"/>
    <w:bookmarkEnd w:id="492"/>
    <w:p w14:paraId="3BB0F13A">
      <w:pPr>
        <w:pStyle w:val="785"/>
        <w:rPr>
          <w:color w:val="000000"/>
          <w:szCs w:val="24"/>
        </w:rPr>
      </w:pPr>
      <w:r>
        <w:rPr>
          <w:color w:val="000000"/>
          <w:szCs w:val="24"/>
          <w:lang w:val="en-US"/>
        </w:rPr>
        <w:t>5.2.2.4</w:t>
      </w:r>
      <w:r>
        <w:rPr>
          <w:color w:val="000000"/>
          <w:szCs w:val="24"/>
        </w:rPr>
        <w:t>废水污染物排放信息</w:t>
      </w:r>
    </w:p>
    <w:p w14:paraId="660ADAA1">
      <w:pPr>
        <w:ind w:firstLine="522"/>
        <w:rPr>
          <w:color w:val="000000"/>
          <w:szCs w:val="24"/>
        </w:rPr>
      </w:pPr>
      <w:r>
        <w:rPr>
          <w:color w:val="000000"/>
        </w:rPr>
        <w:t>本项目</w:t>
      </w:r>
      <w:r>
        <w:rPr>
          <w:color w:val="000000"/>
          <w:szCs w:val="24"/>
        </w:rPr>
        <w:t>废水处理均依托现有工程，生产废水经生产污水池处理、生活污水经化粪池处理后，经泵提升后，经同一外排口输送至园区潘家污水处理厂集中处理。</w:t>
      </w:r>
    </w:p>
    <w:p w14:paraId="0BE5E04A">
      <w:pPr>
        <w:ind w:firstLine="480"/>
        <w:rPr>
          <w:color w:val="000000"/>
        </w:rPr>
      </w:pPr>
      <w:r>
        <w:rPr>
          <w:color w:val="000000"/>
        </w:rPr>
        <w:t>废水污染物排放信息详见表5.2.2-1至表5.2.2-3。</w:t>
      </w:r>
    </w:p>
    <w:p w14:paraId="4E1940BD">
      <w:pPr>
        <w:pStyle w:val="2"/>
        <w:ind w:left="0" w:leftChars="0" w:firstLine="0" w:firstLineChars="0"/>
        <w:rPr>
          <w:rFonts w:ascii="Times New Roman" w:hAnsi="Times New Roman" w:cs="Times New Roman"/>
          <w:color w:val="000000"/>
        </w:rPr>
        <w:sectPr>
          <w:footerReference r:id="rId15" w:type="default"/>
          <w:pgSz w:w="11905" w:h="16838"/>
          <w:pgMar w:top="1440" w:right="1803" w:bottom="1440" w:left="1803" w:header="850" w:footer="907" w:gutter="0"/>
          <w:cols w:space="720" w:num="1"/>
          <w:docGrid w:type="lines" w:linePitch="332" w:charSpace="0"/>
        </w:sectPr>
      </w:pPr>
    </w:p>
    <w:p w14:paraId="0233A2BD">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5</w:t>
      </w:r>
      <w:r>
        <w:rPr>
          <w:rFonts w:ascii="Times New Roman" w:hAnsi="Times New Roman"/>
          <w:color w:val="000000"/>
        </w:rPr>
        <w:t>.2.2-1  废水类别、污染物及污染治理设施信息表</w:t>
      </w:r>
    </w:p>
    <w:tbl>
      <w:tblPr>
        <w:tblStyle w:val="73"/>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49"/>
        <w:gridCol w:w="1858"/>
        <w:gridCol w:w="1103"/>
        <w:gridCol w:w="1928"/>
        <w:gridCol w:w="851"/>
        <w:gridCol w:w="1811"/>
        <w:gridCol w:w="1764"/>
        <w:gridCol w:w="1302"/>
        <w:gridCol w:w="1459"/>
        <w:gridCol w:w="1048"/>
      </w:tblGrid>
      <w:tr w14:paraId="69EF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49" w:type="dxa"/>
            <w:vMerge w:val="restart"/>
            <w:vAlign w:val="center"/>
          </w:tcPr>
          <w:p w14:paraId="738D57B9">
            <w:pPr>
              <w:spacing w:line="240" w:lineRule="auto"/>
              <w:jc w:val="center"/>
              <w:rPr>
                <w:color w:val="000000"/>
                <w:sz w:val="21"/>
              </w:rPr>
            </w:pPr>
            <w:r>
              <w:rPr>
                <w:color w:val="000000"/>
                <w:sz w:val="21"/>
              </w:rPr>
              <w:t>废水类别</w:t>
            </w:r>
          </w:p>
        </w:tc>
        <w:tc>
          <w:tcPr>
            <w:tcW w:w="1858" w:type="dxa"/>
            <w:vMerge w:val="restart"/>
            <w:vAlign w:val="center"/>
          </w:tcPr>
          <w:p w14:paraId="026E3E97">
            <w:pPr>
              <w:spacing w:line="240" w:lineRule="auto"/>
              <w:jc w:val="center"/>
              <w:rPr>
                <w:color w:val="000000"/>
                <w:sz w:val="21"/>
              </w:rPr>
            </w:pPr>
            <w:r>
              <w:rPr>
                <w:color w:val="000000"/>
                <w:sz w:val="21"/>
              </w:rPr>
              <w:t>污染物种类</w:t>
            </w:r>
          </w:p>
        </w:tc>
        <w:tc>
          <w:tcPr>
            <w:tcW w:w="1103" w:type="dxa"/>
            <w:vMerge w:val="restart"/>
            <w:vAlign w:val="center"/>
          </w:tcPr>
          <w:p w14:paraId="5E1FFB14">
            <w:pPr>
              <w:spacing w:line="240" w:lineRule="auto"/>
              <w:jc w:val="center"/>
              <w:rPr>
                <w:color w:val="000000"/>
                <w:sz w:val="21"/>
              </w:rPr>
            </w:pPr>
            <w:r>
              <w:rPr>
                <w:color w:val="000000"/>
                <w:sz w:val="21"/>
              </w:rPr>
              <w:t>排放去向</w:t>
            </w:r>
          </w:p>
        </w:tc>
        <w:tc>
          <w:tcPr>
            <w:tcW w:w="1928" w:type="dxa"/>
            <w:vMerge w:val="restart"/>
            <w:vAlign w:val="center"/>
          </w:tcPr>
          <w:p w14:paraId="0652DC18">
            <w:pPr>
              <w:spacing w:line="240" w:lineRule="auto"/>
              <w:jc w:val="center"/>
              <w:rPr>
                <w:color w:val="000000"/>
                <w:sz w:val="21"/>
              </w:rPr>
            </w:pPr>
            <w:r>
              <w:rPr>
                <w:color w:val="000000"/>
                <w:sz w:val="21"/>
              </w:rPr>
              <w:t>排放规律</w:t>
            </w:r>
          </w:p>
        </w:tc>
        <w:tc>
          <w:tcPr>
            <w:tcW w:w="4426" w:type="dxa"/>
            <w:gridSpan w:val="3"/>
            <w:vAlign w:val="center"/>
          </w:tcPr>
          <w:p w14:paraId="08D582EB">
            <w:pPr>
              <w:spacing w:line="240" w:lineRule="auto"/>
              <w:jc w:val="center"/>
              <w:rPr>
                <w:color w:val="000000"/>
                <w:sz w:val="21"/>
              </w:rPr>
            </w:pPr>
            <w:r>
              <w:rPr>
                <w:color w:val="000000"/>
                <w:sz w:val="21"/>
              </w:rPr>
              <w:t>污染治理设施</w:t>
            </w:r>
          </w:p>
        </w:tc>
        <w:tc>
          <w:tcPr>
            <w:tcW w:w="1302" w:type="dxa"/>
            <w:vMerge w:val="restart"/>
            <w:vAlign w:val="center"/>
          </w:tcPr>
          <w:p w14:paraId="79B1F942">
            <w:pPr>
              <w:spacing w:line="240" w:lineRule="auto"/>
              <w:jc w:val="center"/>
              <w:rPr>
                <w:color w:val="000000"/>
                <w:sz w:val="21"/>
              </w:rPr>
            </w:pPr>
            <w:r>
              <w:rPr>
                <w:color w:val="000000"/>
                <w:sz w:val="21"/>
              </w:rPr>
              <w:t>排放口编号</w:t>
            </w:r>
          </w:p>
        </w:tc>
        <w:tc>
          <w:tcPr>
            <w:tcW w:w="1459" w:type="dxa"/>
            <w:vMerge w:val="restart"/>
            <w:vAlign w:val="center"/>
          </w:tcPr>
          <w:p w14:paraId="0489457C">
            <w:pPr>
              <w:spacing w:line="240" w:lineRule="auto"/>
              <w:jc w:val="center"/>
              <w:rPr>
                <w:color w:val="000000"/>
                <w:sz w:val="21"/>
              </w:rPr>
            </w:pPr>
            <w:r>
              <w:rPr>
                <w:color w:val="000000"/>
                <w:sz w:val="21"/>
              </w:rPr>
              <w:t>排放口设置是否符合要求</w:t>
            </w:r>
          </w:p>
        </w:tc>
        <w:tc>
          <w:tcPr>
            <w:tcW w:w="1048" w:type="dxa"/>
            <w:vMerge w:val="restart"/>
            <w:vAlign w:val="center"/>
          </w:tcPr>
          <w:p w14:paraId="78C47C12">
            <w:pPr>
              <w:spacing w:line="240" w:lineRule="auto"/>
              <w:jc w:val="center"/>
              <w:rPr>
                <w:color w:val="000000"/>
                <w:sz w:val="21"/>
              </w:rPr>
            </w:pPr>
            <w:r>
              <w:rPr>
                <w:color w:val="000000"/>
                <w:sz w:val="21"/>
              </w:rPr>
              <w:t>排放口类型</w:t>
            </w:r>
          </w:p>
        </w:tc>
      </w:tr>
      <w:tr w14:paraId="44F8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49" w:type="dxa"/>
            <w:vMerge w:val="continue"/>
            <w:vAlign w:val="center"/>
          </w:tcPr>
          <w:p w14:paraId="010C96FB">
            <w:pPr>
              <w:spacing w:line="240" w:lineRule="auto"/>
              <w:jc w:val="center"/>
              <w:rPr>
                <w:color w:val="000000"/>
                <w:sz w:val="21"/>
              </w:rPr>
            </w:pPr>
          </w:p>
        </w:tc>
        <w:tc>
          <w:tcPr>
            <w:tcW w:w="1858" w:type="dxa"/>
            <w:vMerge w:val="continue"/>
            <w:vAlign w:val="center"/>
          </w:tcPr>
          <w:p w14:paraId="37A674A1">
            <w:pPr>
              <w:spacing w:line="240" w:lineRule="auto"/>
              <w:jc w:val="center"/>
              <w:rPr>
                <w:color w:val="000000"/>
                <w:sz w:val="21"/>
              </w:rPr>
            </w:pPr>
          </w:p>
        </w:tc>
        <w:tc>
          <w:tcPr>
            <w:tcW w:w="1103" w:type="dxa"/>
            <w:vMerge w:val="continue"/>
            <w:vAlign w:val="center"/>
          </w:tcPr>
          <w:p w14:paraId="653A7579">
            <w:pPr>
              <w:spacing w:line="240" w:lineRule="auto"/>
              <w:jc w:val="center"/>
              <w:rPr>
                <w:color w:val="000000"/>
                <w:sz w:val="21"/>
              </w:rPr>
            </w:pPr>
          </w:p>
        </w:tc>
        <w:tc>
          <w:tcPr>
            <w:tcW w:w="1928" w:type="dxa"/>
            <w:vMerge w:val="continue"/>
            <w:vAlign w:val="center"/>
          </w:tcPr>
          <w:p w14:paraId="0A1BDECA">
            <w:pPr>
              <w:spacing w:line="240" w:lineRule="auto"/>
              <w:jc w:val="center"/>
              <w:rPr>
                <w:color w:val="000000"/>
                <w:sz w:val="21"/>
              </w:rPr>
            </w:pPr>
          </w:p>
        </w:tc>
        <w:tc>
          <w:tcPr>
            <w:tcW w:w="851" w:type="dxa"/>
            <w:vAlign w:val="center"/>
          </w:tcPr>
          <w:p w14:paraId="086EE2F8">
            <w:pPr>
              <w:spacing w:line="240" w:lineRule="auto"/>
              <w:jc w:val="center"/>
              <w:rPr>
                <w:color w:val="000000"/>
                <w:sz w:val="21"/>
              </w:rPr>
            </w:pPr>
            <w:r>
              <w:rPr>
                <w:color w:val="000000"/>
                <w:sz w:val="21"/>
              </w:rPr>
              <w:t>编号</w:t>
            </w:r>
          </w:p>
        </w:tc>
        <w:tc>
          <w:tcPr>
            <w:tcW w:w="1811" w:type="dxa"/>
            <w:vAlign w:val="center"/>
          </w:tcPr>
          <w:p w14:paraId="585FA769">
            <w:pPr>
              <w:spacing w:line="240" w:lineRule="auto"/>
              <w:jc w:val="center"/>
              <w:rPr>
                <w:color w:val="000000"/>
                <w:sz w:val="21"/>
              </w:rPr>
            </w:pPr>
            <w:r>
              <w:rPr>
                <w:color w:val="000000"/>
                <w:sz w:val="21"/>
              </w:rPr>
              <w:t>污染治理设施名称</w:t>
            </w:r>
          </w:p>
        </w:tc>
        <w:tc>
          <w:tcPr>
            <w:tcW w:w="1764" w:type="dxa"/>
            <w:vAlign w:val="center"/>
          </w:tcPr>
          <w:p w14:paraId="33DB0E05">
            <w:pPr>
              <w:spacing w:line="240" w:lineRule="auto"/>
              <w:jc w:val="center"/>
              <w:rPr>
                <w:color w:val="000000"/>
                <w:sz w:val="21"/>
              </w:rPr>
            </w:pPr>
            <w:r>
              <w:rPr>
                <w:color w:val="000000"/>
                <w:sz w:val="21"/>
              </w:rPr>
              <w:t>治理设施工艺</w:t>
            </w:r>
          </w:p>
        </w:tc>
        <w:tc>
          <w:tcPr>
            <w:tcW w:w="1302" w:type="dxa"/>
            <w:vMerge w:val="continue"/>
            <w:vAlign w:val="center"/>
          </w:tcPr>
          <w:p w14:paraId="2CC9650B">
            <w:pPr>
              <w:spacing w:line="240" w:lineRule="auto"/>
              <w:jc w:val="center"/>
              <w:rPr>
                <w:color w:val="000000"/>
                <w:sz w:val="21"/>
              </w:rPr>
            </w:pPr>
          </w:p>
        </w:tc>
        <w:tc>
          <w:tcPr>
            <w:tcW w:w="1459" w:type="dxa"/>
            <w:vMerge w:val="continue"/>
            <w:vAlign w:val="center"/>
          </w:tcPr>
          <w:p w14:paraId="3D415D28">
            <w:pPr>
              <w:spacing w:line="240" w:lineRule="auto"/>
              <w:jc w:val="center"/>
              <w:rPr>
                <w:color w:val="000000"/>
                <w:sz w:val="21"/>
              </w:rPr>
            </w:pPr>
          </w:p>
        </w:tc>
        <w:tc>
          <w:tcPr>
            <w:tcW w:w="1048" w:type="dxa"/>
            <w:vMerge w:val="continue"/>
            <w:vAlign w:val="center"/>
          </w:tcPr>
          <w:p w14:paraId="4540EFA5">
            <w:pPr>
              <w:spacing w:line="240" w:lineRule="auto"/>
              <w:jc w:val="center"/>
              <w:rPr>
                <w:color w:val="000000"/>
                <w:sz w:val="21"/>
              </w:rPr>
            </w:pPr>
          </w:p>
        </w:tc>
      </w:tr>
      <w:tr w14:paraId="1CF8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49" w:type="dxa"/>
            <w:vAlign w:val="center"/>
          </w:tcPr>
          <w:p w14:paraId="77FDBFD7">
            <w:pPr>
              <w:spacing w:line="240" w:lineRule="auto"/>
              <w:jc w:val="center"/>
              <w:rPr>
                <w:color w:val="000000"/>
                <w:sz w:val="21"/>
              </w:rPr>
            </w:pPr>
            <w:r>
              <w:rPr>
                <w:color w:val="000000"/>
                <w:sz w:val="21"/>
              </w:rPr>
              <w:t>生产废水</w:t>
            </w:r>
          </w:p>
        </w:tc>
        <w:tc>
          <w:tcPr>
            <w:tcW w:w="1858" w:type="dxa"/>
            <w:vAlign w:val="center"/>
          </w:tcPr>
          <w:p w14:paraId="659F7E5E">
            <w:pPr>
              <w:spacing w:line="240" w:lineRule="auto"/>
              <w:jc w:val="center"/>
              <w:rPr>
                <w:color w:val="000000"/>
                <w:sz w:val="21"/>
              </w:rPr>
            </w:pPr>
            <w:r>
              <w:rPr>
                <w:color w:val="000000"/>
                <w:sz w:val="21"/>
              </w:rPr>
              <w:t>pH、COD、SS</w:t>
            </w:r>
          </w:p>
        </w:tc>
        <w:tc>
          <w:tcPr>
            <w:tcW w:w="1103" w:type="dxa"/>
            <w:vAlign w:val="center"/>
          </w:tcPr>
          <w:p w14:paraId="6D07ACC7">
            <w:pPr>
              <w:spacing w:line="240" w:lineRule="auto"/>
              <w:jc w:val="center"/>
              <w:rPr>
                <w:color w:val="000000"/>
                <w:sz w:val="21"/>
              </w:rPr>
            </w:pPr>
            <w:r>
              <w:rPr>
                <w:color w:val="000000"/>
                <w:sz w:val="21"/>
              </w:rPr>
              <w:t>潘家坝污水处理厂</w:t>
            </w:r>
          </w:p>
        </w:tc>
        <w:tc>
          <w:tcPr>
            <w:tcW w:w="1928" w:type="dxa"/>
            <w:vAlign w:val="center"/>
          </w:tcPr>
          <w:p w14:paraId="44411500">
            <w:pPr>
              <w:spacing w:line="240" w:lineRule="auto"/>
              <w:jc w:val="center"/>
              <w:rPr>
                <w:color w:val="000000"/>
                <w:sz w:val="21"/>
              </w:rPr>
            </w:pPr>
            <w:r>
              <w:rPr>
                <w:color w:val="000000"/>
                <w:sz w:val="21"/>
              </w:rPr>
              <w:t>连续排放，流量不稳定，但有规律，且不属于周期性规律</w:t>
            </w:r>
          </w:p>
        </w:tc>
        <w:tc>
          <w:tcPr>
            <w:tcW w:w="851" w:type="dxa"/>
            <w:vAlign w:val="center"/>
          </w:tcPr>
          <w:p w14:paraId="207916EB">
            <w:pPr>
              <w:spacing w:line="240" w:lineRule="auto"/>
              <w:jc w:val="center"/>
              <w:rPr>
                <w:color w:val="000000"/>
                <w:sz w:val="21"/>
              </w:rPr>
            </w:pPr>
            <w:r>
              <w:rPr>
                <w:color w:val="000000"/>
                <w:sz w:val="21"/>
              </w:rPr>
              <w:t>1</w:t>
            </w:r>
          </w:p>
        </w:tc>
        <w:tc>
          <w:tcPr>
            <w:tcW w:w="1811" w:type="dxa"/>
            <w:vAlign w:val="center"/>
          </w:tcPr>
          <w:p w14:paraId="6D934E50">
            <w:pPr>
              <w:spacing w:line="240" w:lineRule="auto"/>
              <w:jc w:val="both"/>
              <w:rPr>
                <w:color w:val="000000"/>
                <w:sz w:val="21"/>
              </w:rPr>
            </w:pPr>
            <w:r>
              <w:rPr>
                <w:color w:val="000000"/>
                <w:sz w:val="21"/>
              </w:rPr>
              <w:t>生产废水池</w:t>
            </w:r>
          </w:p>
        </w:tc>
        <w:tc>
          <w:tcPr>
            <w:tcW w:w="1764" w:type="dxa"/>
            <w:vAlign w:val="center"/>
          </w:tcPr>
          <w:p w14:paraId="6D2F8E65">
            <w:pPr>
              <w:spacing w:line="240" w:lineRule="auto"/>
              <w:jc w:val="both"/>
              <w:rPr>
                <w:color w:val="000000"/>
                <w:sz w:val="21"/>
              </w:rPr>
            </w:pPr>
            <w:r>
              <w:rPr>
                <w:color w:val="000000"/>
                <w:sz w:val="21"/>
              </w:rPr>
              <w:t>沉淀</w:t>
            </w:r>
          </w:p>
        </w:tc>
        <w:tc>
          <w:tcPr>
            <w:tcW w:w="1302" w:type="dxa"/>
            <w:vMerge w:val="restart"/>
            <w:vAlign w:val="center"/>
          </w:tcPr>
          <w:p w14:paraId="0B303FCC">
            <w:pPr>
              <w:spacing w:line="240" w:lineRule="auto"/>
              <w:jc w:val="center"/>
              <w:rPr>
                <w:color w:val="000000"/>
                <w:sz w:val="21"/>
              </w:rPr>
            </w:pPr>
            <w:r>
              <w:rPr>
                <w:color w:val="000000"/>
                <w:sz w:val="21"/>
              </w:rPr>
              <w:t>DW001</w:t>
            </w:r>
          </w:p>
        </w:tc>
        <w:tc>
          <w:tcPr>
            <w:tcW w:w="1459" w:type="dxa"/>
            <w:vMerge w:val="restart"/>
            <w:vAlign w:val="center"/>
          </w:tcPr>
          <w:p w14:paraId="64182D1F">
            <w:pPr>
              <w:spacing w:line="240" w:lineRule="auto"/>
              <w:jc w:val="center"/>
              <w:rPr>
                <w:color w:val="000000"/>
                <w:sz w:val="21"/>
              </w:rPr>
            </w:pPr>
            <w:r>
              <w:rPr>
                <w:color w:val="000000"/>
                <w:sz w:val="21"/>
              </w:rPr>
              <w:t>符合</w:t>
            </w:r>
          </w:p>
        </w:tc>
        <w:tc>
          <w:tcPr>
            <w:tcW w:w="1048" w:type="dxa"/>
            <w:vMerge w:val="restart"/>
            <w:vAlign w:val="center"/>
          </w:tcPr>
          <w:p w14:paraId="31E5C33C">
            <w:pPr>
              <w:spacing w:line="240" w:lineRule="auto"/>
              <w:jc w:val="center"/>
              <w:rPr>
                <w:color w:val="000000"/>
                <w:sz w:val="21"/>
              </w:rPr>
            </w:pPr>
            <w:r>
              <w:rPr>
                <w:color w:val="000000"/>
                <w:sz w:val="21"/>
              </w:rPr>
              <w:t>废水排放口</w:t>
            </w:r>
          </w:p>
        </w:tc>
      </w:tr>
      <w:tr w14:paraId="2F59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49" w:type="dxa"/>
            <w:vAlign w:val="center"/>
          </w:tcPr>
          <w:p w14:paraId="30348670">
            <w:pPr>
              <w:spacing w:line="240" w:lineRule="auto"/>
              <w:jc w:val="center"/>
              <w:rPr>
                <w:color w:val="000000"/>
                <w:sz w:val="21"/>
              </w:rPr>
            </w:pPr>
            <w:r>
              <w:rPr>
                <w:color w:val="000000"/>
                <w:sz w:val="21"/>
              </w:rPr>
              <w:t>生活污水</w:t>
            </w:r>
          </w:p>
        </w:tc>
        <w:tc>
          <w:tcPr>
            <w:tcW w:w="1858" w:type="dxa"/>
            <w:vAlign w:val="center"/>
          </w:tcPr>
          <w:p w14:paraId="13944195">
            <w:pPr>
              <w:spacing w:line="240" w:lineRule="auto"/>
              <w:jc w:val="center"/>
              <w:rPr>
                <w:color w:val="000000"/>
                <w:sz w:val="21"/>
              </w:rPr>
            </w:pPr>
            <w:r>
              <w:rPr>
                <w:color w:val="000000"/>
                <w:sz w:val="21"/>
              </w:rPr>
              <w:t>pH、COD、BOD</w:t>
            </w:r>
            <w:r>
              <w:rPr>
                <w:color w:val="000000"/>
                <w:sz w:val="21"/>
                <w:vertAlign w:val="subscript"/>
              </w:rPr>
              <w:t>5</w:t>
            </w:r>
            <w:r>
              <w:rPr>
                <w:color w:val="000000"/>
                <w:sz w:val="21"/>
              </w:rPr>
              <w:t>、SS、NH</w:t>
            </w:r>
            <w:r>
              <w:rPr>
                <w:color w:val="000000"/>
                <w:sz w:val="21"/>
                <w:vertAlign w:val="subscript"/>
              </w:rPr>
              <w:t>3</w:t>
            </w:r>
            <w:r>
              <w:rPr>
                <w:color w:val="000000"/>
                <w:sz w:val="21"/>
              </w:rPr>
              <w:t>-N</w:t>
            </w:r>
          </w:p>
        </w:tc>
        <w:tc>
          <w:tcPr>
            <w:tcW w:w="1103" w:type="dxa"/>
            <w:vAlign w:val="center"/>
          </w:tcPr>
          <w:p w14:paraId="181E7D31">
            <w:pPr>
              <w:spacing w:line="240" w:lineRule="auto"/>
              <w:jc w:val="center"/>
              <w:rPr>
                <w:color w:val="000000"/>
                <w:sz w:val="21"/>
              </w:rPr>
            </w:pPr>
            <w:r>
              <w:rPr>
                <w:color w:val="000000"/>
                <w:sz w:val="21"/>
              </w:rPr>
              <w:t>潘家坝污水处理厂</w:t>
            </w:r>
          </w:p>
        </w:tc>
        <w:tc>
          <w:tcPr>
            <w:tcW w:w="1928" w:type="dxa"/>
            <w:vAlign w:val="center"/>
          </w:tcPr>
          <w:p w14:paraId="3BC00549">
            <w:pPr>
              <w:spacing w:line="240" w:lineRule="auto"/>
              <w:jc w:val="center"/>
              <w:rPr>
                <w:color w:val="000000"/>
                <w:sz w:val="21"/>
              </w:rPr>
            </w:pPr>
            <w:r>
              <w:rPr>
                <w:color w:val="000000"/>
                <w:sz w:val="21"/>
              </w:rPr>
              <w:t>连续排放，流量不稳定，但有规律，且不属于周期性规律</w:t>
            </w:r>
          </w:p>
        </w:tc>
        <w:tc>
          <w:tcPr>
            <w:tcW w:w="851" w:type="dxa"/>
            <w:vAlign w:val="center"/>
          </w:tcPr>
          <w:p w14:paraId="1C929E9C">
            <w:pPr>
              <w:spacing w:line="240" w:lineRule="auto"/>
              <w:jc w:val="center"/>
              <w:rPr>
                <w:color w:val="000000"/>
                <w:sz w:val="21"/>
              </w:rPr>
            </w:pPr>
            <w:r>
              <w:rPr>
                <w:color w:val="000000"/>
                <w:sz w:val="21"/>
              </w:rPr>
              <w:t>2</w:t>
            </w:r>
          </w:p>
        </w:tc>
        <w:tc>
          <w:tcPr>
            <w:tcW w:w="1811" w:type="dxa"/>
            <w:vAlign w:val="center"/>
          </w:tcPr>
          <w:p w14:paraId="7CC09A48">
            <w:pPr>
              <w:spacing w:line="240" w:lineRule="auto"/>
              <w:jc w:val="both"/>
              <w:rPr>
                <w:color w:val="000000"/>
                <w:sz w:val="21"/>
              </w:rPr>
            </w:pPr>
            <w:r>
              <w:rPr>
                <w:color w:val="000000"/>
                <w:sz w:val="21"/>
              </w:rPr>
              <w:t>化粪池</w:t>
            </w:r>
          </w:p>
        </w:tc>
        <w:tc>
          <w:tcPr>
            <w:tcW w:w="1764" w:type="dxa"/>
            <w:vAlign w:val="center"/>
          </w:tcPr>
          <w:p w14:paraId="60173FD3">
            <w:pPr>
              <w:spacing w:line="240" w:lineRule="auto"/>
              <w:jc w:val="both"/>
              <w:rPr>
                <w:color w:val="000000"/>
                <w:sz w:val="21"/>
              </w:rPr>
            </w:pPr>
            <w:r>
              <w:rPr>
                <w:color w:val="000000"/>
                <w:sz w:val="21"/>
              </w:rPr>
              <w:t>厌氧+沉淀</w:t>
            </w:r>
          </w:p>
        </w:tc>
        <w:tc>
          <w:tcPr>
            <w:tcW w:w="1302" w:type="dxa"/>
            <w:vMerge w:val="continue"/>
            <w:vAlign w:val="center"/>
          </w:tcPr>
          <w:p w14:paraId="29432B8F">
            <w:pPr>
              <w:spacing w:line="240" w:lineRule="auto"/>
              <w:jc w:val="center"/>
              <w:rPr>
                <w:color w:val="000000"/>
                <w:sz w:val="21"/>
              </w:rPr>
            </w:pPr>
          </w:p>
        </w:tc>
        <w:tc>
          <w:tcPr>
            <w:tcW w:w="1459" w:type="dxa"/>
            <w:vMerge w:val="continue"/>
            <w:vAlign w:val="center"/>
          </w:tcPr>
          <w:p w14:paraId="1E497F54">
            <w:pPr>
              <w:spacing w:line="240" w:lineRule="auto"/>
              <w:jc w:val="center"/>
              <w:rPr>
                <w:color w:val="000000"/>
                <w:sz w:val="21"/>
              </w:rPr>
            </w:pPr>
          </w:p>
        </w:tc>
        <w:tc>
          <w:tcPr>
            <w:tcW w:w="1048" w:type="dxa"/>
            <w:vMerge w:val="continue"/>
            <w:vAlign w:val="center"/>
          </w:tcPr>
          <w:p w14:paraId="5ACFC511">
            <w:pPr>
              <w:spacing w:line="240" w:lineRule="auto"/>
              <w:jc w:val="center"/>
              <w:rPr>
                <w:color w:val="000000"/>
                <w:sz w:val="21"/>
              </w:rPr>
            </w:pPr>
          </w:p>
        </w:tc>
      </w:tr>
    </w:tbl>
    <w:p w14:paraId="614CEC14">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5</w:t>
      </w:r>
      <w:r>
        <w:rPr>
          <w:rFonts w:ascii="Times New Roman" w:hAnsi="Times New Roman"/>
          <w:color w:val="000000"/>
        </w:rPr>
        <w:t>.2.2-2  废水间接排放口基本情况表</w:t>
      </w:r>
    </w:p>
    <w:tbl>
      <w:tblPr>
        <w:tblStyle w:val="73"/>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7"/>
        <w:gridCol w:w="1440"/>
        <w:gridCol w:w="1102"/>
        <w:gridCol w:w="2136"/>
        <w:gridCol w:w="1550"/>
        <w:gridCol w:w="1721"/>
        <w:gridCol w:w="1671"/>
        <w:gridCol w:w="1367"/>
        <w:gridCol w:w="2019"/>
      </w:tblGrid>
      <w:tr w14:paraId="0870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167" w:type="dxa"/>
            <w:vMerge w:val="restart"/>
            <w:vAlign w:val="center"/>
          </w:tcPr>
          <w:p w14:paraId="5A60A0FD">
            <w:pPr>
              <w:spacing w:line="240" w:lineRule="auto"/>
              <w:rPr>
                <w:color w:val="000000"/>
                <w:sz w:val="21"/>
              </w:rPr>
            </w:pPr>
            <w:r>
              <w:rPr>
                <w:color w:val="000000"/>
                <w:sz w:val="21"/>
              </w:rPr>
              <w:t>排放口编号</w:t>
            </w:r>
          </w:p>
        </w:tc>
        <w:tc>
          <w:tcPr>
            <w:tcW w:w="2542" w:type="dxa"/>
            <w:gridSpan w:val="2"/>
            <w:vAlign w:val="center"/>
          </w:tcPr>
          <w:p w14:paraId="1BC5E50E">
            <w:pPr>
              <w:spacing w:line="240" w:lineRule="auto"/>
              <w:rPr>
                <w:color w:val="000000"/>
                <w:sz w:val="21"/>
              </w:rPr>
            </w:pPr>
            <w:r>
              <w:rPr>
                <w:color w:val="000000"/>
                <w:sz w:val="21"/>
              </w:rPr>
              <w:t>排放口地理坐标</w:t>
            </w:r>
          </w:p>
        </w:tc>
        <w:tc>
          <w:tcPr>
            <w:tcW w:w="2136" w:type="dxa"/>
            <w:vMerge w:val="restart"/>
            <w:vAlign w:val="center"/>
          </w:tcPr>
          <w:p w14:paraId="58D94F09">
            <w:pPr>
              <w:spacing w:line="240" w:lineRule="auto"/>
              <w:rPr>
                <w:color w:val="000000"/>
                <w:sz w:val="21"/>
              </w:rPr>
            </w:pPr>
            <w:r>
              <w:rPr>
                <w:color w:val="000000"/>
                <w:sz w:val="21"/>
              </w:rPr>
              <w:t>废水排放量</w:t>
            </w:r>
          </w:p>
          <w:p w14:paraId="1101C4D0">
            <w:pPr>
              <w:spacing w:line="240" w:lineRule="auto"/>
              <w:rPr>
                <w:color w:val="000000"/>
                <w:sz w:val="21"/>
              </w:rPr>
            </w:pPr>
            <w:r>
              <w:rPr>
                <w:color w:val="000000"/>
                <w:sz w:val="21"/>
              </w:rPr>
              <w:t>（t/a）</w:t>
            </w:r>
          </w:p>
        </w:tc>
        <w:tc>
          <w:tcPr>
            <w:tcW w:w="1550" w:type="dxa"/>
            <w:vMerge w:val="restart"/>
            <w:vAlign w:val="center"/>
          </w:tcPr>
          <w:p w14:paraId="020E0C66">
            <w:pPr>
              <w:spacing w:line="240" w:lineRule="auto"/>
              <w:rPr>
                <w:color w:val="000000"/>
                <w:sz w:val="21"/>
              </w:rPr>
            </w:pPr>
            <w:r>
              <w:rPr>
                <w:color w:val="000000"/>
                <w:sz w:val="21"/>
              </w:rPr>
              <w:t>排放去向</w:t>
            </w:r>
          </w:p>
        </w:tc>
        <w:tc>
          <w:tcPr>
            <w:tcW w:w="1721" w:type="dxa"/>
            <w:vMerge w:val="restart"/>
            <w:vAlign w:val="center"/>
          </w:tcPr>
          <w:p w14:paraId="17BEEF3E">
            <w:pPr>
              <w:spacing w:line="240" w:lineRule="auto"/>
              <w:rPr>
                <w:color w:val="000000"/>
                <w:sz w:val="21"/>
              </w:rPr>
            </w:pPr>
            <w:r>
              <w:rPr>
                <w:color w:val="000000"/>
                <w:sz w:val="21"/>
              </w:rPr>
              <w:t>排放规律</w:t>
            </w:r>
          </w:p>
        </w:tc>
        <w:tc>
          <w:tcPr>
            <w:tcW w:w="5057" w:type="dxa"/>
            <w:gridSpan w:val="3"/>
            <w:vAlign w:val="center"/>
          </w:tcPr>
          <w:p w14:paraId="207CC417">
            <w:pPr>
              <w:spacing w:line="240" w:lineRule="auto"/>
              <w:rPr>
                <w:color w:val="000000"/>
                <w:sz w:val="21"/>
              </w:rPr>
            </w:pPr>
            <w:r>
              <w:rPr>
                <w:color w:val="000000"/>
                <w:sz w:val="21"/>
              </w:rPr>
              <w:t>受纳污水处理厂信息</w:t>
            </w:r>
          </w:p>
        </w:tc>
      </w:tr>
      <w:tr w14:paraId="7221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167" w:type="dxa"/>
            <w:vMerge w:val="continue"/>
            <w:vAlign w:val="center"/>
          </w:tcPr>
          <w:p w14:paraId="53752BE1">
            <w:pPr>
              <w:spacing w:line="240" w:lineRule="auto"/>
              <w:rPr>
                <w:color w:val="000000"/>
                <w:sz w:val="21"/>
              </w:rPr>
            </w:pPr>
          </w:p>
        </w:tc>
        <w:tc>
          <w:tcPr>
            <w:tcW w:w="1440" w:type="dxa"/>
            <w:vAlign w:val="center"/>
          </w:tcPr>
          <w:p w14:paraId="3863143D">
            <w:pPr>
              <w:spacing w:line="240" w:lineRule="auto"/>
              <w:rPr>
                <w:color w:val="000000"/>
                <w:sz w:val="21"/>
              </w:rPr>
            </w:pPr>
            <w:r>
              <w:rPr>
                <w:color w:val="000000"/>
                <w:sz w:val="21"/>
              </w:rPr>
              <w:t>经度/°</w:t>
            </w:r>
          </w:p>
        </w:tc>
        <w:tc>
          <w:tcPr>
            <w:tcW w:w="1102" w:type="dxa"/>
            <w:vAlign w:val="center"/>
          </w:tcPr>
          <w:p w14:paraId="72B3F57B">
            <w:pPr>
              <w:spacing w:line="240" w:lineRule="auto"/>
              <w:rPr>
                <w:color w:val="000000"/>
                <w:sz w:val="21"/>
              </w:rPr>
            </w:pPr>
            <w:r>
              <w:rPr>
                <w:color w:val="000000"/>
                <w:sz w:val="21"/>
              </w:rPr>
              <w:t>纬度/°</w:t>
            </w:r>
          </w:p>
        </w:tc>
        <w:tc>
          <w:tcPr>
            <w:tcW w:w="2136" w:type="dxa"/>
            <w:vMerge w:val="continue"/>
            <w:vAlign w:val="center"/>
          </w:tcPr>
          <w:p w14:paraId="714778DB">
            <w:pPr>
              <w:spacing w:line="240" w:lineRule="auto"/>
              <w:rPr>
                <w:color w:val="000000"/>
                <w:sz w:val="21"/>
              </w:rPr>
            </w:pPr>
          </w:p>
        </w:tc>
        <w:tc>
          <w:tcPr>
            <w:tcW w:w="1550" w:type="dxa"/>
            <w:vMerge w:val="continue"/>
            <w:vAlign w:val="center"/>
          </w:tcPr>
          <w:p w14:paraId="08531552">
            <w:pPr>
              <w:spacing w:line="240" w:lineRule="auto"/>
              <w:rPr>
                <w:color w:val="000000"/>
                <w:sz w:val="21"/>
              </w:rPr>
            </w:pPr>
          </w:p>
        </w:tc>
        <w:tc>
          <w:tcPr>
            <w:tcW w:w="1721" w:type="dxa"/>
            <w:vMerge w:val="continue"/>
            <w:vAlign w:val="center"/>
          </w:tcPr>
          <w:p w14:paraId="09F7D3D8">
            <w:pPr>
              <w:spacing w:line="240" w:lineRule="auto"/>
              <w:rPr>
                <w:color w:val="000000"/>
                <w:sz w:val="21"/>
              </w:rPr>
            </w:pPr>
          </w:p>
        </w:tc>
        <w:tc>
          <w:tcPr>
            <w:tcW w:w="1671" w:type="dxa"/>
            <w:vAlign w:val="center"/>
          </w:tcPr>
          <w:p w14:paraId="2D34A760">
            <w:pPr>
              <w:spacing w:line="240" w:lineRule="auto"/>
              <w:rPr>
                <w:color w:val="000000"/>
                <w:sz w:val="21"/>
              </w:rPr>
            </w:pPr>
            <w:r>
              <w:rPr>
                <w:color w:val="000000"/>
                <w:sz w:val="21"/>
              </w:rPr>
              <w:t>名称</w:t>
            </w:r>
          </w:p>
        </w:tc>
        <w:tc>
          <w:tcPr>
            <w:tcW w:w="1367" w:type="dxa"/>
            <w:vAlign w:val="center"/>
          </w:tcPr>
          <w:p w14:paraId="044C586E">
            <w:pPr>
              <w:spacing w:line="240" w:lineRule="auto"/>
              <w:rPr>
                <w:color w:val="000000"/>
                <w:sz w:val="21"/>
              </w:rPr>
            </w:pPr>
            <w:r>
              <w:rPr>
                <w:color w:val="000000"/>
                <w:sz w:val="21"/>
              </w:rPr>
              <w:t>污染物种类</w:t>
            </w:r>
          </w:p>
        </w:tc>
        <w:tc>
          <w:tcPr>
            <w:tcW w:w="2019" w:type="dxa"/>
            <w:vAlign w:val="center"/>
          </w:tcPr>
          <w:p w14:paraId="0A1FB59C">
            <w:pPr>
              <w:spacing w:line="240" w:lineRule="auto"/>
              <w:jc w:val="center"/>
              <w:rPr>
                <w:color w:val="000000"/>
                <w:sz w:val="21"/>
              </w:rPr>
            </w:pPr>
            <w:r>
              <w:rPr>
                <w:color w:val="000000"/>
                <w:sz w:val="21"/>
              </w:rPr>
              <w:t>排放浓度限值（mg/L）</w:t>
            </w:r>
          </w:p>
        </w:tc>
      </w:tr>
      <w:tr w14:paraId="78C2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167" w:type="dxa"/>
            <w:vMerge w:val="restart"/>
            <w:vAlign w:val="center"/>
          </w:tcPr>
          <w:p w14:paraId="34F1C0D8">
            <w:pPr>
              <w:spacing w:line="240" w:lineRule="auto"/>
              <w:rPr>
                <w:color w:val="000000"/>
                <w:sz w:val="21"/>
              </w:rPr>
            </w:pPr>
            <w:r>
              <w:rPr>
                <w:color w:val="000000"/>
                <w:sz w:val="21"/>
              </w:rPr>
              <w:t>DW001</w:t>
            </w:r>
          </w:p>
          <w:p w14:paraId="06DF3A23">
            <w:pPr>
              <w:spacing w:line="240" w:lineRule="auto"/>
              <w:rPr>
                <w:color w:val="000000"/>
                <w:sz w:val="21"/>
              </w:rPr>
            </w:pPr>
            <w:r>
              <w:rPr>
                <w:color w:val="000000"/>
                <w:sz w:val="21"/>
              </w:rPr>
              <w:t>废水排放口</w:t>
            </w:r>
          </w:p>
        </w:tc>
        <w:tc>
          <w:tcPr>
            <w:tcW w:w="1440" w:type="dxa"/>
            <w:vMerge w:val="restart"/>
            <w:vAlign w:val="center"/>
          </w:tcPr>
          <w:p w14:paraId="7DCB3614">
            <w:pPr>
              <w:spacing w:line="240" w:lineRule="auto"/>
              <w:rPr>
                <w:color w:val="000000"/>
                <w:sz w:val="21"/>
              </w:rPr>
            </w:pPr>
            <w:r>
              <w:rPr>
                <w:color w:val="000000"/>
                <w:sz w:val="21"/>
              </w:rPr>
              <w:t>107.541715</w:t>
            </w:r>
          </w:p>
        </w:tc>
        <w:tc>
          <w:tcPr>
            <w:tcW w:w="1102" w:type="dxa"/>
            <w:vMerge w:val="restart"/>
            <w:vAlign w:val="center"/>
          </w:tcPr>
          <w:p w14:paraId="5C56793D">
            <w:pPr>
              <w:spacing w:line="240" w:lineRule="auto"/>
              <w:rPr>
                <w:color w:val="000000"/>
                <w:sz w:val="21"/>
              </w:rPr>
            </w:pPr>
            <w:r>
              <w:rPr>
                <w:color w:val="000000"/>
                <w:sz w:val="21"/>
              </w:rPr>
              <w:t>29.593243</w:t>
            </w:r>
          </w:p>
        </w:tc>
        <w:tc>
          <w:tcPr>
            <w:tcW w:w="2136" w:type="dxa"/>
            <w:vMerge w:val="restart"/>
            <w:vAlign w:val="center"/>
          </w:tcPr>
          <w:p w14:paraId="09ACD140">
            <w:pPr>
              <w:spacing w:line="240" w:lineRule="auto"/>
              <w:rPr>
                <w:color w:val="000000"/>
                <w:sz w:val="21"/>
              </w:rPr>
            </w:pPr>
            <w:r>
              <w:rPr>
                <w:color w:val="000000"/>
                <w:sz w:val="21"/>
              </w:rPr>
              <w:t>224.58</w:t>
            </w:r>
          </w:p>
        </w:tc>
        <w:tc>
          <w:tcPr>
            <w:tcW w:w="1550" w:type="dxa"/>
            <w:vMerge w:val="restart"/>
            <w:vAlign w:val="center"/>
          </w:tcPr>
          <w:p w14:paraId="6F689A30">
            <w:pPr>
              <w:spacing w:line="240" w:lineRule="auto"/>
              <w:rPr>
                <w:color w:val="000000"/>
                <w:sz w:val="21"/>
              </w:rPr>
            </w:pPr>
            <w:r>
              <w:rPr>
                <w:color w:val="000000"/>
                <w:sz w:val="21"/>
              </w:rPr>
              <w:t>潘家坝污水处理厂</w:t>
            </w:r>
          </w:p>
        </w:tc>
        <w:tc>
          <w:tcPr>
            <w:tcW w:w="1721" w:type="dxa"/>
            <w:vMerge w:val="restart"/>
            <w:vAlign w:val="center"/>
          </w:tcPr>
          <w:p w14:paraId="3869B7B9">
            <w:pPr>
              <w:spacing w:line="240" w:lineRule="auto"/>
              <w:rPr>
                <w:color w:val="000000"/>
                <w:sz w:val="21"/>
              </w:rPr>
            </w:pPr>
            <w:r>
              <w:rPr>
                <w:color w:val="000000"/>
                <w:sz w:val="21"/>
              </w:rPr>
              <w:t>连续排放，流量不稳定，但有规律，且不属于周期性规律</w:t>
            </w:r>
          </w:p>
        </w:tc>
        <w:tc>
          <w:tcPr>
            <w:tcW w:w="1671" w:type="dxa"/>
            <w:vMerge w:val="restart"/>
            <w:vAlign w:val="center"/>
          </w:tcPr>
          <w:p w14:paraId="180C52D0">
            <w:pPr>
              <w:spacing w:line="240" w:lineRule="auto"/>
              <w:rPr>
                <w:color w:val="000000"/>
                <w:sz w:val="21"/>
              </w:rPr>
            </w:pPr>
            <w:r>
              <w:rPr>
                <w:color w:val="000000"/>
                <w:sz w:val="21"/>
              </w:rPr>
              <w:t>潘家坝污水处理厂</w:t>
            </w:r>
          </w:p>
        </w:tc>
        <w:tc>
          <w:tcPr>
            <w:tcW w:w="1367" w:type="dxa"/>
            <w:vAlign w:val="center"/>
          </w:tcPr>
          <w:p w14:paraId="105DED16">
            <w:pPr>
              <w:spacing w:line="240" w:lineRule="auto"/>
              <w:jc w:val="center"/>
              <w:rPr>
                <w:color w:val="000000"/>
                <w:sz w:val="21"/>
              </w:rPr>
            </w:pPr>
            <w:r>
              <w:rPr>
                <w:color w:val="000000"/>
                <w:sz w:val="21"/>
              </w:rPr>
              <w:t>pH</w:t>
            </w:r>
          </w:p>
        </w:tc>
        <w:tc>
          <w:tcPr>
            <w:tcW w:w="2019" w:type="dxa"/>
            <w:vAlign w:val="center"/>
          </w:tcPr>
          <w:p w14:paraId="733882CD">
            <w:pPr>
              <w:spacing w:line="240" w:lineRule="auto"/>
              <w:jc w:val="center"/>
              <w:rPr>
                <w:color w:val="000000"/>
                <w:sz w:val="21"/>
              </w:rPr>
            </w:pPr>
            <w:r>
              <w:rPr>
                <w:color w:val="000000"/>
                <w:sz w:val="21"/>
              </w:rPr>
              <w:t>6~9</w:t>
            </w:r>
          </w:p>
        </w:tc>
      </w:tr>
      <w:tr w14:paraId="289E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167" w:type="dxa"/>
            <w:vMerge w:val="continue"/>
            <w:vAlign w:val="center"/>
          </w:tcPr>
          <w:p w14:paraId="4D2016F8">
            <w:pPr>
              <w:spacing w:line="240" w:lineRule="auto"/>
              <w:rPr>
                <w:color w:val="000000"/>
                <w:sz w:val="21"/>
              </w:rPr>
            </w:pPr>
          </w:p>
        </w:tc>
        <w:tc>
          <w:tcPr>
            <w:tcW w:w="1440" w:type="dxa"/>
            <w:vMerge w:val="continue"/>
            <w:vAlign w:val="center"/>
          </w:tcPr>
          <w:p w14:paraId="735F1795">
            <w:pPr>
              <w:spacing w:line="240" w:lineRule="auto"/>
              <w:rPr>
                <w:color w:val="000000"/>
                <w:sz w:val="21"/>
              </w:rPr>
            </w:pPr>
          </w:p>
        </w:tc>
        <w:tc>
          <w:tcPr>
            <w:tcW w:w="1102" w:type="dxa"/>
            <w:vMerge w:val="continue"/>
            <w:vAlign w:val="center"/>
          </w:tcPr>
          <w:p w14:paraId="031C96F4">
            <w:pPr>
              <w:spacing w:line="240" w:lineRule="auto"/>
              <w:rPr>
                <w:color w:val="000000"/>
                <w:sz w:val="21"/>
              </w:rPr>
            </w:pPr>
          </w:p>
        </w:tc>
        <w:tc>
          <w:tcPr>
            <w:tcW w:w="2136" w:type="dxa"/>
            <w:vMerge w:val="continue"/>
            <w:vAlign w:val="center"/>
          </w:tcPr>
          <w:p w14:paraId="60B1F115">
            <w:pPr>
              <w:spacing w:line="240" w:lineRule="auto"/>
              <w:rPr>
                <w:color w:val="000000"/>
                <w:sz w:val="21"/>
              </w:rPr>
            </w:pPr>
          </w:p>
        </w:tc>
        <w:tc>
          <w:tcPr>
            <w:tcW w:w="1550" w:type="dxa"/>
            <w:vMerge w:val="continue"/>
            <w:vAlign w:val="center"/>
          </w:tcPr>
          <w:p w14:paraId="5995449D">
            <w:pPr>
              <w:spacing w:line="240" w:lineRule="auto"/>
              <w:rPr>
                <w:color w:val="000000"/>
                <w:sz w:val="21"/>
              </w:rPr>
            </w:pPr>
          </w:p>
        </w:tc>
        <w:tc>
          <w:tcPr>
            <w:tcW w:w="1721" w:type="dxa"/>
            <w:vMerge w:val="continue"/>
            <w:vAlign w:val="center"/>
          </w:tcPr>
          <w:p w14:paraId="3B3DC640">
            <w:pPr>
              <w:spacing w:line="240" w:lineRule="auto"/>
              <w:rPr>
                <w:color w:val="000000"/>
                <w:sz w:val="21"/>
              </w:rPr>
            </w:pPr>
          </w:p>
        </w:tc>
        <w:tc>
          <w:tcPr>
            <w:tcW w:w="1671" w:type="dxa"/>
            <w:vMerge w:val="continue"/>
            <w:vAlign w:val="center"/>
          </w:tcPr>
          <w:p w14:paraId="6C59999C">
            <w:pPr>
              <w:spacing w:line="240" w:lineRule="auto"/>
              <w:rPr>
                <w:color w:val="000000"/>
                <w:sz w:val="21"/>
              </w:rPr>
            </w:pPr>
          </w:p>
        </w:tc>
        <w:tc>
          <w:tcPr>
            <w:tcW w:w="1367" w:type="dxa"/>
            <w:vAlign w:val="center"/>
          </w:tcPr>
          <w:p w14:paraId="5C9F6785">
            <w:pPr>
              <w:spacing w:line="240" w:lineRule="auto"/>
              <w:jc w:val="center"/>
              <w:rPr>
                <w:color w:val="000000"/>
                <w:sz w:val="21"/>
              </w:rPr>
            </w:pPr>
            <w:r>
              <w:rPr>
                <w:color w:val="000000"/>
                <w:sz w:val="21"/>
              </w:rPr>
              <w:t>COD</w:t>
            </w:r>
          </w:p>
        </w:tc>
        <w:tc>
          <w:tcPr>
            <w:tcW w:w="2019" w:type="dxa"/>
            <w:vAlign w:val="center"/>
          </w:tcPr>
          <w:p w14:paraId="71DF9A11">
            <w:pPr>
              <w:spacing w:line="240" w:lineRule="auto"/>
              <w:jc w:val="center"/>
              <w:rPr>
                <w:color w:val="000000"/>
                <w:sz w:val="21"/>
              </w:rPr>
            </w:pPr>
            <w:r>
              <w:rPr>
                <w:color w:val="000000"/>
                <w:sz w:val="21"/>
              </w:rPr>
              <w:t>80</w:t>
            </w:r>
          </w:p>
        </w:tc>
      </w:tr>
      <w:tr w14:paraId="2E1E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167" w:type="dxa"/>
            <w:vMerge w:val="continue"/>
            <w:vAlign w:val="center"/>
          </w:tcPr>
          <w:p w14:paraId="16E4CFC9">
            <w:pPr>
              <w:spacing w:line="240" w:lineRule="auto"/>
              <w:rPr>
                <w:color w:val="000000"/>
                <w:sz w:val="21"/>
              </w:rPr>
            </w:pPr>
          </w:p>
        </w:tc>
        <w:tc>
          <w:tcPr>
            <w:tcW w:w="1440" w:type="dxa"/>
            <w:vMerge w:val="continue"/>
            <w:vAlign w:val="center"/>
          </w:tcPr>
          <w:p w14:paraId="2854E4D9">
            <w:pPr>
              <w:spacing w:line="240" w:lineRule="auto"/>
              <w:rPr>
                <w:color w:val="000000"/>
                <w:sz w:val="21"/>
              </w:rPr>
            </w:pPr>
          </w:p>
        </w:tc>
        <w:tc>
          <w:tcPr>
            <w:tcW w:w="1102" w:type="dxa"/>
            <w:vMerge w:val="continue"/>
            <w:vAlign w:val="center"/>
          </w:tcPr>
          <w:p w14:paraId="0B80E242">
            <w:pPr>
              <w:spacing w:line="240" w:lineRule="auto"/>
              <w:rPr>
                <w:color w:val="000000"/>
                <w:sz w:val="21"/>
              </w:rPr>
            </w:pPr>
          </w:p>
        </w:tc>
        <w:tc>
          <w:tcPr>
            <w:tcW w:w="2136" w:type="dxa"/>
            <w:vMerge w:val="continue"/>
            <w:vAlign w:val="center"/>
          </w:tcPr>
          <w:p w14:paraId="69E6BBCB">
            <w:pPr>
              <w:spacing w:line="240" w:lineRule="auto"/>
              <w:rPr>
                <w:color w:val="000000"/>
                <w:sz w:val="21"/>
              </w:rPr>
            </w:pPr>
          </w:p>
        </w:tc>
        <w:tc>
          <w:tcPr>
            <w:tcW w:w="1550" w:type="dxa"/>
            <w:vMerge w:val="continue"/>
            <w:vAlign w:val="center"/>
          </w:tcPr>
          <w:p w14:paraId="6A6379E8">
            <w:pPr>
              <w:spacing w:line="240" w:lineRule="auto"/>
              <w:rPr>
                <w:color w:val="000000"/>
                <w:sz w:val="21"/>
              </w:rPr>
            </w:pPr>
          </w:p>
        </w:tc>
        <w:tc>
          <w:tcPr>
            <w:tcW w:w="1721" w:type="dxa"/>
            <w:vMerge w:val="continue"/>
            <w:vAlign w:val="center"/>
          </w:tcPr>
          <w:p w14:paraId="6325DC2A">
            <w:pPr>
              <w:spacing w:line="240" w:lineRule="auto"/>
              <w:rPr>
                <w:color w:val="000000"/>
                <w:sz w:val="21"/>
              </w:rPr>
            </w:pPr>
          </w:p>
        </w:tc>
        <w:tc>
          <w:tcPr>
            <w:tcW w:w="1671" w:type="dxa"/>
            <w:vMerge w:val="continue"/>
            <w:vAlign w:val="center"/>
          </w:tcPr>
          <w:p w14:paraId="596E80B1">
            <w:pPr>
              <w:spacing w:line="240" w:lineRule="auto"/>
              <w:rPr>
                <w:color w:val="000000"/>
                <w:sz w:val="21"/>
              </w:rPr>
            </w:pPr>
          </w:p>
        </w:tc>
        <w:tc>
          <w:tcPr>
            <w:tcW w:w="1367" w:type="dxa"/>
            <w:vAlign w:val="center"/>
          </w:tcPr>
          <w:p w14:paraId="170B0300">
            <w:pPr>
              <w:spacing w:line="240" w:lineRule="auto"/>
              <w:jc w:val="center"/>
              <w:rPr>
                <w:color w:val="000000"/>
                <w:sz w:val="21"/>
              </w:rPr>
            </w:pPr>
            <w:r>
              <w:rPr>
                <w:color w:val="000000"/>
                <w:sz w:val="21"/>
              </w:rPr>
              <w:t>BOD</w:t>
            </w:r>
            <w:r>
              <w:rPr>
                <w:color w:val="000000"/>
                <w:sz w:val="21"/>
                <w:vertAlign w:val="subscript"/>
              </w:rPr>
              <w:t>5</w:t>
            </w:r>
          </w:p>
        </w:tc>
        <w:tc>
          <w:tcPr>
            <w:tcW w:w="2019" w:type="dxa"/>
            <w:vAlign w:val="center"/>
          </w:tcPr>
          <w:p w14:paraId="74DBA34E">
            <w:pPr>
              <w:spacing w:line="240" w:lineRule="auto"/>
              <w:jc w:val="center"/>
              <w:rPr>
                <w:color w:val="000000"/>
                <w:sz w:val="21"/>
              </w:rPr>
            </w:pPr>
            <w:r>
              <w:rPr>
                <w:color w:val="000000"/>
                <w:sz w:val="21"/>
              </w:rPr>
              <w:t>20</w:t>
            </w:r>
          </w:p>
        </w:tc>
      </w:tr>
      <w:tr w14:paraId="0530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167" w:type="dxa"/>
            <w:vMerge w:val="continue"/>
            <w:vAlign w:val="center"/>
          </w:tcPr>
          <w:p w14:paraId="513D9002">
            <w:pPr>
              <w:spacing w:line="240" w:lineRule="auto"/>
              <w:rPr>
                <w:color w:val="000000"/>
                <w:sz w:val="21"/>
              </w:rPr>
            </w:pPr>
          </w:p>
        </w:tc>
        <w:tc>
          <w:tcPr>
            <w:tcW w:w="1440" w:type="dxa"/>
            <w:vMerge w:val="continue"/>
            <w:vAlign w:val="center"/>
          </w:tcPr>
          <w:p w14:paraId="0652CEE7">
            <w:pPr>
              <w:spacing w:line="240" w:lineRule="auto"/>
              <w:rPr>
                <w:color w:val="000000"/>
                <w:sz w:val="21"/>
              </w:rPr>
            </w:pPr>
          </w:p>
        </w:tc>
        <w:tc>
          <w:tcPr>
            <w:tcW w:w="1102" w:type="dxa"/>
            <w:vMerge w:val="continue"/>
            <w:vAlign w:val="center"/>
          </w:tcPr>
          <w:p w14:paraId="09CBDA91">
            <w:pPr>
              <w:spacing w:line="240" w:lineRule="auto"/>
              <w:rPr>
                <w:color w:val="000000"/>
                <w:sz w:val="21"/>
              </w:rPr>
            </w:pPr>
          </w:p>
        </w:tc>
        <w:tc>
          <w:tcPr>
            <w:tcW w:w="2136" w:type="dxa"/>
            <w:vMerge w:val="continue"/>
            <w:vAlign w:val="center"/>
          </w:tcPr>
          <w:p w14:paraId="758DA1AA">
            <w:pPr>
              <w:spacing w:line="240" w:lineRule="auto"/>
              <w:rPr>
                <w:color w:val="000000"/>
                <w:sz w:val="21"/>
              </w:rPr>
            </w:pPr>
          </w:p>
        </w:tc>
        <w:tc>
          <w:tcPr>
            <w:tcW w:w="1550" w:type="dxa"/>
            <w:vMerge w:val="continue"/>
            <w:vAlign w:val="center"/>
          </w:tcPr>
          <w:p w14:paraId="62531171">
            <w:pPr>
              <w:spacing w:line="240" w:lineRule="auto"/>
              <w:rPr>
                <w:color w:val="000000"/>
                <w:sz w:val="21"/>
              </w:rPr>
            </w:pPr>
          </w:p>
        </w:tc>
        <w:tc>
          <w:tcPr>
            <w:tcW w:w="1721" w:type="dxa"/>
            <w:vMerge w:val="continue"/>
            <w:vAlign w:val="center"/>
          </w:tcPr>
          <w:p w14:paraId="6E13A373">
            <w:pPr>
              <w:spacing w:line="240" w:lineRule="auto"/>
              <w:rPr>
                <w:color w:val="000000"/>
                <w:sz w:val="21"/>
              </w:rPr>
            </w:pPr>
          </w:p>
        </w:tc>
        <w:tc>
          <w:tcPr>
            <w:tcW w:w="1671" w:type="dxa"/>
            <w:vMerge w:val="continue"/>
            <w:vAlign w:val="center"/>
          </w:tcPr>
          <w:p w14:paraId="43C351F9">
            <w:pPr>
              <w:spacing w:line="240" w:lineRule="auto"/>
              <w:rPr>
                <w:color w:val="000000"/>
                <w:sz w:val="21"/>
              </w:rPr>
            </w:pPr>
          </w:p>
        </w:tc>
        <w:tc>
          <w:tcPr>
            <w:tcW w:w="1367" w:type="dxa"/>
            <w:vAlign w:val="center"/>
          </w:tcPr>
          <w:p w14:paraId="47B7680F">
            <w:pPr>
              <w:spacing w:line="240" w:lineRule="auto"/>
              <w:jc w:val="center"/>
              <w:rPr>
                <w:color w:val="000000"/>
                <w:sz w:val="21"/>
              </w:rPr>
            </w:pPr>
            <w:r>
              <w:rPr>
                <w:color w:val="000000"/>
                <w:sz w:val="21"/>
              </w:rPr>
              <w:t>SS</w:t>
            </w:r>
          </w:p>
        </w:tc>
        <w:tc>
          <w:tcPr>
            <w:tcW w:w="2019" w:type="dxa"/>
            <w:vAlign w:val="center"/>
          </w:tcPr>
          <w:p w14:paraId="40DE7ECD">
            <w:pPr>
              <w:spacing w:line="240" w:lineRule="auto"/>
              <w:jc w:val="center"/>
              <w:rPr>
                <w:color w:val="000000"/>
                <w:sz w:val="21"/>
              </w:rPr>
            </w:pPr>
            <w:r>
              <w:rPr>
                <w:color w:val="000000"/>
                <w:sz w:val="21"/>
              </w:rPr>
              <w:t>70</w:t>
            </w:r>
          </w:p>
        </w:tc>
      </w:tr>
      <w:tr w14:paraId="517A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167" w:type="dxa"/>
            <w:vMerge w:val="continue"/>
            <w:vAlign w:val="center"/>
          </w:tcPr>
          <w:p w14:paraId="2558DD03">
            <w:pPr>
              <w:spacing w:line="240" w:lineRule="auto"/>
              <w:rPr>
                <w:color w:val="000000"/>
                <w:sz w:val="21"/>
              </w:rPr>
            </w:pPr>
          </w:p>
        </w:tc>
        <w:tc>
          <w:tcPr>
            <w:tcW w:w="1440" w:type="dxa"/>
            <w:vMerge w:val="continue"/>
            <w:vAlign w:val="center"/>
          </w:tcPr>
          <w:p w14:paraId="7CABB8FF">
            <w:pPr>
              <w:spacing w:line="240" w:lineRule="auto"/>
              <w:rPr>
                <w:color w:val="000000"/>
                <w:sz w:val="21"/>
              </w:rPr>
            </w:pPr>
          </w:p>
        </w:tc>
        <w:tc>
          <w:tcPr>
            <w:tcW w:w="1102" w:type="dxa"/>
            <w:vMerge w:val="continue"/>
            <w:vAlign w:val="center"/>
          </w:tcPr>
          <w:p w14:paraId="442DBF5A">
            <w:pPr>
              <w:spacing w:line="240" w:lineRule="auto"/>
              <w:rPr>
                <w:color w:val="000000"/>
                <w:sz w:val="21"/>
              </w:rPr>
            </w:pPr>
          </w:p>
        </w:tc>
        <w:tc>
          <w:tcPr>
            <w:tcW w:w="2136" w:type="dxa"/>
            <w:vMerge w:val="continue"/>
            <w:vAlign w:val="center"/>
          </w:tcPr>
          <w:p w14:paraId="3217D2A1">
            <w:pPr>
              <w:spacing w:line="240" w:lineRule="auto"/>
              <w:rPr>
                <w:color w:val="000000"/>
                <w:sz w:val="21"/>
              </w:rPr>
            </w:pPr>
          </w:p>
        </w:tc>
        <w:tc>
          <w:tcPr>
            <w:tcW w:w="1550" w:type="dxa"/>
            <w:vMerge w:val="continue"/>
            <w:vAlign w:val="center"/>
          </w:tcPr>
          <w:p w14:paraId="2A88945F">
            <w:pPr>
              <w:spacing w:line="240" w:lineRule="auto"/>
              <w:rPr>
                <w:color w:val="000000"/>
                <w:sz w:val="21"/>
              </w:rPr>
            </w:pPr>
          </w:p>
        </w:tc>
        <w:tc>
          <w:tcPr>
            <w:tcW w:w="1721" w:type="dxa"/>
            <w:vMerge w:val="continue"/>
            <w:vAlign w:val="center"/>
          </w:tcPr>
          <w:p w14:paraId="0AA0E054">
            <w:pPr>
              <w:spacing w:line="240" w:lineRule="auto"/>
              <w:rPr>
                <w:color w:val="000000"/>
                <w:sz w:val="21"/>
              </w:rPr>
            </w:pPr>
          </w:p>
        </w:tc>
        <w:tc>
          <w:tcPr>
            <w:tcW w:w="1671" w:type="dxa"/>
            <w:vMerge w:val="continue"/>
            <w:vAlign w:val="center"/>
          </w:tcPr>
          <w:p w14:paraId="3E265DAE">
            <w:pPr>
              <w:spacing w:line="240" w:lineRule="auto"/>
              <w:rPr>
                <w:color w:val="000000"/>
                <w:sz w:val="21"/>
              </w:rPr>
            </w:pPr>
          </w:p>
        </w:tc>
        <w:tc>
          <w:tcPr>
            <w:tcW w:w="1367" w:type="dxa"/>
            <w:vAlign w:val="center"/>
          </w:tcPr>
          <w:p w14:paraId="3A067AB4">
            <w:pPr>
              <w:spacing w:line="240" w:lineRule="auto"/>
              <w:jc w:val="center"/>
              <w:rPr>
                <w:color w:val="000000"/>
                <w:sz w:val="21"/>
              </w:rPr>
            </w:pPr>
            <w:r>
              <w:rPr>
                <w:color w:val="000000"/>
                <w:sz w:val="21"/>
              </w:rPr>
              <w:t>氨氮</w:t>
            </w:r>
          </w:p>
        </w:tc>
        <w:tc>
          <w:tcPr>
            <w:tcW w:w="2019" w:type="dxa"/>
            <w:vAlign w:val="center"/>
          </w:tcPr>
          <w:p w14:paraId="4B9D4D93">
            <w:pPr>
              <w:spacing w:line="240" w:lineRule="auto"/>
              <w:jc w:val="center"/>
              <w:rPr>
                <w:color w:val="000000"/>
                <w:sz w:val="21"/>
              </w:rPr>
            </w:pPr>
            <w:r>
              <w:rPr>
                <w:color w:val="000000"/>
                <w:sz w:val="21"/>
              </w:rPr>
              <w:t>10</w:t>
            </w:r>
          </w:p>
        </w:tc>
      </w:tr>
      <w:tr w14:paraId="382C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167" w:type="dxa"/>
            <w:vMerge w:val="continue"/>
            <w:vAlign w:val="center"/>
          </w:tcPr>
          <w:p w14:paraId="7492BD2E">
            <w:pPr>
              <w:spacing w:line="240" w:lineRule="auto"/>
              <w:rPr>
                <w:color w:val="000000"/>
                <w:sz w:val="21"/>
              </w:rPr>
            </w:pPr>
          </w:p>
        </w:tc>
        <w:tc>
          <w:tcPr>
            <w:tcW w:w="1440" w:type="dxa"/>
            <w:vMerge w:val="continue"/>
            <w:vAlign w:val="center"/>
          </w:tcPr>
          <w:p w14:paraId="308C25EC">
            <w:pPr>
              <w:spacing w:line="240" w:lineRule="auto"/>
              <w:rPr>
                <w:color w:val="000000"/>
                <w:sz w:val="21"/>
              </w:rPr>
            </w:pPr>
          </w:p>
        </w:tc>
        <w:tc>
          <w:tcPr>
            <w:tcW w:w="1102" w:type="dxa"/>
            <w:vMerge w:val="continue"/>
            <w:vAlign w:val="center"/>
          </w:tcPr>
          <w:p w14:paraId="62C4F0E5">
            <w:pPr>
              <w:spacing w:line="240" w:lineRule="auto"/>
              <w:rPr>
                <w:color w:val="000000"/>
                <w:sz w:val="21"/>
              </w:rPr>
            </w:pPr>
          </w:p>
        </w:tc>
        <w:tc>
          <w:tcPr>
            <w:tcW w:w="2136" w:type="dxa"/>
            <w:vMerge w:val="continue"/>
            <w:vAlign w:val="center"/>
          </w:tcPr>
          <w:p w14:paraId="6E5F5E15">
            <w:pPr>
              <w:spacing w:line="240" w:lineRule="auto"/>
              <w:rPr>
                <w:color w:val="000000"/>
                <w:sz w:val="21"/>
              </w:rPr>
            </w:pPr>
          </w:p>
        </w:tc>
        <w:tc>
          <w:tcPr>
            <w:tcW w:w="1550" w:type="dxa"/>
            <w:vMerge w:val="continue"/>
            <w:vAlign w:val="center"/>
          </w:tcPr>
          <w:p w14:paraId="02B6C042">
            <w:pPr>
              <w:spacing w:line="240" w:lineRule="auto"/>
              <w:rPr>
                <w:color w:val="000000"/>
                <w:sz w:val="21"/>
              </w:rPr>
            </w:pPr>
          </w:p>
        </w:tc>
        <w:tc>
          <w:tcPr>
            <w:tcW w:w="1721" w:type="dxa"/>
            <w:vMerge w:val="continue"/>
            <w:vAlign w:val="center"/>
          </w:tcPr>
          <w:p w14:paraId="233C908E">
            <w:pPr>
              <w:spacing w:line="240" w:lineRule="auto"/>
              <w:rPr>
                <w:color w:val="000000"/>
                <w:sz w:val="21"/>
              </w:rPr>
            </w:pPr>
          </w:p>
        </w:tc>
        <w:tc>
          <w:tcPr>
            <w:tcW w:w="1671" w:type="dxa"/>
            <w:vMerge w:val="continue"/>
            <w:vAlign w:val="center"/>
          </w:tcPr>
          <w:p w14:paraId="13D7302B">
            <w:pPr>
              <w:spacing w:line="240" w:lineRule="auto"/>
              <w:rPr>
                <w:color w:val="000000"/>
                <w:sz w:val="21"/>
              </w:rPr>
            </w:pPr>
          </w:p>
        </w:tc>
        <w:tc>
          <w:tcPr>
            <w:tcW w:w="1367" w:type="dxa"/>
            <w:vAlign w:val="center"/>
          </w:tcPr>
          <w:p w14:paraId="1C9B2457">
            <w:pPr>
              <w:spacing w:line="240" w:lineRule="auto"/>
              <w:jc w:val="center"/>
              <w:rPr>
                <w:color w:val="000000"/>
                <w:sz w:val="21"/>
              </w:rPr>
            </w:pPr>
            <w:r>
              <w:rPr>
                <w:color w:val="000000"/>
                <w:sz w:val="21"/>
              </w:rPr>
              <w:t>TP</w:t>
            </w:r>
          </w:p>
        </w:tc>
        <w:tc>
          <w:tcPr>
            <w:tcW w:w="2019" w:type="dxa"/>
            <w:vAlign w:val="center"/>
          </w:tcPr>
          <w:p w14:paraId="5063EA18">
            <w:pPr>
              <w:spacing w:line="240" w:lineRule="auto"/>
              <w:jc w:val="center"/>
              <w:rPr>
                <w:color w:val="000000"/>
                <w:sz w:val="21"/>
              </w:rPr>
            </w:pPr>
            <w:r>
              <w:rPr>
                <w:color w:val="000000"/>
                <w:sz w:val="21"/>
              </w:rPr>
              <w:t>0.5</w:t>
            </w:r>
          </w:p>
        </w:tc>
      </w:tr>
    </w:tbl>
    <w:p w14:paraId="044552D4">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5.2.2-3</w:t>
      </w:r>
      <w:r>
        <w:rPr>
          <w:rFonts w:ascii="Times New Roman" w:hAnsi="Times New Roman"/>
          <w:color w:val="000000"/>
        </w:rPr>
        <w:t xml:space="preserve">   废水污染物排放执行标准表</w:t>
      </w:r>
    </w:p>
    <w:tbl>
      <w:tblPr>
        <w:tblStyle w:val="7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13"/>
        <w:gridCol w:w="2038"/>
        <w:gridCol w:w="2652"/>
        <w:gridCol w:w="5994"/>
        <w:gridCol w:w="2517"/>
      </w:tblGrid>
      <w:tr w14:paraId="030C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Merge w:val="restart"/>
            <w:vAlign w:val="center"/>
          </w:tcPr>
          <w:p w14:paraId="72878B6A">
            <w:pPr>
              <w:widowControl w:val="0"/>
              <w:adjustRightInd/>
              <w:snapToGrid/>
              <w:spacing w:line="240" w:lineRule="atLeast"/>
              <w:jc w:val="center"/>
              <w:rPr>
                <w:color w:val="000000"/>
                <w:sz w:val="21"/>
              </w:rPr>
            </w:pPr>
            <w:r>
              <w:rPr>
                <w:color w:val="000000"/>
                <w:sz w:val="21"/>
              </w:rPr>
              <w:t>序号</w:t>
            </w:r>
          </w:p>
        </w:tc>
        <w:tc>
          <w:tcPr>
            <w:tcW w:w="727" w:type="pct"/>
            <w:vMerge w:val="restart"/>
            <w:vAlign w:val="center"/>
          </w:tcPr>
          <w:p w14:paraId="692CE45D">
            <w:pPr>
              <w:widowControl w:val="0"/>
              <w:adjustRightInd/>
              <w:snapToGrid/>
              <w:spacing w:line="240" w:lineRule="atLeast"/>
              <w:jc w:val="center"/>
              <w:rPr>
                <w:color w:val="000000"/>
                <w:sz w:val="21"/>
              </w:rPr>
            </w:pPr>
            <w:r>
              <w:rPr>
                <w:color w:val="000000"/>
                <w:sz w:val="21"/>
              </w:rPr>
              <w:t>排放口编号</w:t>
            </w:r>
          </w:p>
        </w:tc>
        <w:tc>
          <w:tcPr>
            <w:tcW w:w="946" w:type="pct"/>
            <w:vMerge w:val="restart"/>
            <w:vAlign w:val="center"/>
          </w:tcPr>
          <w:p w14:paraId="2B4BC1DD">
            <w:pPr>
              <w:widowControl w:val="0"/>
              <w:adjustRightInd/>
              <w:snapToGrid/>
              <w:spacing w:line="240" w:lineRule="atLeast"/>
              <w:jc w:val="center"/>
              <w:rPr>
                <w:color w:val="000000"/>
                <w:sz w:val="21"/>
              </w:rPr>
            </w:pPr>
            <w:r>
              <w:rPr>
                <w:color w:val="000000"/>
                <w:sz w:val="21"/>
              </w:rPr>
              <w:t>污染物种类</w:t>
            </w:r>
          </w:p>
        </w:tc>
        <w:tc>
          <w:tcPr>
            <w:tcW w:w="3036" w:type="pct"/>
            <w:gridSpan w:val="2"/>
            <w:vAlign w:val="center"/>
          </w:tcPr>
          <w:p w14:paraId="2CFF2D7E">
            <w:pPr>
              <w:widowControl w:val="0"/>
              <w:adjustRightInd/>
              <w:snapToGrid/>
              <w:spacing w:line="240" w:lineRule="atLeast"/>
              <w:jc w:val="center"/>
              <w:rPr>
                <w:color w:val="000000"/>
                <w:sz w:val="21"/>
              </w:rPr>
            </w:pPr>
            <w:r>
              <w:rPr>
                <w:color w:val="000000"/>
                <w:sz w:val="21"/>
              </w:rPr>
              <w:t>排放标准</w:t>
            </w:r>
          </w:p>
        </w:tc>
      </w:tr>
      <w:tr w14:paraId="4968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Merge w:val="continue"/>
            <w:vAlign w:val="center"/>
          </w:tcPr>
          <w:p w14:paraId="75570011">
            <w:pPr>
              <w:widowControl w:val="0"/>
              <w:adjustRightInd/>
              <w:snapToGrid/>
              <w:spacing w:line="240" w:lineRule="atLeast"/>
              <w:jc w:val="center"/>
              <w:rPr>
                <w:color w:val="000000"/>
                <w:sz w:val="21"/>
              </w:rPr>
            </w:pPr>
          </w:p>
        </w:tc>
        <w:tc>
          <w:tcPr>
            <w:tcW w:w="727" w:type="pct"/>
            <w:vMerge w:val="continue"/>
            <w:vAlign w:val="center"/>
          </w:tcPr>
          <w:p w14:paraId="528AC3E6">
            <w:pPr>
              <w:widowControl w:val="0"/>
              <w:adjustRightInd/>
              <w:snapToGrid/>
              <w:spacing w:line="240" w:lineRule="atLeast"/>
              <w:jc w:val="center"/>
              <w:rPr>
                <w:color w:val="000000"/>
                <w:sz w:val="21"/>
              </w:rPr>
            </w:pPr>
          </w:p>
        </w:tc>
        <w:tc>
          <w:tcPr>
            <w:tcW w:w="946" w:type="pct"/>
            <w:vMerge w:val="continue"/>
            <w:vAlign w:val="center"/>
          </w:tcPr>
          <w:p w14:paraId="70058FED">
            <w:pPr>
              <w:widowControl w:val="0"/>
              <w:adjustRightInd/>
              <w:snapToGrid/>
              <w:spacing w:line="240" w:lineRule="atLeast"/>
              <w:jc w:val="center"/>
              <w:rPr>
                <w:color w:val="000000"/>
                <w:sz w:val="21"/>
              </w:rPr>
            </w:pPr>
          </w:p>
        </w:tc>
        <w:tc>
          <w:tcPr>
            <w:tcW w:w="2138" w:type="pct"/>
            <w:vAlign w:val="center"/>
          </w:tcPr>
          <w:p w14:paraId="7C2185B4">
            <w:pPr>
              <w:widowControl w:val="0"/>
              <w:adjustRightInd/>
              <w:snapToGrid/>
              <w:spacing w:line="240" w:lineRule="atLeast"/>
              <w:jc w:val="center"/>
              <w:rPr>
                <w:color w:val="000000"/>
                <w:sz w:val="21"/>
              </w:rPr>
            </w:pPr>
            <w:r>
              <w:rPr>
                <w:color w:val="000000"/>
                <w:sz w:val="21"/>
              </w:rPr>
              <w:t>名称</w:t>
            </w:r>
          </w:p>
        </w:tc>
        <w:tc>
          <w:tcPr>
            <w:tcW w:w="898" w:type="pct"/>
            <w:vAlign w:val="center"/>
          </w:tcPr>
          <w:p w14:paraId="6954A658">
            <w:pPr>
              <w:widowControl w:val="0"/>
              <w:adjustRightInd/>
              <w:snapToGrid/>
              <w:spacing w:line="240" w:lineRule="atLeast"/>
              <w:rPr>
                <w:color w:val="000000"/>
                <w:sz w:val="21"/>
              </w:rPr>
            </w:pPr>
            <w:r>
              <w:rPr>
                <w:color w:val="000000"/>
                <w:sz w:val="21"/>
              </w:rPr>
              <w:t>排放标准浓度限值（mg/L）</w:t>
            </w:r>
          </w:p>
        </w:tc>
      </w:tr>
      <w:tr w14:paraId="4121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Merge w:val="continue"/>
            <w:vAlign w:val="center"/>
          </w:tcPr>
          <w:p w14:paraId="6B40031C">
            <w:pPr>
              <w:widowControl w:val="0"/>
              <w:adjustRightInd/>
              <w:snapToGrid/>
              <w:spacing w:line="240" w:lineRule="atLeast"/>
              <w:rPr>
                <w:color w:val="000000"/>
                <w:sz w:val="21"/>
              </w:rPr>
            </w:pPr>
          </w:p>
        </w:tc>
        <w:tc>
          <w:tcPr>
            <w:tcW w:w="727" w:type="pct"/>
            <w:vMerge w:val="continue"/>
            <w:vAlign w:val="center"/>
          </w:tcPr>
          <w:p w14:paraId="7110C82E">
            <w:pPr>
              <w:widowControl w:val="0"/>
              <w:adjustRightInd/>
              <w:snapToGrid/>
              <w:spacing w:line="240" w:lineRule="atLeast"/>
              <w:rPr>
                <w:color w:val="000000"/>
                <w:sz w:val="21"/>
              </w:rPr>
            </w:pPr>
          </w:p>
        </w:tc>
        <w:tc>
          <w:tcPr>
            <w:tcW w:w="946" w:type="pct"/>
            <w:vAlign w:val="center"/>
          </w:tcPr>
          <w:p w14:paraId="21FEF208">
            <w:pPr>
              <w:widowControl w:val="0"/>
              <w:adjustRightInd/>
              <w:snapToGrid/>
              <w:spacing w:line="240" w:lineRule="atLeast"/>
              <w:jc w:val="center"/>
              <w:rPr>
                <w:color w:val="000000"/>
                <w:sz w:val="21"/>
              </w:rPr>
            </w:pPr>
            <w:r>
              <w:rPr>
                <w:color w:val="000000"/>
                <w:sz w:val="21"/>
              </w:rPr>
              <w:t>SS</w:t>
            </w:r>
          </w:p>
        </w:tc>
        <w:tc>
          <w:tcPr>
            <w:tcW w:w="2138" w:type="pct"/>
            <w:vMerge w:val="restart"/>
            <w:vAlign w:val="center"/>
          </w:tcPr>
          <w:p w14:paraId="28B63A0D">
            <w:pPr>
              <w:widowControl w:val="0"/>
              <w:adjustRightInd/>
              <w:snapToGrid/>
              <w:spacing w:line="240" w:lineRule="atLeast"/>
              <w:jc w:val="center"/>
              <w:rPr>
                <w:color w:val="000000"/>
                <w:sz w:val="21"/>
              </w:rPr>
            </w:pPr>
            <w:r>
              <w:rPr>
                <w:color w:val="000000"/>
                <w:sz w:val="21"/>
              </w:rPr>
              <w:t>涪陵区拓源污水治理有限公司白涛化工园区潘家坝污水处理厂进水水质标准及《污水综合排放标准》（GB8978-1996）三级标准</w:t>
            </w:r>
          </w:p>
        </w:tc>
        <w:tc>
          <w:tcPr>
            <w:tcW w:w="898" w:type="pct"/>
            <w:vAlign w:val="center"/>
          </w:tcPr>
          <w:p w14:paraId="33B9F908">
            <w:pPr>
              <w:widowControl w:val="0"/>
              <w:adjustRightInd/>
              <w:snapToGrid/>
              <w:spacing w:line="240" w:lineRule="atLeast"/>
              <w:jc w:val="center"/>
              <w:rPr>
                <w:color w:val="000000"/>
                <w:sz w:val="21"/>
              </w:rPr>
            </w:pPr>
            <w:r>
              <w:rPr>
                <w:color w:val="000000"/>
                <w:sz w:val="21"/>
              </w:rPr>
              <w:t>400</w:t>
            </w:r>
          </w:p>
        </w:tc>
      </w:tr>
      <w:tr w14:paraId="69C9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Merge w:val="restart"/>
            <w:vAlign w:val="center"/>
          </w:tcPr>
          <w:p w14:paraId="5C40F57C">
            <w:pPr>
              <w:widowControl w:val="0"/>
              <w:adjustRightInd/>
              <w:snapToGrid/>
              <w:spacing w:line="240" w:lineRule="atLeast"/>
              <w:rPr>
                <w:color w:val="000000"/>
                <w:sz w:val="21"/>
              </w:rPr>
            </w:pPr>
            <w:r>
              <w:rPr>
                <w:color w:val="000000"/>
                <w:sz w:val="21"/>
              </w:rPr>
              <w:t>1</w:t>
            </w:r>
          </w:p>
        </w:tc>
        <w:tc>
          <w:tcPr>
            <w:tcW w:w="727" w:type="pct"/>
            <w:vMerge w:val="restart"/>
            <w:vAlign w:val="center"/>
          </w:tcPr>
          <w:p w14:paraId="29DB1695">
            <w:pPr>
              <w:spacing w:line="240" w:lineRule="auto"/>
              <w:rPr>
                <w:color w:val="000000"/>
                <w:sz w:val="21"/>
              </w:rPr>
            </w:pPr>
            <w:r>
              <w:rPr>
                <w:color w:val="000000"/>
                <w:sz w:val="21"/>
              </w:rPr>
              <w:t>DW001</w:t>
            </w:r>
          </w:p>
          <w:p w14:paraId="683DF649">
            <w:pPr>
              <w:spacing w:line="240" w:lineRule="auto"/>
              <w:rPr>
                <w:color w:val="000000"/>
                <w:sz w:val="21"/>
              </w:rPr>
            </w:pPr>
            <w:r>
              <w:rPr>
                <w:color w:val="000000"/>
                <w:sz w:val="21"/>
              </w:rPr>
              <w:t>废水排放口</w:t>
            </w:r>
          </w:p>
        </w:tc>
        <w:tc>
          <w:tcPr>
            <w:tcW w:w="946" w:type="pct"/>
            <w:vAlign w:val="center"/>
          </w:tcPr>
          <w:p w14:paraId="47045CF1">
            <w:pPr>
              <w:widowControl w:val="0"/>
              <w:adjustRightInd/>
              <w:snapToGrid/>
              <w:spacing w:line="240" w:lineRule="atLeast"/>
              <w:jc w:val="center"/>
              <w:rPr>
                <w:color w:val="000000"/>
                <w:sz w:val="21"/>
              </w:rPr>
            </w:pPr>
            <w:r>
              <w:rPr>
                <w:color w:val="000000"/>
                <w:sz w:val="21"/>
              </w:rPr>
              <w:t>pH</w:t>
            </w:r>
          </w:p>
        </w:tc>
        <w:tc>
          <w:tcPr>
            <w:tcW w:w="2138" w:type="pct"/>
            <w:vMerge w:val="continue"/>
            <w:vAlign w:val="center"/>
          </w:tcPr>
          <w:p w14:paraId="4CCF97A4">
            <w:pPr>
              <w:widowControl w:val="0"/>
              <w:adjustRightInd/>
              <w:snapToGrid/>
              <w:spacing w:line="240" w:lineRule="atLeast"/>
              <w:jc w:val="center"/>
              <w:rPr>
                <w:color w:val="000000"/>
                <w:sz w:val="21"/>
              </w:rPr>
            </w:pPr>
          </w:p>
        </w:tc>
        <w:tc>
          <w:tcPr>
            <w:tcW w:w="898" w:type="pct"/>
            <w:vAlign w:val="center"/>
          </w:tcPr>
          <w:p w14:paraId="329E7A56">
            <w:pPr>
              <w:widowControl w:val="0"/>
              <w:adjustRightInd/>
              <w:snapToGrid/>
              <w:spacing w:line="240" w:lineRule="atLeast"/>
              <w:jc w:val="center"/>
              <w:rPr>
                <w:color w:val="000000"/>
                <w:sz w:val="21"/>
              </w:rPr>
            </w:pPr>
            <w:r>
              <w:rPr>
                <w:color w:val="000000"/>
                <w:sz w:val="21"/>
              </w:rPr>
              <w:t>6~9</w:t>
            </w:r>
          </w:p>
        </w:tc>
      </w:tr>
      <w:tr w14:paraId="3ABC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Merge w:val="continue"/>
            <w:vAlign w:val="center"/>
          </w:tcPr>
          <w:p w14:paraId="567D8EC8">
            <w:pPr>
              <w:widowControl w:val="0"/>
              <w:adjustRightInd/>
              <w:snapToGrid/>
              <w:spacing w:line="240" w:lineRule="atLeast"/>
              <w:rPr>
                <w:color w:val="000000"/>
                <w:sz w:val="21"/>
              </w:rPr>
            </w:pPr>
          </w:p>
        </w:tc>
        <w:tc>
          <w:tcPr>
            <w:tcW w:w="727" w:type="pct"/>
            <w:vMerge w:val="continue"/>
            <w:vAlign w:val="center"/>
          </w:tcPr>
          <w:p w14:paraId="0A8E0B96">
            <w:pPr>
              <w:widowControl w:val="0"/>
              <w:adjustRightInd/>
              <w:snapToGrid/>
              <w:spacing w:line="240" w:lineRule="atLeast"/>
              <w:rPr>
                <w:color w:val="000000"/>
                <w:sz w:val="21"/>
              </w:rPr>
            </w:pPr>
          </w:p>
        </w:tc>
        <w:tc>
          <w:tcPr>
            <w:tcW w:w="946" w:type="pct"/>
            <w:vAlign w:val="center"/>
          </w:tcPr>
          <w:p w14:paraId="0871B50E">
            <w:pPr>
              <w:widowControl w:val="0"/>
              <w:adjustRightInd/>
              <w:snapToGrid/>
              <w:spacing w:line="240" w:lineRule="atLeast"/>
              <w:jc w:val="center"/>
              <w:rPr>
                <w:color w:val="000000"/>
                <w:sz w:val="21"/>
              </w:rPr>
            </w:pPr>
            <w:r>
              <w:rPr>
                <w:color w:val="000000"/>
                <w:sz w:val="21"/>
              </w:rPr>
              <w:t>COD</w:t>
            </w:r>
          </w:p>
        </w:tc>
        <w:tc>
          <w:tcPr>
            <w:tcW w:w="2138" w:type="pct"/>
            <w:vMerge w:val="continue"/>
            <w:vAlign w:val="center"/>
          </w:tcPr>
          <w:p w14:paraId="16DCCF03">
            <w:pPr>
              <w:widowControl w:val="0"/>
              <w:adjustRightInd/>
              <w:snapToGrid/>
              <w:spacing w:line="240" w:lineRule="atLeast"/>
              <w:jc w:val="center"/>
              <w:rPr>
                <w:color w:val="000000"/>
                <w:sz w:val="21"/>
              </w:rPr>
            </w:pPr>
          </w:p>
        </w:tc>
        <w:tc>
          <w:tcPr>
            <w:tcW w:w="898" w:type="pct"/>
            <w:vAlign w:val="center"/>
          </w:tcPr>
          <w:p w14:paraId="6AC12498">
            <w:pPr>
              <w:widowControl w:val="0"/>
              <w:adjustRightInd/>
              <w:snapToGrid/>
              <w:spacing w:line="240" w:lineRule="atLeast"/>
              <w:jc w:val="center"/>
              <w:rPr>
                <w:color w:val="000000"/>
                <w:sz w:val="21"/>
              </w:rPr>
            </w:pPr>
            <w:r>
              <w:rPr>
                <w:color w:val="000000"/>
                <w:sz w:val="21"/>
              </w:rPr>
              <w:t>500</w:t>
            </w:r>
          </w:p>
        </w:tc>
      </w:tr>
      <w:tr w14:paraId="160E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Merge w:val="continue"/>
            <w:vAlign w:val="center"/>
          </w:tcPr>
          <w:p w14:paraId="3F662452">
            <w:pPr>
              <w:widowControl w:val="0"/>
              <w:adjustRightInd/>
              <w:snapToGrid/>
              <w:spacing w:line="240" w:lineRule="atLeast"/>
              <w:rPr>
                <w:color w:val="000000"/>
                <w:sz w:val="21"/>
              </w:rPr>
            </w:pPr>
          </w:p>
        </w:tc>
        <w:tc>
          <w:tcPr>
            <w:tcW w:w="727" w:type="pct"/>
            <w:vMerge w:val="continue"/>
            <w:vAlign w:val="center"/>
          </w:tcPr>
          <w:p w14:paraId="4B8EFB94">
            <w:pPr>
              <w:widowControl w:val="0"/>
              <w:adjustRightInd/>
              <w:snapToGrid/>
              <w:spacing w:line="240" w:lineRule="atLeast"/>
              <w:rPr>
                <w:color w:val="000000"/>
                <w:sz w:val="21"/>
              </w:rPr>
            </w:pPr>
          </w:p>
        </w:tc>
        <w:tc>
          <w:tcPr>
            <w:tcW w:w="946" w:type="pct"/>
            <w:vAlign w:val="center"/>
          </w:tcPr>
          <w:p w14:paraId="08744328">
            <w:pPr>
              <w:widowControl w:val="0"/>
              <w:adjustRightInd/>
              <w:snapToGrid/>
              <w:spacing w:line="240" w:lineRule="atLeast"/>
              <w:jc w:val="center"/>
              <w:rPr>
                <w:color w:val="000000"/>
                <w:sz w:val="21"/>
              </w:rPr>
            </w:pPr>
            <w:r>
              <w:rPr>
                <w:color w:val="000000"/>
                <w:sz w:val="21"/>
              </w:rPr>
              <w:t>BOD</w:t>
            </w:r>
            <w:r>
              <w:rPr>
                <w:color w:val="000000"/>
                <w:sz w:val="21"/>
                <w:vertAlign w:val="subscript"/>
              </w:rPr>
              <w:t>5</w:t>
            </w:r>
          </w:p>
        </w:tc>
        <w:tc>
          <w:tcPr>
            <w:tcW w:w="2138" w:type="pct"/>
            <w:vMerge w:val="continue"/>
            <w:vAlign w:val="center"/>
          </w:tcPr>
          <w:p w14:paraId="7038E04E">
            <w:pPr>
              <w:widowControl w:val="0"/>
              <w:adjustRightInd/>
              <w:snapToGrid/>
              <w:spacing w:line="240" w:lineRule="atLeast"/>
              <w:jc w:val="center"/>
              <w:rPr>
                <w:color w:val="000000"/>
                <w:sz w:val="21"/>
              </w:rPr>
            </w:pPr>
          </w:p>
        </w:tc>
        <w:tc>
          <w:tcPr>
            <w:tcW w:w="898" w:type="pct"/>
            <w:vAlign w:val="center"/>
          </w:tcPr>
          <w:p w14:paraId="4318F4C2">
            <w:pPr>
              <w:widowControl w:val="0"/>
              <w:adjustRightInd/>
              <w:snapToGrid/>
              <w:spacing w:line="240" w:lineRule="atLeast"/>
              <w:jc w:val="center"/>
              <w:rPr>
                <w:color w:val="000000"/>
                <w:sz w:val="21"/>
              </w:rPr>
            </w:pPr>
            <w:r>
              <w:rPr>
                <w:color w:val="000000"/>
                <w:sz w:val="21"/>
              </w:rPr>
              <w:t>236</w:t>
            </w:r>
          </w:p>
        </w:tc>
      </w:tr>
      <w:tr w14:paraId="2D36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Merge w:val="continue"/>
            <w:vAlign w:val="center"/>
          </w:tcPr>
          <w:p w14:paraId="0E299806">
            <w:pPr>
              <w:widowControl w:val="0"/>
              <w:adjustRightInd/>
              <w:snapToGrid/>
              <w:spacing w:line="240" w:lineRule="atLeast"/>
              <w:rPr>
                <w:color w:val="000000"/>
                <w:sz w:val="21"/>
              </w:rPr>
            </w:pPr>
          </w:p>
        </w:tc>
        <w:tc>
          <w:tcPr>
            <w:tcW w:w="727" w:type="pct"/>
            <w:vMerge w:val="continue"/>
            <w:vAlign w:val="center"/>
          </w:tcPr>
          <w:p w14:paraId="376A84B3">
            <w:pPr>
              <w:widowControl w:val="0"/>
              <w:adjustRightInd/>
              <w:snapToGrid/>
              <w:spacing w:line="240" w:lineRule="atLeast"/>
              <w:rPr>
                <w:color w:val="000000"/>
                <w:sz w:val="21"/>
              </w:rPr>
            </w:pPr>
          </w:p>
        </w:tc>
        <w:tc>
          <w:tcPr>
            <w:tcW w:w="946" w:type="pct"/>
            <w:vAlign w:val="center"/>
          </w:tcPr>
          <w:p w14:paraId="465B0719">
            <w:pPr>
              <w:widowControl w:val="0"/>
              <w:adjustRightInd/>
              <w:snapToGrid/>
              <w:spacing w:line="240" w:lineRule="atLeast"/>
              <w:jc w:val="center"/>
              <w:rPr>
                <w:color w:val="000000"/>
                <w:sz w:val="21"/>
              </w:rPr>
            </w:pPr>
            <w:r>
              <w:rPr>
                <w:color w:val="000000"/>
                <w:sz w:val="21"/>
              </w:rPr>
              <w:t>SS</w:t>
            </w:r>
          </w:p>
        </w:tc>
        <w:tc>
          <w:tcPr>
            <w:tcW w:w="2138" w:type="pct"/>
            <w:vMerge w:val="continue"/>
            <w:vAlign w:val="center"/>
          </w:tcPr>
          <w:p w14:paraId="2AA6D17B">
            <w:pPr>
              <w:widowControl w:val="0"/>
              <w:adjustRightInd/>
              <w:snapToGrid/>
              <w:spacing w:line="240" w:lineRule="atLeast"/>
              <w:jc w:val="center"/>
              <w:rPr>
                <w:color w:val="000000"/>
                <w:sz w:val="21"/>
              </w:rPr>
            </w:pPr>
          </w:p>
        </w:tc>
        <w:tc>
          <w:tcPr>
            <w:tcW w:w="898" w:type="pct"/>
            <w:vAlign w:val="center"/>
          </w:tcPr>
          <w:p w14:paraId="4426EBC5">
            <w:pPr>
              <w:widowControl w:val="0"/>
              <w:adjustRightInd/>
              <w:snapToGrid/>
              <w:spacing w:line="240" w:lineRule="atLeast"/>
              <w:jc w:val="center"/>
              <w:rPr>
                <w:color w:val="000000"/>
                <w:sz w:val="21"/>
              </w:rPr>
            </w:pPr>
            <w:r>
              <w:rPr>
                <w:color w:val="000000"/>
                <w:sz w:val="21"/>
              </w:rPr>
              <w:t>400</w:t>
            </w:r>
          </w:p>
        </w:tc>
      </w:tr>
      <w:tr w14:paraId="1060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Merge w:val="continue"/>
            <w:vAlign w:val="center"/>
          </w:tcPr>
          <w:p w14:paraId="388B3549">
            <w:pPr>
              <w:widowControl w:val="0"/>
              <w:adjustRightInd/>
              <w:snapToGrid/>
              <w:spacing w:line="240" w:lineRule="atLeast"/>
              <w:rPr>
                <w:color w:val="000000"/>
                <w:sz w:val="21"/>
              </w:rPr>
            </w:pPr>
          </w:p>
        </w:tc>
        <w:tc>
          <w:tcPr>
            <w:tcW w:w="727" w:type="pct"/>
            <w:vMerge w:val="continue"/>
            <w:vAlign w:val="center"/>
          </w:tcPr>
          <w:p w14:paraId="0ECE4501">
            <w:pPr>
              <w:widowControl w:val="0"/>
              <w:adjustRightInd/>
              <w:snapToGrid/>
              <w:spacing w:line="240" w:lineRule="atLeast"/>
              <w:rPr>
                <w:color w:val="000000"/>
                <w:sz w:val="21"/>
              </w:rPr>
            </w:pPr>
          </w:p>
        </w:tc>
        <w:tc>
          <w:tcPr>
            <w:tcW w:w="946" w:type="pct"/>
            <w:vAlign w:val="center"/>
          </w:tcPr>
          <w:p w14:paraId="4641BE14">
            <w:pPr>
              <w:widowControl w:val="0"/>
              <w:adjustRightInd/>
              <w:snapToGrid/>
              <w:spacing w:line="240" w:lineRule="atLeast"/>
              <w:jc w:val="center"/>
              <w:rPr>
                <w:color w:val="000000"/>
                <w:sz w:val="21"/>
              </w:rPr>
            </w:pPr>
            <w:r>
              <w:rPr>
                <w:color w:val="000000"/>
                <w:sz w:val="21"/>
              </w:rPr>
              <w:t>NH</w:t>
            </w:r>
            <w:r>
              <w:rPr>
                <w:color w:val="000000"/>
                <w:sz w:val="21"/>
                <w:vertAlign w:val="subscript"/>
              </w:rPr>
              <w:t>3</w:t>
            </w:r>
            <w:r>
              <w:rPr>
                <w:color w:val="000000"/>
                <w:sz w:val="21"/>
              </w:rPr>
              <w:t>-N</w:t>
            </w:r>
          </w:p>
        </w:tc>
        <w:tc>
          <w:tcPr>
            <w:tcW w:w="2138" w:type="pct"/>
            <w:vMerge w:val="continue"/>
            <w:vAlign w:val="center"/>
          </w:tcPr>
          <w:p w14:paraId="0F7A224F">
            <w:pPr>
              <w:widowControl w:val="0"/>
              <w:adjustRightInd/>
              <w:snapToGrid/>
              <w:spacing w:line="240" w:lineRule="atLeast"/>
              <w:jc w:val="center"/>
              <w:rPr>
                <w:color w:val="000000"/>
                <w:sz w:val="21"/>
              </w:rPr>
            </w:pPr>
          </w:p>
        </w:tc>
        <w:tc>
          <w:tcPr>
            <w:tcW w:w="898" w:type="pct"/>
            <w:vAlign w:val="center"/>
          </w:tcPr>
          <w:p w14:paraId="6068D355">
            <w:pPr>
              <w:widowControl w:val="0"/>
              <w:adjustRightInd/>
              <w:snapToGrid/>
              <w:spacing w:line="240" w:lineRule="atLeast"/>
              <w:jc w:val="center"/>
              <w:rPr>
                <w:color w:val="000000"/>
                <w:sz w:val="21"/>
              </w:rPr>
            </w:pPr>
            <w:r>
              <w:rPr>
                <w:color w:val="000000"/>
                <w:sz w:val="21"/>
              </w:rPr>
              <w:t>56</w:t>
            </w:r>
          </w:p>
        </w:tc>
      </w:tr>
      <w:tr w14:paraId="52A4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90" w:type="pct"/>
            <w:vMerge w:val="continue"/>
            <w:vAlign w:val="center"/>
          </w:tcPr>
          <w:p w14:paraId="5DE1D433">
            <w:pPr>
              <w:widowControl w:val="0"/>
              <w:adjustRightInd/>
              <w:snapToGrid/>
              <w:spacing w:line="240" w:lineRule="atLeast"/>
              <w:rPr>
                <w:color w:val="000000"/>
                <w:sz w:val="21"/>
              </w:rPr>
            </w:pPr>
          </w:p>
        </w:tc>
        <w:tc>
          <w:tcPr>
            <w:tcW w:w="727" w:type="pct"/>
            <w:vMerge w:val="continue"/>
            <w:vAlign w:val="center"/>
          </w:tcPr>
          <w:p w14:paraId="1D82B706">
            <w:pPr>
              <w:widowControl w:val="0"/>
              <w:adjustRightInd/>
              <w:snapToGrid/>
              <w:spacing w:line="240" w:lineRule="atLeast"/>
              <w:rPr>
                <w:color w:val="000000"/>
                <w:sz w:val="21"/>
              </w:rPr>
            </w:pPr>
          </w:p>
        </w:tc>
        <w:tc>
          <w:tcPr>
            <w:tcW w:w="946" w:type="pct"/>
            <w:vAlign w:val="center"/>
          </w:tcPr>
          <w:p w14:paraId="0A2B7D18">
            <w:pPr>
              <w:widowControl w:val="0"/>
              <w:adjustRightInd/>
              <w:snapToGrid/>
              <w:spacing w:line="240" w:lineRule="atLeast"/>
              <w:jc w:val="center"/>
              <w:rPr>
                <w:color w:val="000000"/>
                <w:sz w:val="21"/>
              </w:rPr>
            </w:pPr>
            <w:r>
              <w:rPr>
                <w:color w:val="000000"/>
                <w:sz w:val="21"/>
              </w:rPr>
              <w:t>TP</w:t>
            </w:r>
          </w:p>
        </w:tc>
        <w:tc>
          <w:tcPr>
            <w:tcW w:w="2138" w:type="pct"/>
            <w:vMerge w:val="continue"/>
            <w:vAlign w:val="center"/>
          </w:tcPr>
          <w:p w14:paraId="6C701362">
            <w:pPr>
              <w:widowControl w:val="0"/>
              <w:adjustRightInd/>
              <w:snapToGrid/>
              <w:spacing w:line="240" w:lineRule="atLeast"/>
              <w:jc w:val="center"/>
              <w:rPr>
                <w:color w:val="000000"/>
                <w:sz w:val="21"/>
              </w:rPr>
            </w:pPr>
          </w:p>
        </w:tc>
        <w:tc>
          <w:tcPr>
            <w:tcW w:w="898" w:type="pct"/>
            <w:vAlign w:val="center"/>
          </w:tcPr>
          <w:p w14:paraId="6A2A6ACE">
            <w:pPr>
              <w:widowControl w:val="0"/>
              <w:adjustRightInd/>
              <w:snapToGrid/>
              <w:spacing w:line="240" w:lineRule="atLeast"/>
              <w:jc w:val="center"/>
              <w:rPr>
                <w:color w:val="000000"/>
                <w:sz w:val="21"/>
              </w:rPr>
            </w:pPr>
            <w:r>
              <w:rPr>
                <w:color w:val="000000"/>
                <w:sz w:val="21"/>
              </w:rPr>
              <w:t>5.6</w:t>
            </w:r>
          </w:p>
        </w:tc>
      </w:tr>
    </w:tbl>
    <w:p w14:paraId="2196AB78">
      <w:pPr>
        <w:ind w:firstLine="480"/>
        <w:rPr>
          <w:color w:val="000000"/>
        </w:rPr>
        <w:sectPr>
          <w:pgSz w:w="16838" w:h="11905" w:orient="landscape"/>
          <w:pgMar w:top="1803" w:right="1440" w:bottom="1803" w:left="1440" w:header="850" w:footer="907" w:gutter="0"/>
          <w:cols w:space="720" w:num="1"/>
          <w:docGrid w:type="lines" w:linePitch="332" w:charSpace="0"/>
        </w:sectPr>
      </w:pPr>
    </w:p>
    <w:p w14:paraId="5D7E8749">
      <w:pPr>
        <w:pStyle w:val="771"/>
        <w:rPr>
          <w:color w:val="000000"/>
        </w:rPr>
      </w:pPr>
      <w:bookmarkStart w:id="493" w:name="_Toc440766324"/>
      <w:bookmarkStart w:id="494" w:name="_Toc1129_WPSOffice_Level3"/>
      <w:bookmarkStart w:id="495" w:name="_Toc440766128"/>
      <w:bookmarkStart w:id="496" w:name="_Toc500376042"/>
      <w:bookmarkStart w:id="497" w:name="_Toc490585772"/>
      <w:r>
        <w:rPr>
          <w:color w:val="000000"/>
        </w:rPr>
        <w:t>5.2.3 声环境影响预测与评价</w:t>
      </w:r>
      <w:bookmarkEnd w:id="493"/>
      <w:bookmarkEnd w:id="494"/>
      <w:bookmarkEnd w:id="495"/>
      <w:bookmarkEnd w:id="496"/>
      <w:bookmarkEnd w:id="497"/>
    </w:p>
    <w:p w14:paraId="2A6B6072">
      <w:pPr>
        <w:pStyle w:val="785"/>
        <w:rPr>
          <w:color w:val="000000"/>
          <w:szCs w:val="24"/>
        </w:rPr>
      </w:pPr>
      <w:r>
        <w:rPr>
          <w:color w:val="000000"/>
          <w:szCs w:val="24"/>
          <w:lang w:val="en-US"/>
        </w:rPr>
        <w:t>5</w:t>
      </w:r>
      <w:r>
        <w:rPr>
          <w:color w:val="000000"/>
          <w:szCs w:val="24"/>
        </w:rPr>
        <w:t>.2.3.1噪声源强分析</w:t>
      </w:r>
    </w:p>
    <w:p w14:paraId="298DA09A">
      <w:pPr>
        <w:ind w:firstLine="480"/>
        <w:rPr>
          <w:color w:val="000000"/>
        </w:rPr>
      </w:pPr>
      <w:r>
        <w:rPr>
          <w:color w:val="000000"/>
        </w:rPr>
        <w:t>本项目运营期的噪声源主要为压缩机、各种泵类等，主要噪声声压级在75～100dB（A）之间，针对噪声源的特点，本项目选用低噪声设备，对设备采取建筑隔声、基础减振、消声，在厂区进行合理布局等措施。本项目噪声源情况详见表5.2.3.1-1。</w:t>
      </w:r>
    </w:p>
    <w:p w14:paraId="21E42180">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5</w:t>
      </w:r>
      <w:r>
        <w:rPr>
          <w:rFonts w:ascii="Times New Roman" w:hAnsi="Times New Roman"/>
          <w:color w:val="000000"/>
        </w:rPr>
        <w:t>.2.3.1</w:t>
      </w:r>
      <w:r>
        <w:rPr>
          <w:rFonts w:ascii="Times New Roman" w:hAnsi="Times New Roman"/>
          <w:color w:val="000000"/>
          <w:lang w:val="en-US"/>
        </w:rPr>
        <w:t>-1</w:t>
      </w:r>
      <w:r>
        <w:rPr>
          <w:rFonts w:ascii="Times New Roman" w:hAnsi="Times New Roman"/>
          <w:color w:val="000000"/>
        </w:rPr>
        <w:t xml:space="preserve">  </w:t>
      </w:r>
      <w:r>
        <w:rPr>
          <w:rFonts w:ascii="Times New Roman" w:hAnsi="Times New Roman"/>
          <w:color w:val="000000"/>
          <w:lang w:val="en-US"/>
        </w:rPr>
        <w:t>本项目</w:t>
      </w:r>
      <w:r>
        <w:rPr>
          <w:rFonts w:ascii="Times New Roman" w:hAnsi="Times New Roman"/>
          <w:color w:val="000000"/>
        </w:rPr>
        <w:t>噪声源</w:t>
      </w:r>
      <w:r>
        <w:rPr>
          <w:rFonts w:ascii="Times New Roman" w:hAnsi="Times New Roman"/>
          <w:color w:val="000000"/>
          <w:lang w:val="en-US"/>
        </w:rPr>
        <w:t>情况</w:t>
      </w:r>
      <w:r>
        <w:rPr>
          <w:rFonts w:ascii="Times New Roman" w:hAnsi="Times New Roman"/>
          <w:color w:val="000000"/>
        </w:rPr>
        <w:t>一览表</w:t>
      </w:r>
    </w:p>
    <w:tbl>
      <w:tblPr>
        <w:tblStyle w:val="73"/>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846"/>
        <w:gridCol w:w="613"/>
        <w:gridCol w:w="819"/>
        <w:gridCol w:w="998"/>
        <w:gridCol w:w="636"/>
        <w:gridCol w:w="1047"/>
        <w:gridCol w:w="701"/>
        <w:gridCol w:w="999"/>
        <w:gridCol w:w="742"/>
      </w:tblGrid>
      <w:tr w14:paraId="750B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66" w:type="pct"/>
            <w:vMerge w:val="restart"/>
            <w:tcBorders>
              <w:tl2br w:val="nil"/>
              <w:tr2bl w:val="nil"/>
            </w:tcBorders>
            <w:vAlign w:val="center"/>
          </w:tcPr>
          <w:p w14:paraId="4085A5BF">
            <w:pPr>
              <w:autoSpaceDN w:val="0"/>
              <w:spacing w:line="240" w:lineRule="auto"/>
              <w:jc w:val="center"/>
              <w:textAlignment w:val="center"/>
              <w:rPr>
                <w:color w:val="000000"/>
                <w:sz w:val="21"/>
              </w:rPr>
            </w:pPr>
            <w:bookmarkStart w:id="498" w:name="_Toc19740"/>
            <w:bookmarkStart w:id="499" w:name="_Toc13187"/>
            <w:bookmarkStart w:id="500" w:name="_Toc19323"/>
            <w:r>
              <w:rPr>
                <w:color w:val="000000"/>
                <w:sz w:val="21"/>
              </w:rPr>
              <w:t>噪声源</w:t>
            </w:r>
            <w:bookmarkEnd w:id="498"/>
            <w:bookmarkEnd w:id="499"/>
            <w:bookmarkEnd w:id="500"/>
          </w:p>
        </w:tc>
        <w:tc>
          <w:tcPr>
            <w:tcW w:w="467" w:type="pct"/>
            <w:vMerge w:val="restart"/>
            <w:tcBorders>
              <w:tl2br w:val="nil"/>
              <w:tr2bl w:val="nil"/>
            </w:tcBorders>
            <w:vAlign w:val="center"/>
          </w:tcPr>
          <w:p w14:paraId="5CFF7B7F">
            <w:pPr>
              <w:autoSpaceDN w:val="0"/>
              <w:spacing w:line="240" w:lineRule="auto"/>
              <w:jc w:val="center"/>
              <w:textAlignment w:val="center"/>
              <w:rPr>
                <w:color w:val="000000"/>
                <w:sz w:val="21"/>
              </w:rPr>
            </w:pPr>
            <w:bookmarkStart w:id="501" w:name="_Toc5273"/>
            <w:bookmarkStart w:id="502" w:name="_Toc24751"/>
            <w:bookmarkStart w:id="503" w:name="_Toc19576"/>
            <w:r>
              <w:rPr>
                <w:color w:val="000000"/>
                <w:sz w:val="21"/>
              </w:rPr>
              <w:t>数量（台）</w:t>
            </w:r>
            <w:bookmarkEnd w:id="501"/>
            <w:bookmarkEnd w:id="502"/>
            <w:bookmarkEnd w:id="503"/>
          </w:p>
        </w:tc>
        <w:tc>
          <w:tcPr>
            <w:tcW w:w="380" w:type="pct"/>
            <w:vMerge w:val="restart"/>
            <w:tcBorders>
              <w:tl2br w:val="nil"/>
              <w:tr2bl w:val="nil"/>
            </w:tcBorders>
            <w:vAlign w:val="center"/>
          </w:tcPr>
          <w:p w14:paraId="01C0AA86">
            <w:pPr>
              <w:autoSpaceDN w:val="0"/>
              <w:spacing w:line="240" w:lineRule="auto"/>
              <w:jc w:val="center"/>
              <w:textAlignment w:val="center"/>
              <w:rPr>
                <w:color w:val="000000"/>
                <w:sz w:val="21"/>
              </w:rPr>
            </w:pPr>
            <w:bookmarkStart w:id="504" w:name="_Toc25458"/>
            <w:bookmarkStart w:id="505" w:name="_Toc8464"/>
            <w:bookmarkStart w:id="506" w:name="_Toc23165"/>
            <w:r>
              <w:rPr>
                <w:color w:val="000000"/>
                <w:sz w:val="21"/>
              </w:rPr>
              <w:t>声源类型</w:t>
            </w:r>
            <w:bookmarkEnd w:id="504"/>
            <w:bookmarkEnd w:id="505"/>
            <w:bookmarkEnd w:id="506"/>
          </w:p>
        </w:tc>
        <w:tc>
          <w:tcPr>
            <w:tcW w:w="1049" w:type="pct"/>
            <w:gridSpan w:val="2"/>
            <w:tcBorders>
              <w:tl2br w:val="nil"/>
              <w:tr2bl w:val="nil"/>
            </w:tcBorders>
            <w:vAlign w:val="center"/>
          </w:tcPr>
          <w:p w14:paraId="3DBF8AE4">
            <w:pPr>
              <w:autoSpaceDN w:val="0"/>
              <w:spacing w:line="240" w:lineRule="auto"/>
              <w:jc w:val="center"/>
              <w:textAlignment w:val="center"/>
              <w:rPr>
                <w:color w:val="000000"/>
                <w:sz w:val="21"/>
              </w:rPr>
            </w:pPr>
            <w:bookmarkStart w:id="507" w:name="_Toc23204"/>
            <w:bookmarkStart w:id="508" w:name="_Toc14447"/>
            <w:bookmarkStart w:id="509" w:name="_Toc4831"/>
            <w:r>
              <w:rPr>
                <w:color w:val="000000"/>
                <w:sz w:val="21"/>
              </w:rPr>
              <w:t>治理前单个噪声源强</w:t>
            </w:r>
            <w:bookmarkEnd w:id="507"/>
            <w:bookmarkEnd w:id="508"/>
            <w:bookmarkEnd w:id="509"/>
          </w:p>
        </w:tc>
        <w:tc>
          <w:tcPr>
            <w:tcW w:w="1028" w:type="pct"/>
            <w:gridSpan w:val="2"/>
            <w:tcBorders>
              <w:tl2br w:val="nil"/>
              <w:tr2bl w:val="nil"/>
            </w:tcBorders>
            <w:vAlign w:val="center"/>
          </w:tcPr>
          <w:p w14:paraId="7597A0E1">
            <w:pPr>
              <w:autoSpaceDN w:val="0"/>
              <w:spacing w:line="240" w:lineRule="auto"/>
              <w:jc w:val="center"/>
              <w:textAlignment w:val="center"/>
              <w:rPr>
                <w:color w:val="000000"/>
                <w:sz w:val="21"/>
              </w:rPr>
            </w:pPr>
            <w:bookmarkStart w:id="510" w:name="_Toc3507"/>
            <w:bookmarkStart w:id="511" w:name="_Toc3718"/>
            <w:bookmarkStart w:id="512" w:name="_Toc19690"/>
            <w:r>
              <w:rPr>
                <w:color w:val="000000"/>
                <w:sz w:val="21"/>
              </w:rPr>
              <w:t>降噪措施</w:t>
            </w:r>
            <w:bookmarkEnd w:id="510"/>
            <w:bookmarkEnd w:id="511"/>
            <w:bookmarkEnd w:id="512"/>
          </w:p>
        </w:tc>
        <w:tc>
          <w:tcPr>
            <w:tcW w:w="996" w:type="pct"/>
            <w:gridSpan w:val="2"/>
            <w:tcBorders>
              <w:tl2br w:val="nil"/>
              <w:tr2bl w:val="nil"/>
            </w:tcBorders>
            <w:vAlign w:val="center"/>
          </w:tcPr>
          <w:p w14:paraId="5D486CF6">
            <w:pPr>
              <w:autoSpaceDN w:val="0"/>
              <w:spacing w:line="240" w:lineRule="auto"/>
              <w:jc w:val="center"/>
              <w:textAlignment w:val="center"/>
              <w:rPr>
                <w:color w:val="000000"/>
                <w:sz w:val="21"/>
              </w:rPr>
            </w:pPr>
            <w:bookmarkStart w:id="513" w:name="_Toc7960"/>
            <w:bookmarkStart w:id="514" w:name="_Toc25771"/>
            <w:bookmarkStart w:id="515" w:name="_Toc14215"/>
            <w:r>
              <w:rPr>
                <w:color w:val="000000"/>
                <w:sz w:val="21"/>
              </w:rPr>
              <w:t>治理后单个最大噪声源强</w:t>
            </w:r>
            <w:bookmarkEnd w:id="513"/>
            <w:bookmarkEnd w:id="514"/>
            <w:bookmarkEnd w:id="515"/>
          </w:p>
        </w:tc>
        <w:tc>
          <w:tcPr>
            <w:tcW w:w="412" w:type="pct"/>
            <w:vMerge w:val="restart"/>
            <w:tcBorders>
              <w:tl2br w:val="nil"/>
              <w:tr2bl w:val="nil"/>
            </w:tcBorders>
            <w:vAlign w:val="center"/>
          </w:tcPr>
          <w:p w14:paraId="7F92256F">
            <w:pPr>
              <w:autoSpaceDN w:val="0"/>
              <w:spacing w:line="240" w:lineRule="auto"/>
              <w:jc w:val="center"/>
              <w:textAlignment w:val="center"/>
              <w:rPr>
                <w:color w:val="000000"/>
                <w:sz w:val="21"/>
              </w:rPr>
            </w:pPr>
            <w:bookmarkStart w:id="516" w:name="_Toc19807"/>
            <w:bookmarkStart w:id="517" w:name="_Toc8300"/>
            <w:bookmarkStart w:id="518" w:name="_Toc6244"/>
            <w:r>
              <w:rPr>
                <w:color w:val="000000"/>
                <w:sz w:val="21"/>
              </w:rPr>
              <w:t>持续时间（h）</w:t>
            </w:r>
            <w:bookmarkEnd w:id="516"/>
            <w:bookmarkEnd w:id="517"/>
            <w:bookmarkEnd w:id="518"/>
          </w:p>
        </w:tc>
      </w:tr>
      <w:tr w14:paraId="04E3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666" w:type="pct"/>
            <w:vMerge w:val="continue"/>
            <w:tcBorders>
              <w:tl2br w:val="nil"/>
              <w:tr2bl w:val="nil"/>
            </w:tcBorders>
            <w:vAlign w:val="center"/>
          </w:tcPr>
          <w:p w14:paraId="7218D16E">
            <w:pPr>
              <w:autoSpaceDN w:val="0"/>
              <w:spacing w:line="240" w:lineRule="auto"/>
              <w:jc w:val="center"/>
              <w:textAlignment w:val="center"/>
              <w:rPr>
                <w:color w:val="000000"/>
                <w:sz w:val="21"/>
              </w:rPr>
            </w:pPr>
          </w:p>
        </w:tc>
        <w:tc>
          <w:tcPr>
            <w:tcW w:w="467" w:type="pct"/>
            <w:vMerge w:val="continue"/>
            <w:tcBorders>
              <w:tl2br w:val="nil"/>
              <w:tr2bl w:val="nil"/>
            </w:tcBorders>
            <w:vAlign w:val="center"/>
          </w:tcPr>
          <w:p w14:paraId="162393A3">
            <w:pPr>
              <w:autoSpaceDN w:val="0"/>
              <w:spacing w:line="240" w:lineRule="auto"/>
              <w:jc w:val="center"/>
              <w:textAlignment w:val="center"/>
              <w:rPr>
                <w:color w:val="000000"/>
                <w:sz w:val="21"/>
              </w:rPr>
            </w:pPr>
          </w:p>
        </w:tc>
        <w:tc>
          <w:tcPr>
            <w:tcW w:w="380" w:type="pct"/>
            <w:vMerge w:val="continue"/>
            <w:tcBorders>
              <w:tl2br w:val="nil"/>
              <w:tr2bl w:val="nil"/>
            </w:tcBorders>
            <w:vAlign w:val="center"/>
          </w:tcPr>
          <w:p w14:paraId="109EA5D0">
            <w:pPr>
              <w:autoSpaceDN w:val="0"/>
              <w:spacing w:line="240" w:lineRule="auto"/>
              <w:jc w:val="center"/>
              <w:textAlignment w:val="center"/>
              <w:rPr>
                <w:color w:val="000000"/>
                <w:sz w:val="21"/>
              </w:rPr>
            </w:pPr>
          </w:p>
        </w:tc>
        <w:tc>
          <w:tcPr>
            <w:tcW w:w="501" w:type="pct"/>
            <w:tcBorders>
              <w:tl2br w:val="nil"/>
              <w:tr2bl w:val="nil"/>
            </w:tcBorders>
            <w:vAlign w:val="center"/>
          </w:tcPr>
          <w:p w14:paraId="2D6FE6EB">
            <w:pPr>
              <w:autoSpaceDN w:val="0"/>
              <w:spacing w:line="240" w:lineRule="auto"/>
              <w:jc w:val="center"/>
              <w:textAlignment w:val="center"/>
              <w:rPr>
                <w:color w:val="000000"/>
                <w:sz w:val="21"/>
              </w:rPr>
            </w:pPr>
            <w:bookmarkStart w:id="519" w:name="_Toc7245"/>
            <w:bookmarkStart w:id="520" w:name="_Toc4828"/>
            <w:bookmarkStart w:id="521" w:name="_Toc13460"/>
            <w:r>
              <w:rPr>
                <w:color w:val="000000"/>
                <w:sz w:val="21"/>
              </w:rPr>
              <w:t>核算方法</w:t>
            </w:r>
            <w:bookmarkEnd w:id="519"/>
            <w:bookmarkEnd w:id="520"/>
            <w:bookmarkEnd w:id="521"/>
          </w:p>
        </w:tc>
        <w:tc>
          <w:tcPr>
            <w:tcW w:w="547" w:type="pct"/>
            <w:tcBorders>
              <w:tl2br w:val="nil"/>
              <w:tr2bl w:val="nil"/>
            </w:tcBorders>
            <w:vAlign w:val="center"/>
          </w:tcPr>
          <w:p w14:paraId="56E76FEC">
            <w:pPr>
              <w:autoSpaceDN w:val="0"/>
              <w:spacing w:line="240" w:lineRule="auto"/>
              <w:jc w:val="center"/>
              <w:textAlignment w:val="center"/>
              <w:rPr>
                <w:color w:val="000000"/>
                <w:sz w:val="21"/>
              </w:rPr>
            </w:pPr>
            <w:bookmarkStart w:id="522" w:name="_Toc7305"/>
            <w:bookmarkStart w:id="523" w:name="_Toc3772"/>
            <w:bookmarkStart w:id="524" w:name="_Toc7727"/>
            <w:r>
              <w:rPr>
                <w:color w:val="000000"/>
                <w:sz w:val="21"/>
              </w:rPr>
              <w:t>声压级（dB（A））</w:t>
            </w:r>
            <w:bookmarkEnd w:id="522"/>
            <w:bookmarkEnd w:id="523"/>
            <w:bookmarkEnd w:id="524"/>
          </w:p>
        </w:tc>
        <w:tc>
          <w:tcPr>
            <w:tcW w:w="393" w:type="pct"/>
            <w:tcBorders>
              <w:tl2br w:val="nil"/>
              <w:tr2bl w:val="nil"/>
            </w:tcBorders>
            <w:vAlign w:val="center"/>
          </w:tcPr>
          <w:p w14:paraId="131EC0A7">
            <w:pPr>
              <w:autoSpaceDN w:val="0"/>
              <w:spacing w:line="240" w:lineRule="auto"/>
              <w:jc w:val="center"/>
              <w:textAlignment w:val="center"/>
              <w:rPr>
                <w:color w:val="000000"/>
                <w:sz w:val="21"/>
              </w:rPr>
            </w:pPr>
            <w:bookmarkStart w:id="525" w:name="_Toc20984"/>
            <w:bookmarkStart w:id="526" w:name="_Toc28892"/>
            <w:bookmarkStart w:id="527" w:name="_Toc28460"/>
            <w:r>
              <w:rPr>
                <w:color w:val="000000"/>
                <w:sz w:val="21"/>
              </w:rPr>
              <w:t>工艺</w:t>
            </w:r>
            <w:bookmarkEnd w:id="525"/>
            <w:bookmarkEnd w:id="526"/>
            <w:bookmarkEnd w:id="527"/>
          </w:p>
        </w:tc>
        <w:tc>
          <w:tcPr>
            <w:tcW w:w="635" w:type="pct"/>
            <w:tcBorders>
              <w:tl2br w:val="nil"/>
              <w:tr2bl w:val="nil"/>
            </w:tcBorders>
            <w:vAlign w:val="center"/>
          </w:tcPr>
          <w:p w14:paraId="7E830AC7">
            <w:pPr>
              <w:autoSpaceDN w:val="0"/>
              <w:spacing w:line="240" w:lineRule="auto"/>
              <w:jc w:val="center"/>
              <w:textAlignment w:val="center"/>
              <w:rPr>
                <w:color w:val="000000"/>
                <w:sz w:val="21"/>
              </w:rPr>
            </w:pPr>
            <w:bookmarkStart w:id="528" w:name="_Toc14749"/>
            <w:bookmarkStart w:id="529" w:name="_Toc4793"/>
            <w:bookmarkStart w:id="530" w:name="_Toc24701"/>
            <w:r>
              <w:rPr>
                <w:color w:val="000000"/>
                <w:sz w:val="21"/>
              </w:rPr>
              <w:t>降噪效果</w:t>
            </w:r>
            <w:bookmarkEnd w:id="528"/>
            <w:bookmarkEnd w:id="529"/>
            <w:bookmarkEnd w:id="530"/>
          </w:p>
          <w:p w14:paraId="7D34CA42">
            <w:pPr>
              <w:autoSpaceDN w:val="0"/>
              <w:spacing w:line="240" w:lineRule="auto"/>
              <w:jc w:val="center"/>
              <w:textAlignment w:val="center"/>
              <w:rPr>
                <w:color w:val="000000"/>
                <w:sz w:val="21"/>
              </w:rPr>
            </w:pPr>
            <w:bookmarkStart w:id="531" w:name="_Toc11471"/>
            <w:bookmarkStart w:id="532" w:name="_Toc22591"/>
            <w:bookmarkStart w:id="533" w:name="_Toc21813"/>
            <w:r>
              <w:rPr>
                <w:color w:val="000000"/>
                <w:sz w:val="21"/>
              </w:rPr>
              <w:t>（dB（A））</w:t>
            </w:r>
            <w:bookmarkEnd w:id="531"/>
            <w:bookmarkEnd w:id="532"/>
            <w:bookmarkEnd w:id="533"/>
          </w:p>
        </w:tc>
        <w:tc>
          <w:tcPr>
            <w:tcW w:w="431" w:type="pct"/>
            <w:tcBorders>
              <w:tl2br w:val="nil"/>
              <w:tr2bl w:val="nil"/>
            </w:tcBorders>
            <w:vAlign w:val="center"/>
          </w:tcPr>
          <w:p w14:paraId="389644E0">
            <w:pPr>
              <w:autoSpaceDN w:val="0"/>
              <w:spacing w:line="240" w:lineRule="auto"/>
              <w:jc w:val="center"/>
              <w:textAlignment w:val="center"/>
              <w:rPr>
                <w:color w:val="000000"/>
                <w:sz w:val="21"/>
              </w:rPr>
            </w:pPr>
            <w:bookmarkStart w:id="534" w:name="_Toc29770"/>
            <w:bookmarkStart w:id="535" w:name="_Toc23106"/>
            <w:bookmarkStart w:id="536" w:name="_Toc14261"/>
            <w:r>
              <w:rPr>
                <w:color w:val="000000"/>
                <w:sz w:val="21"/>
              </w:rPr>
              <w:t>核算方法</w:t>
            </w:r>
            <w:bookmarkEnd w:id="534"/>
            <w:bookmarkEnd w:id="535"/>
            <w:bookmarkEnd w:id="536"/>
          </w:p>
        </w:tc>
        <w:tc>
          <w:tcPr>
            <w:tcW w:w="565" w:type="pct"/>
            <w:tcBorders>
              <w:tl2br w:val="nil"/>
              <w:tr2bl w:val="nil"/>
            </w:tcBorders>
            <w:vAlign w:val="center"/>
          </w:tcPr>
          <w:p w14:paraId="3F5B1566">
            <w:pPr>
              <w:autoSpaceDN w:val="0"/>
              <w:spacing w:line="240" w:lineRule="auto"/>
              <w:jc w:val="center"/>
              <w:textAlignment w:val="center"/>
              <w:rPr>
                <w:color w:val="000000"/>
                <w:sz w:val="21"/>
              </w:rPr>
            </w:pPr>
            <w:bookmarkStart w:id="537" w:name="_Toc22947"/>
            <w:bookmarkStart w:id="538" w:name="_Toc13584"/>
            <w:bookmarkStart w:id="539" w:name="_Toc27778"/>
            <w:r>
              <w:rPr>
                <w:color w:val="000000"/>
                <w:sz w:val="21"/>
              </w:rPr>
              <w:t>声压级（dB（A））</w:t>
            </w:r>
            <w:bookmarkEnd w:id="537"/>
            <w:bookmarkEnd w:id="538"/>
            <w:bookmarkEnd w:id="539"/>
          </w:p>
        </w:tc>
        <w:tc>
          <w:tcPr>
            <w:tcW w:w="412" w:type="pct"/>
            <w:vMerge w:val="continue"/>
            <w:tcBorders>
              <w:tl2br w:val="nil"/>
              <w:tr2bl w:val="nil"/>
            </w:tcBorders>
            <w:vAlign w:val="center"/>
          </w:tcPr>
          <w:p w14:paraId="30D1868C">
            <w:pPr>
              <w:autoSpaceDN w:val="0"/>
              <w:spacing w:line="240" w:lineRule="auto"/>
              <w:jc w:val="center"/>
              <w:textAlignment w:val="center"/>
              <w:rPr>
                <w:color w:val="000000"/>
                <w:sz w:val="21"/>
              </w:rPr>
            </w:pPr>
          </w:p>
        </w:tc>
      </w:tr>
      <w:tr w14:paraId="705C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66" w:type="pct"/>
            <w:tcBorders>
              <w:tl2br w:val="nil"/>
              <w:tr2bl w:val="nil"/>
            </w:tcBorders>
            <w:vAlign w:val="center"/>
          </w:tcPr>
          <w:p w14:paraId="2C9B7BA6">
            <w:pPr>
              <w:autoSpaceDN w:val="0"/>
              <w:spacing w:line="240" w:lineRule="auto"/>
              <w:jc w:val="center"/>
              <w:textAlignment w:val="center"/>
              <w:rPr>
                <w:color w:val="000000"/>
                <w:sz w:val="21"/>
              </w:rPr>
            </w:pPr>
            <w:r>
              <w:rPr>
                <w:color w:val="000000"/>
                <w:sz w:val="21"/>
              </w:rPr>
              <w:t>粗氦气压缩机</w:t>
            </w:r>
          </w:p>
        </w:tc>
        <w:tc>
          <w:tcPr>
            <w:tcW w:w="467" w:type="pct"/>
            <w:tcBorders>
              <w:tl2br w:val="nil"/>
              <w:tr2bl w:val="nil"/>
            </w:tcBorders>
            <w:vAlign w:val="center"/>
          </w:tcPr>
          <w:p w14:paraId="26D3C505">
            <w:pPr>
              <w:autoSpaceDN w:val="0"/>
              <w:spacing w:line="240" w:lineRule="auto"/>
              <w:jc w:val="center"/>
              <w:textAlignment w:val="center"/>
              <w:rPr>
                <w:color w:val="000000"/>
                <w:sz w:val="21"/>
              </w:rPr>
            </w:pPr>
            <w:bookmarkStart w:id="540" w:name="_Toc16190"/>
            <w:bookmarkStart w:id="541" w:name="_Toc23028"/>
            <w:bookmarkStart w:id="542" w:name="_Toc5867"/>
            <w:r>
              <w:rPr>
                <w:color w:val="000000"/>
                <w:sz w:val="21"/>
              </w:rPr>
              <w:t>1</w:t>
            </w:r>
            <w:bookmarkEnd w:id="540"/>
            <w:bookmarkEnd w:id="541"/>
            <w:bookmarkEnd w:id="542"/>
          </w:p>
        </w:tc>
        <w:tc>
          <w:tcPr>
            <w:tcW w:w="380" w:type="pct"/>
            <w:tcBorders>
              <w:tl2br w:val="nil"/>
              <w:tr2bl w:val="nil"/>
            </w:tcBorders>
            <w:vAlign w:val="center"/>
          </w:tcPr>
          <w:p w14:paraId="02619A78">
            <w:pPr>
              <w:autoSpaceDN w:val="0"/>
              <w:spacing w:line="240" w:lineRule="auto"/>
              <w:jc w:val="center"/>
              <w:textAlignment w:val="center"/>
              <w:rPr>
                <w:color w:val="000000"/>
                <w:sz w:val="21"/>
              </w:rPr>
            </w:pPr>
            <w:bookmarkStart w:id="543" w:name="_Toc986"/>
            <w:bookmarkStart w:id="544" w:name="_Toc29994"/>
            <w:bookmarkStart w:id="545" w:name="_Toc8548"/>
            <w:r>
              <w:rPr>
                <w:color w:val="000000"/>
                <w:sz w:val="21"/>
              </w:rPr>
              <w:t>频发</w:t>
            </w:r>
            <w:bookmarkEnd w:id="543"/>
            <w:bookmarkEnd w:id="544"/>
            <w:bookmarkEnd w:id="545"/>
          </w:p>
        </w:tc>
        <w:tc>
          <w:tcPr>
            <w:tcW w:w="501" w:type="pct"/>
            <w:tcBorders>
              <w:tl2br w:val="nil"/>
              <w:tr2bl w:val="nil"/>
            </w:tcBorders>
            <w:vAlign w:val="center"/>
          </w:tcPr>
          <w:p w14:paraId="70A9D44C">
            <w:pPr>
              <w:autoSpaceDN w:val="0"/>
              <w:spacing w:line="240" w:lineRule="auto"/>
              <w:jc w:val="center"/>
              <w:textAlignment w:val="center"/>
              <w:rPr>
                <w:color w:val="000000"/>
                <w:sz w:val="21"/>
              </w:rPr>
            </w:pPr>
            <w:bookmarkStart w:id="546" w:name="_Toc11815"/>
            <w:bookmarkStart w:id="547" w:name="_Toc26654"/>
            <w:bookmarkStart w:id="548" w:name="_Toc7502"/>
            <w:r>
              <w:rPr>
                <w:color w:val="000000"/>
                <w:sz w:val="21"/>
              </w:rPr>
              <w:t>类比法</w:t>
            </w:r>
            <w:bookmarkEnd w:id="546"/>
            <w:bookmarkEnd w:id="547"/>
            <w:bookmarkEnd w:id="548"/>
          </w:p>
        </w:tc>
        <w:tc>
          <w:tcPr>
            <w:tcW w:w="547" w:type="pct"/>
            <w:tcBorders>
              <w:tl2br w:val="nil"/>
              <w:tr2bl w:val="nil"/>
            </w:tcBorders>
            <w:vAlign w:val="center"/>
          </w:tcPr>
          <w:p w14:paraId="7A9471D4">
            <w:pPr>
              <w:autoSpaceDN w:val="0"/>
              <w:spacing w:line="240" w:lineRule="auto"/>
              <w:jc w:val="center"/>
              <w:textAlignment w:val="center"/>
              <w:rPr>
                <w:color w:val="000000"/>
                <w:sz w:val="21"/>
              </w:rPr>
            </w:pPr>
            <w:r>
              <w:rPr>
                <w:color w:val="000000"/>
                <w:sz w:val="21"/>
              </w:rPr>
              <w:t>100</w:t>
            </w:r>
          </w:p>
        </w:tc>
        <w:tc>
          <w:tcPr>
            <w:tcW w:w="393" w:type="pct"/>
            <w:vMerge w:val="restart"/>
            <w:tcBorders>
              <w:tl2br w:val="nil"/>
              <w:tr2bl w:val="nil"/>
            </w:tcBorders>
            <w:vAlign w:val="center"/>
          </w:tcPr>
          <w:p w14:paraId="1DC4E0C4">
            <w:pPr>
              <w:autoSpaceDN w:val="0"/>
              <w:spacing w:line="240" w:lineRule="auto"/>
              <w:jc w:val="center"/>
              <w:textAlignment w:val="center"/>
              <w:rPr>
                <w:color w:val="000000"/>
                <w:sz w:val="21"/>
              </w:rPr>
            </w:pPr>
            <w:bookmarkStart w:id="549" w:name="_Toc28221"/>
            <w:bookmarkStart w:id="550" w:name="_Toc13899"/>
            <w:bookmarkStart w:id="551" w:name="_Toc8757"/>
            <w:r>
              <w:rPr>
                <w:color w:val="000000"/>
                <w:sz w:val="21"/>
              </w:rPr>
              <w:t>选用低噪声设备、基础减振、消声、建筑隔声</w:t>
            </w:r>
            <w:bookmarkEnd w:id="549"/>
            <w:bookmarkEnd w:id="550"/>
            <w:bookmarkEnd w:id="551"/>
          </w:p>
        </w:tc>
        <w:tc>
          <w:tcPr>
            <w:tcW w:w="635" w:type="pct"/>
            <w:tcBorders>
              <w:tl2br w:val="nil"/>
              <w:tr2bl w:val="nil"/>
            </w:tcBorders>
            <w:vAlign w:val="center"/>
          </w:tcPr>
          <w:p w14:paraId="1C542BAE">
            <w:pPr>
              <w:autoSpaceDN w:val="0"/>
              <w:spacing w:line="240" w:lineRule="auto"/>
              <w:jc w:val="center"/>
              <w:textAlignment w:val="center"/>
              <w:rPr>
                <w:color w:val="000000"/>
                <w:sz w:val="21"/>
              </w:rPr>
            </w:pPr>
            <w:bookmarkStart w:id="552" w:name="_Toc10582"/>
            <w:bookmarkStart w:id="553" w:name="_Toc26392"/>
            <w:bookmarkStart w:id="554" w:name="_Toc27737"/>
            <w:r>
              <w:rPr>
                <w:color w:val="000000"/>
                <w:sz w:val="21"/>
              </w:rPr>
              <w:t>20</w:t>
            </w:r>
            <w:bookmarkEnd w:id="552"/>
            <w:bookmarkEnd w:id="553"/>
            <w:bookmarkEnd w:id="554"/>
          </w:p>
        </w:tc>
        <w:tc>
          <w:tcPr>
            <w:tcW w:w="431" w:type="pct"/>
            <w:tcBorders>
              <w:tl2br w:val="nil"/>
              <w:tr2bl w:val="nil"/>
            </w:tcBorders>
            <w:vAlign w:val="center"/>
          </w:tcPr>
          <w:p w14:paraId="23F99979">
            <w:pPr>
              <w:autoSpaceDN w:val="0"/>
              <w:spacing w:line="240" w:lineRule="auto"/>
              <w:jc w:val="center"/>
              <w:textAlignment w:val="center"/>
              <w:rPr>
                <w:color w:val="000000"/>
                <w:sz w:val="21"/>
              </w:rPr>
            </w:pPr>
            <w:bookmarkStart w:id="555" w:name="_Toc14987"/>
            <w:bookmarkStart w:id="556" w:name="_Toc4454"/>
            <w:bookmarkStart w:id="557" w:name="_Toc23925"/>
            <w:r>
              <w:rPr>
                <w:color w:val="000000"/>
                <w:sz w:val="21"/>
              </w:rPr>
              <w:t>类比法</w:t>
            </w:r>
            <w:bookmarkEnd w:id="555"/>
            <w:bookmarkEnd w:id="556"/>
            <w:bookmarkEnd w:id="557"/>
          </w:p>
        </w:tc>
        <w:tc>
          <w:tcPr>
            <w:tcW w:w="565" w:type="pct"/>
            <w:tcBorders>
              <w:tl2br w:val="nil"/>
              <w:tr2bl w:val="nil"/>
            </w:tcBorders>
            <w:vAlign w:val="center"/>
          </w:tcPr>
          <w:p w14:paraId="2CE24A84">
            <w:pPr>
              <w:autoSpaceDN w:val="0"/>
              <w:spacing w:line="240" w:lineRule="auto"/>
              <w:jc w:val="center"/>
              <w:textAlignment w:val="center"/>
              <w:rPr>
                <w:color w:val="000000"/>
                <w:sz w:val="21"/>
              </w:rPr>
            </w:pPr>
            <w:r>
              <w:rPr>
                <w:color w:val="000000"/>
                <w:sz w:val="21"/>
              </w:rPr>
              <w:t>80</w:t>
            </w:r>
          </w:p>
        </w:tc>
        <w:tc>
          <w:tcPr>
            <w:tcW w:w="412" w:type="pct"/>
            <w:tcBorders>
              <w:tl2br w:val="nil"/>
              <w:tr2bl w:val="nil"/>
            </w:tcBorders>
            <w:vAlign w:val="center"/>
          </w:tcPr>
          <w:p w14:paraId="3C36D21D">
            <w:pPr>
              <w:autoSpaceDN w:val="0"/>
              <w:spacing w:line="240" w:lineRule="auto"/>
              <w:jc w:val="center"/>
              <w:textAlignment w:val="center"/>
              <w:rPr>
                <w:color w:val="000000"/>
                <w:sz w:val="21"/>
              </w:rPr>
            </w:pPr>
            <w:bookmarkStart w:id="558" w:name="_Toc5181"/>
            <w:bookmarkStart w:id="559" w:name="_Toc28751"/>
            <w:bookmarkStart w:id="560" w:name="_Toc27595"/>
            <w:r>
              <w:rPr>
                <w:color w:val="000000"/>
                <w:sz w:val="21"/>
              </w:rPr>
              <w:t>8000</w:t>
            </w:r>
            <w:bookmarkEnd w:id="558"/>
            <w:bookmarkEnd w:id="559"/>
            <w:bookmarkEnd w:id="560"/>
          </w:p>
        </w:tc>
      </w:tr>
      <w:tr w14:paraId="5D40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66" w:type="pct"/>
            <w:tcBorders>
              <w:tl2br w:val="nil"/>
              <w:tr2bl w:val="nil"/>
            </w:tcBorders>
            <w:vAlign w:val="center"/>
          </w:tcPr>
          <w:p w14:paraId="269FE606">
            <w:pPr>
              <w:autoSpaceDN w:val="0"/>
              <w:spacing w:line="240" w:lineRule="auto"/>
              <w:jc w:val="center"/>
              <w:textAlignment w:val="center"/>
              <w:rPr>
                <w:color w:val="000000"/>
                <w:sz w:val="21"/>
              </w:rPr>
            </w:pPr>
            <w:r>
              <w:rPr>
                <w:color w:val="000000"/>
                <w:sz w:val="21"/>
              </w:rPr>
              <w:t>氧化脱氢反应器</w:t>
            </w:r>
          </w:p>
        </w:tc>
        <w:tc>
          <w:tcPr>
            <w:tcW w:w="467" w:type="pct"/>
            <w:tcBorders>
              <w:tl2br w:val="nil"/>
              <w:tr2bl w:val="nil"/>
            </w:tcBorders>
            <w:vAlign w:val="center"/>
          </w:tcPr>
          <w:p w14:paraId="4E1E67E1">
            <w:pPr>
              <w:autoSpaceDN w:val="0"/>
              <w:spacing w:line="240" w:lineRule="auto"/>
              <w:jc w:val="center"/>
              <w:textAlignment w:val="center"/>
              <w:rPr>
                <w:color w:val="000000"/>
                <w:sz w:val="21"/>
              </w:rPr>
            </w:pPr>
            <w:bookmarkStart w:id="561" w:name="_Toc15945"/>
            <w:bookmarkStart w:id="562" w:name="_Toc10109"/>
            <w:bookmarkStart w:id="563" w:name="_Toc23115"/>
            <w:r>
              <w:rPr>
                <w:color w:val="000000"/>
                <w:sz w:val="21"/>
              </w:rPr>
              <w:t>2</w:t>
            </w:r>
            <w:bookmarkEnd w:id="561"/>
            <w:bookmarkEnd w:id="562"/>
            <w:bookmarkEnd w:id="563"/>
          </w:p>
        </w:tc>
        <w:tc>
          <w:tcPr>
            <w:tcW w:w="380" w:type="pct"/>
            <w:tcBorders>
              <w:tl2br w:val="nil"/>
              <w:tr2bl w:val="nil"/>
            </w:tcBorders>
            <w:vAlign w:val="center"/>
          </w:tcPr>
          <w:p w14:paraId="0E425F83">
            <w:pPr>
              <w:autoSpaceDN w:val="0"/>
              <w:spacing w:line="240" w:lineRule="auto"/>
              <w:jc w:val="center"/>
              <w:textAlignment w:val="center"/>
              <w:rPr>
                <w:color w:val="000000"/>
                <w:sz w:val="21"/>
              </w:rPr>
            </w:pPr>
            <w:bookmarkStart w:id="564" w:name="_Toc1312"/>
            <w:bookmarkStart w:id="565" w:name="_Toc1555"/>
            <w:bookmarkStart w:id="566" w:name="_Toc18346"/>
            <w:r>
              <w:rPr>
                <w:color w:val="000000"/>
                <w:sz w:val="21"/>
              </w:rPr>
              <w:t>频发</w:t>
            </w:r>
            <w:bookmarkEnd w:id="564"/>
            <w:bookmarkEnd w:id="565"/>
            <w:bookmarkEnd w:id="566"/>
          </w:p>
        </w:tc>
        <w:tc>
          <w:tcPr>
            <w:tcW w:w="501" w:type="pct"/>
            <w:tcBorders>
              <w:tl2br w:val="nil"/>
              <w:tr2bl w:val="nil"/>
            </w:tcBorders>
            <w:vAlign w:val="center"/>
          </w:tcPr>
          <w:p w14:paraId="349DE598">
            <w:pPr>
              <w:autoSpaceDN w:val="0"/>
              <w:spacing w:line="240" w:lineRule="auto"/>
              <w:jc w:val="center"/>
              <w:textAlignment w:val="center"/>
              <w:rPr>
                <w:color w:val="000000"/>
                <w:sz w:val="21"/>
              </w:rPr>
            </w:pPr>
            <w:bookmarkStart w:id="567" w:name="_Toc2896"/>
            <w:bookmarkStart w:id="568" w:name="_Toc11135"/>
            <w:bookmarkStart w:id="569" w:name="_Toc30540"/>
            <w:r>
              <w:rPr>
                <w:color w:val="000000"/>
                <w:sz w:val="21"/>
              </w:rPr>
              <w:t>类比法</w:t>
            </w:r>
            <w:bookmarkEnd w:id="567"/>
            <w:bookmarkEnd w:id="568"/>
            <w:bookmarkEnd w:id="569"/>
          </w:p>
        </w:tc>
        <w:tc>
          <w:tcPr>
            <w:tcW w:w="547" w:type="pct"/>
            <w:tcBorders>
              <w:tl2br w:val="nil"/>
              <w:tr2bl w:val="nil"/>
            </w:tcBorders>
            <w:vAlign w:val="center"/>
          </w:tcPr>
          <w:p w14:paraId="72D115CE">
            <w:pPr>
              <w:autoSpaceDN w:val="0"/>
              <w:spacing w:line="240" w:lineRule="auto"/>
              <w:jc w:val="center"/>
              <w:textAlignment w:val="center"/>
              <w:rPr>
                <w:color w:val="000000"/>
                <w:sz w:val="21"/>
              </w:rPr>
            </w:pPr>
            <w:r>
              <w:rPr>
                <w:color w:val="000000"/>
                <w:sz w:val="21"/>
              </w:rPr>
              <w:t>75</w:t>
            </w:r>
          </w:p>
        </w:tc>
        <w:tc>
          <w:tcPr>
            <w:tcW w:w="393" w:type="pct"/>
            <w:vMerge w:val="continue"/>
            <w:tcBorders>
              <w:tl2br w:val="nil"/>
              <w:tr2bl w:val="nil"/>
            </w:tcBorders>
            <w:vAlign w:val="center"/>
          </w:tcPr>
          <w:p w14:paraId="106B4EC8">
            <w:pPr>
              <w:autoSpaceDN w:val="0"/>
              <w:spacing w:line="240" w:lineRule="auto"/>
              <w:jc w:val="center"/>
              <w:textAlignment w:val="center"/>
              <w:rPr>
                <w:color w:val="000000"/>
                <w:sz w:val="21"/>
              </w:rPr>
            </w:pPr>
          </w:p>
        </w:tc>
        <w:tc>
          <w:tcPr>
            <w:tcW w:w="635" w:type="pct"/>
            <w:tcBorders>
              <w:tl2br w:val="nil"/>
              <w:tr2bl w:val="nil"/>
            </w:tcBorders>
            <w:vAlign w:val="center"/>
          </w:tcPr>
          <w:p w14:paraId="232355AD">
            <w:pPr>
              <w:autoSpaceDN w:val="0"/>
              <w:spacing w:line="240" w:lineRule="auto"/>
              <w:jc w:val="center"/>
              <w:textAlignment w:val="center"/>
              <w:rPr>
                <w:color w:val="000000"/>
                <w:sz w:val="21"/>
              </w:rPr>
            </w:pPr>
            <w:bookmarkStart w:id="570" w:name="_Toc10809"/>
            <w:bookmarkStart w:id="571" w:name="_Toc22155"/>
            <w:bookmarkStart w:id="572" w:name="_Toc21507"/>
            <w:r>
              <w:rPr>
                <w:color w:val="000000"/>
                <w:sz w:val="21"/>
              </w:rPr>
              <w:t>20</w:t>
            </w:r>
            <w:bookmarkEnd w:id="570"/>
            <w:bookmarkEnd w:id="571"/>
            <w:bookmarkEnd w:id="572"/>
          </w:p>
        </w:tc>
        <w:tc>
          <w:tcPr>
            <w:tcW w:w="431" w:type="pct"/>
            <w:tcBorders>
              <w:tl2br w:val="nil"/>
              <w:tr2bl w:val="nil"/>
            </w:tcBorders>
            <w:vAlign w:val="center"/>
          </w:tcPr>
          <w:p w14:paraId="340755C0">
            <w:pPr>
              <w:autoSpaceDN w:val="0"/>
              <w:spacing w:line="240" w:lineRule="auto"/>
              <w:jc w:val="center"/>
              <w:textAlignment w:val="center"/>
              <w:rPr>
                <w:color w:val="000000"/>
                <w:sz w:val="21"/>
              </w:rPr>
            </w:pPr>
            <w:bookmarkStart w:id="573" w:name="_Toc2421"/>
            <w:bookmarkStart w:id="574" w:name="_Toc17914"/>
            <w:bookmarkStart w:id="575" w:name="_Toc20028"/>
            <w:r>
              <w:rPr>
                <w:color w:val="000000"/>
                <w:sz w:val="21"/>
              </w:rPr>
              <w:t>类比法</w:t>
            </w:r>
            <w:bookmarkEnd w:id="573"/>
            <w:bookmarkEnd w:id="574"/>
            <w:bookmarkEnd w:id="575"/>
          </w:p>
        </w:tc>
        <w:tc>
          <w:tcPr>
            <w:tcW w:w="565" w:type="pct"/>
            <w:tcBorders>
              <w:tl2br w:val="nil"/>
              <w:tr2bl w:val="nil"/>
            </w:tcBorders>
            <w:vAlign w:val="center"/>
          </w:tcPr>
          <w:p w14:paraId="0DD324B9">
            <w:pPr>
              <w:autoSpaceDN w:val="0"/>
              <w:spacing w:line="240" w:lineRule="auto"/>
              <w:jc w:val="center"/>
              <w:textAlignment w:val="center"/>
              <w:rPr>
                <w:color w:val="000000"/>
                <w:sz w:val="21"/>
              </w:rPr>
            </w:pPr>
            <w:r>
              <w:rPr>
                <w:color w:val="000000"/>
                <w:sz w:val="21"/>
              </w:rPr>
              <w:t>55</w:t>
            </w:r>
          </w:p>
        </w:tc>
        <w:tc>
          <w:tcPr>
            <w:tcW w:w="412" w:type="pct"/>
            <w:tcBorders>
              <w:tl2br w:val="nil"/>
              <w:tr2bl w:val="nil"/>
            </w:tcBorders>
            <w:vAlign w:val="center"/>
          </w:tcPr>
          <w:p w14:paraId="44341405">
            <w:pPr>
              <w:autoSpaceDN w:val="0"/>
              <w:spacing w:line="240" w:lineRule="auto"/>
              <w:jc w:val="center"/>
              <w:textAlignment w:val="center"/>
              <w:rPr>
                <w:color w:val="000000"/>
                <w:sz w:val="21"/>
              </w:rPr>
            </w:pPr>
            <w:bookmarkStart w:id="576" w:name="_Toc7803"/>
            <w:bookmarkStart w:id="577" w:name="_Toc1716"/>
            <w:bookmarkStart w:id="578" w:name="_Toc29925"/>
            <w:r>
              <w:rPr>
                <w:color w:val="000000"/>
                <w:sz w:val="21"/>
              </w:rPr>
              <w:t>8000</w:t>
            </w:r>
            <w:bookmarkEnd w:id="576"/>
            <w:bookmarkEnd w:id="577"/>
            <w:bookmarkEnd w:id="578"/>
          </w:p>
        </w:tc>
      </w:tr>
      <w:tr w14:paraId="752AC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66" w:type="pct"/>
            <w:tcBorders>
              <w:tl2br w:val="nil"/>
              <w:tr2bl w:val="nil"/>
            </w:tcBorders>
            <w:vAlign w:val="center"/>
          </w:tcPr>
          <w:p w14:paraId="17DA3A6C">
            <w:pPr>
              <w:autoSpaceDN w:val="0"/>
              <w:spacing w:line="240" w:lineRule="auto"/>
              <w:jc w:val="center"/>
              <w:textAlignment w:val="center"/>
              <w:rPr>
                <w:color w:val="000000"/>
                <w:sz w:val="21"/>
              </w:rPr>
            </w:pPr>
            <w:r>
              <w:rPr>
                <w:color w:val="000000"/>
                <w:sz w:val="21"/>
              </w:rPr>
              <w:t>深度脱氢反应器</w:t>
            </w:r>
          </w:p>
        </w:tc>
        <w:tc>
          <w:tcPr>
            <w:tcW w:w="467" w:type="pct"/>
            <w:tcBorders>
              <w:tl2br w:val="nil"/>
              <w:tr2bl w:val="nil"/>
            </w:tcBorders>
            <w:vAlign w:val="center"/>
          </w:tcPr>
          <w:p w14:paraId="5ED635AF">
            <w:pPr>
              <w:autoSpaceDN w:val="0"/>
              <w:spacing w:line="240" w:lineRule="auto"/>
              <w:jc w:val="center"/>
              <w:textAlignment w:val="center"/>
              <w:rPr>
                <w:color w:val="000000"/>
                <w:sz w:val="21"/>
              </w:rPr>
            </w:pPr>
            <w:bookmarkStart w:id="579" w:name="_Toc30349"/>
            <w:bookmarkStart w:id="580" w:name="_Toc11678"/>
            <w:bookmarkStart w:id="581" w:name="_Toc4606"/>
            <w:r>
              <w:rPr>
                <w:color w:val="000000"/>
                <w:sz w:val="21"/>
              </w:rPr>
              <w:t>2</w:t>
            </w:r>
            <w:bookmarkEnd w:id="579"/>
            <w:bookmarkEnd w:id="580"/>
            <w:bookmarkEnd w:id="581"/>
          </w:p>
        </w:tc>
        <w:tc>
          <w:tcPr>
            <w:tcW w:w="380" w:type="pct"/>
            <w:tcBorders>
              <w:tl2br w:val="nil"/>
              <w:tr2bl w:val="nil"/>
            </w:tcBorders>
            <w:vAlign w:val="center"/>
          </w:tcPr>
          <w:p w14:paraId="73B4BBCE">
            <w:pPr>
              <w:autoSpaceDN w:val="0"/>
              <w:spacing w:line="240" w:lineRule="auto"/>
              <w:jc w:val="center"/>
              <w:textAlignment w:val="center"/>
              <w:rPr>
                <w:color w:val="000000"/>
                <w:sz w:val="21"/>
              </w:rPr>
            </w:pPr>
            <w:bookmarkStart w:id="582" w:name="_Toc11279"/>
            <w:bookmarkStart w:id="583" w:name="_Toc1778"/>
            <w:bookmarkStart w:id="584" w:name="_Toc30532"/>
            <w:r>
              <w:rPr>
                <w:color w:val="000000"/>
                <w:sz w:val="21"/>
              </w:rPr>
              <w:t>频发</w:t>
            </w:r>
            <w:bookmarkEnd w:id="582"/>
            <w:bookmarkEnd w:id="583"/>
            <w:bookmarkEnd w:id="584"/>
          </w:p>
        </w:tc>
        <w:tc>
          <w:tcPr>
            <w:tcW w:w="501" w:type="pct"/>
            <w:tcBorders>
              <w:tl2br w:val="nil"/>
              <w:tr2bl w:val="nil"/>
            </w:tcBorders>
            <w:vAlign w:val="center"/>
          </w:tcPr>
          <w:p w14:paraId="5508C3B0">
            <w:pPr>
              <w:autoSpaceDN w:val="0"/>
              <w:spacing w:line="240" w:lineRule="auto"/>
              <w:jc w:val="center"/>
              <w:textAlignment w:val="center"/>
              <w:rPr>
                <w:color w:val="000000"/>
                <w:sz w:val="21"/>
              </w:rPr>
            </w:pPr>
            <w:bookmarkStart w:id="585" w:name="_Toc4373"/>
            <w:bookmarkStart w:id="586" w:name="_Toc31996"/>
            <w:bookmarkStart w:id="587" w:name="_Toc12775"/>
            <w:r>
              <w:rPr>
                <w:color w:val="000000"/>
                <w:sz w:val="21"/>
              </w:rPr>
              <w:t>类比法</w:t>
            </w:r>
            <w:bookmarkEnd w:id="585"/>
            <w:bookmarkEnd w:id="586"/>
            <w:bookmarkEnd w:id="587"/>
          </w:p>
        </w:tc>
        <w:tc>
          <w:tcPr>
            <w:tcW w:w="547" w:type="pct"/>
            <w:tcBorders>
              <w:tl2br w:val="nil"/>
              <w:tr2bl w:val="nil"/>
            </w:tcBorders>
            <w:vAlign w:val="center"/>
          </w:tcPr>
          <w:p w14:paraId="289036A1">
            <w:pPr>
              <w:autoSpaceDN w:val="0"/>
              <w:spacing w:line="240" w:lineRule="auto"/>
              <w:jc w:val="center"/>
              <w:textAlignment w:val="center"/>
              <w:rPr>
                <w:color w:val="000000"/>
                <w:sz w:val="21"/>
              </w:rPr>
            </w:pPr>
            <w:r>
              <w:rPr>
                <w:color w:val="000000"/>
                <w:sz w:val="21"/>
              </w:rPr>
              <w:t>75</w:t>
            </w:r>
          </w:p>
        </w:tc>
        <w:tc>
          <w:tcPr>
            <w:tcW w:w="393" w:type="pct"/>
            <w:vMerge w:val="continue"/>
            <w:tcBorders>
              <w:tl2br w:val="nil"/>
              <w:tr2bl w:val="nil"/>
            </w:tcBorders>
            <w:vAlign w:val="center"/>
          </w:tcPr>
          <w:p w14:paraId="6DC4AEC0">
            <w:pPr>
              <w:autoSpaceDN w:val="0"/>
              <w:spacing w:line="240" w:lineRule="auto"/>
              <w:jc w:val="center"/>
              <w:textAlignment w:val="center"/>
              <w:rPr>
                <w:color w:val="000000"/>
                <w:sz w:val="21"/>
              </w:rPr>
            </w:pPr>
          </w:p>
        </w:tc>
        <w:tc>
          <w:tcPr>
            <w:tcW w:w="635" w:type="pct"/>
            <w:tcBorders>
              <w:tl2br w:val="nil"/>
              <w:tr2bl w:val="nil"/>
            </w:tcBorders>
            <w:vAlign w:val="center"/>
          </w:tcPr>
          <w:p w14:paraId="7359DF5B">
            <w:pPr>
              <w:autoSpaceDN w:val="0"/>
              <w:spacing w:line="240" w:lineRule="auto"/>
              <w:jc w:val="center"/>
              <w:textAlignment w:val="center"/>
              <w:rPr>
                <w:color w:val="000000"/>
                <w:sz w:val="21"/>
              </w:rPr>
            </w:pPr>
            <w:bookmarkStart w:id="588" w:name="_Toc26824"/>
            <w:bookmarkStart w:id="589" w:name="_Toc10439"/>
            <w:bookmarkStart w:id="590" w:name="_Toc30213"/>
            <w:r>
              <w:rPr>
                <w:color w:val="000000"/>
                <w:sz w:val="21"/>
              </w:rPr>
              <w:t>20</w:t>
            </w:r>
            <w:bookmarkEnd w:id="588"/>
            <w:bookmarkEnd w:id="589"/>
            <w:bookmarkEnd w:id="590"/>
          </w:p>
        </w:tc>
        <w:tc>
          <w:tcPr>
            <w:tcW w:w="431" w:type="pct"/>
            <w:tcBorders>
              <w:tl2br w:val="nil"/>
              <w:tr2bl w:val="nil"/>
            </w:tcBorders>
            <w:vAlign w:val="center"/>
          </w:tcPr>
          <w:p w14:paraId="6F968B07">
            <w:pPr>
              <w:autoSpaceDN w:val="0"/>
              <w:spacing w:line="240" w:lineRule="auto"/>
              <w:jc w:val="center"/>
              <w:textAlignment w:val="center"/>
              <w:rPr>
                <w:color w:val="000000"/>
                <w:sz w:val="21"/>
              </w:rPr>
            </w:pPr>
            <w:bookmarkStart w:id="591" w:name="_Toc30807"/>
            <w:bookmarkStart w:id="592" w:name="_Toc11247"/>
            <w:bookmarkStart w:id="593" w:name="_Toc5616"/>
            <w:r>
              <w:rPr>
                <w:color w:val="000000"/>
                <w:sz w:val="21"/>
              </w:rPr>
              <w:t>类比法</w:t>
            </w:r>
            <w:bookmarkEnd w:id="591"/>
            <w:bookmarkEnd w:id="592"/>
            <w:bookmarkEnd w:id="593"/>
          </w:p>
        </w:tc>
        <w:tc>
          <w:tcPr>
            <w:tcW w:w="565" w:type="pct"/>
            <w:tcBorders>
              <w:tl2br w:val="nil"/>
              <w:tr2bl w:val="nil"/>
            </w:tcBorders>
            <w:vAlign w:val="center"/>
          </w:tcPr>
          <w:p w14:paraId="07CD312C">
            <w:pPr>
              <w:autoSpaceDN w:val="0"/>
              <w:spacing w:line="240" w:lineRule="auto"/>
              <w:jc w:val="center"/>
              <w:textAlignment w:val="center"/>
              <w:rPr>
                <w:color w:val="000000"/>
                <w:sz w:val="21"/>
              </w:rPr>
            </w:pPr>
            <w:r>
              <w:rPr>
                <w:color w:val="000000"/>
                <w:sz w:val="21"/>
              </w:rPr>
              <w:t>55</w:t>
            </w:r>
          </w:p>
        </w:tc>
        <w:tc>
          <w:tcPr>
            <w:tcW w:w="412" w:type="pct"/>
            <w:tcBorders>
              <w:tl2br w:val="nil"/>
              <w:tr2bl w:val="nil"/>
            </w:tcBorders>
            <w:vAlign w:val="center"/>
          </w:tcPr>
          <w:p w14:paraId="2FE3085E">
            <w:pPr>
              <w:autoSpaceDN w:val="0"/>
              <w:spacing w:line="240" w:lineRule="auto"/>
              <w:jc w:val="center"/>
              <w:textAlignment w:val="center"/>
              <w:rPr>
                <w:color w:val="000000"/>
                <w:sz w:val="21"/>
              </w:rPr>
            </w:pPr>
            <w:bookmarkStart w:id="594" w:name="_Toc18086"/>
            <w:bookmarkStart w:id="595" w:name="_Toc23242"/>
            <w:bookmarkStart w:id="596" w:name="_Toc14801"/>
            <w:r>
              <w:rPr>
                <w:color w:val="000000"/>
                <w:sz w:val="21"/>
              </w:rPr>
              <w:t>8000</w:t>
            </w:r>
            <w:bookmarkEnd w:id="594"/>
            <w:bookmarkEnd w:id="595"/>
            <w:bookmarkEnd w:id="596"/>
          </w:p>
        </w:tc>
      </w:tr>
      <w:tr w14:paraId="1417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66" w:type="pct"/>
            <w:tcBorders>
              <w:tl2br w:val="nil"/>
              <w:tr2bl w:val="nil"/>
            </w:tcBorders>
            <w:vAlign w:val="center"/>
          </w:tcPr>
          <w:p w14:paraId="49BFDA97">
            <w:pPr>
              <w:autoSpaceDN w:val="0"/>
              <w:spacing w:line="240" w:lineRule="auto"/>
              <w:jc w:val="center"/>
              <w:textAlignment w:val="center"/>
              <w:rPr>
                <w:color w:val="000000"/>
                <w:sz w:val="21"/>
              </w:rPr>
            </w:pPr>
            <w:r>
              <w:rPr>
                <w:color w:val="000000"/>
                <w:sz w:val="21"/>
              </w:rPr>
              <w:t>真空泵</w:t>
            </w:r>
          </w:p>
        </w:tc>
        <w:tc>
          <w:tcPr>
            <w:tcW w:w="467" w:type="pct"/>
            <w:tcBorders>
              <w:tl2br w:val="nil"/>
              <w:tr2bl w:val="nil"/>
            </w:tcBorders>
            <w:vAlign w:val="center"/>
          </w:tcPr>
          <w:p w14:paraId="24912DB5">
            <w:pPr>
              <w:autoSpaceDN w:val="0"/>
              <w:spacing w:line="240" w:lineRule="auto"/>
              <w:jc w:val="center"/>
              <w:textAlignment w:val="center"/>
              <w:rPr>
                <w:color w:val="000000"/>
                <w:sz w:val="21"/>
              </w:rPr>
            </w:pPr>
            <w:bookmarkStart w:id="597" w:name="_Toc14079"/>
            <w:bookmarkStart w:id="598" w:name="_Toc2361"/>
            <w:bookmarkStart w:id="599" w:name="_Toc19753"/>
            <w:r>
              <w:rPr>
                <w:color w:val="000000"/>
                <w:sz w:val="21"/>
              </w:rPr>
              <w:t>6</w:t>
            </w:r>
            <w:bookmarkEnd w:id="597"/>
            <w:bookmarkEnd w:id="598"/>
            <w:bookmarkEnd w:id="599"/>
          </w:p>
        </w:tc>
        <w:tc>
          <w:tcPr>
            <w:tcW w:w="380" w:type="pct"/>
            <w:tcBorders>
              <w:tl2br w:val="nil"/>
              <w:tr2bl w:val="nil"/>
            </w:tcBorders>
            <w:vAlign w:val="center"/>
          </w:tcPr>
          <w:p w14:paraId="125B9B39">
            <w:pPr>
              <w:autoSpaceDN w:val="0"/>
              <w:spacing w:line="240" w:lineRule="auto"/>
              <w:jc w:val="center"/>
              <w:textAlignment w:val="center"/>
              <w:rPr>
                <w:color w:val="000000"/>
                <w:sz w:val="21"/>
              </w:rPr>
            </w:pPr>
            <w:bookmarkStart w:id="600" w:name="_Toc22539"/>
            <w:bookmarkStart w:id="601" w:name="_Toc11298"/>
            <w:bookmarkStart w:id="602" w:name="_Toc13031"/>
            <w:r>
              <w:rPr>
                <w:color w:val="000000"/>
                <w:sz w:val="21"/>
              </w:rPr>
              <w:t>频发</w:t>
            </w:r>
            <w:bookmarkEnd w:id="600"/>
            <w:bookmarkEnd w:id="601"/>
            <w:bookmarkEnd w:id="602"/>
          </w:p>
        </w:tc>
        <w:tc>
          <w:tcPr>
            <w:tcW w:w="501" w:type="pct"/>
            <w:tcBorders>
              <w:tl2br w:val="nil"/>
              <w:tr2bl w:val="nil"/>
            </w:tcBorders>
            <w:vAlign w:val="center"/>
          </w:tcPr>
          <w:p w14:paraId="4D55E267">
            <w:pPr>
              <w:autoSpaceDN w:val="0"/>
              <w:spacing w:line="240" w:lineRule="auto"/>
              <w:jc w:val="center"/>
              <w:textAlignment w:val="center"/>
              <w:rPr>
                <w:color w:val="000000"/>
                <w:sz w:val="21"/>
              </w:rPr>
            </w:pPr>
            <w:bookmarkStart w:id="603" w:name="_Toc31747"/>
            <w:bookmarkStart w:id="604" w:name="_Toc16988"/>
            <w:bookmarkStart w:id="605" w:name="_Toc31714"/>
            <w:r>
              <w:rPr>
                <w:color w:val="000000"/>
                <w:sz w:val="21"/>
              </w:rPr>
              <w:t>类比法</w:t>
            </w:r>
            <w:bookmarkEnd w:id="603"/>
            <w:bookmarkEnd w:id="604"/>
            <w:bookmarkEnd w:id="605"/>
          </w:p>
        </w:tc>
        <w:tc>
          <w:tcPr>
            <w:tcW w:w="547" w:type="pct"/>
            <w:tcBorders>
              <w:tl2br w:val="nil"/>
              <w:tr2bl w:val="nil"/>
            </w:tcBorders>
            <w:vAlign w:val="center"/>
          </w:tcPr>
          <w:p w14:paraId="5865D095">
            <w:pPr>
              <w:autoSpaceDN w:val="0"/>
              <w:spacing w:line="240" w:lineRule="auto"/>
              <w:jc w:val="center"/>
              <w:textAlignment w:val="center"/>
              <w:rPr>
                <w:color w:val="000000"/>
                <w:sz w:val="21"/>
              </w:rPr>
            </w:pPr>
            <w:r>
              <w:rPr>
                <w:color w:val="000000"/>
                <w:sz w:val="21"/>
              </w:rPr>
              <w:t>80</w:t>
            </w:r>
          </w:p>
        </w:tc>
        <w:tc>
          <w:tcPr>
            <w:tcW w:w="393" w:type="pct"/>
            <w:vMerge w:val="continue"/>
            <w:tcBorders>
              <w:tl2br w:val="nil"/>
              <w:tr2bl w:val="nil"/>
            </w:tcBorders>
            <w:vAlign w:val="center"/>
          </w:tcPr>
          <w:p w14:paraId="74F610EB">
            <w:pPr>
              <w:autoSpaceDN w:val="0"/>
              <w:spacing w:line="240" w:lineRule="auto"/>
              <w:jc w:val="center"/>
              <w:textAlignment w:val="center"/>
              <w:rPr>
                <w:color w:val="000000"/>
                <w:sz w:val="21"/>
              </w:rPr>
            </w:pPr>
          </w:p>
        </w:tc>
        <w:tc>
          <w:tcPr>
            <w:tcW w:w="635" w:type="pct"/>
            <w:tcBorders>
              <w:tl2br w:val="nil"/>
              <w:tr2bl w:val="nil"/>
            </w:tcBorders>
            <w:vAlign w:val="center"/>
          </w:tcPr>
          <w:p w14:paraId="1F54CA35">
            <w:pPr>
              <w:autoSpaceDN w:val="0"/>
              <w:spacing w:line="240" w:lineRule="auto"/>
              <w:jc w:val="center"/>
              <w:textAlignment w:val="center"/>
              <w:rPr>
                <w:color w:val="000000"/>
                <w:sz w:val="21"/>
              </w:rPr>
            </w:pPr>
            <w:bookmarkStart w:id="606" w:name="_Toc18721"/>
            <w:bookmarkStart w:id="607" w:name="_Toc24287"/>
            <w:bookmarkStart w:id="608" w:name="_Toc1577"/>
            <w:r>
              <w:rPr>
                <w:color w:val="000000"/>
                <w:sz w:val="21"/>
              </w:rPr>
              <w:t>20</w:t>
            </w:r>
            <w:bookmarkEnd w:id="606"/>
            <w:bookmarkEnd w:id="607"/>
            <w:bookmarkEnd w:id="608"/>
          </w:p>
        </w:tc>
        <w:tc>
          <w:tcPr>
            <w:tcW w:w="431" w:type="pct"/>
            <w:tcBorders>
              <w:tl2br w:val="nil"/>
              <w:tr2bl w:val="nil"/>
            </w:tcBorders>
            <w:vAlign w:val="center"/>
          </w:tcPr>
          <w:p w14:paraId="1D8C7FE4">
            <w:pPr>
              <w:autoSpaceDN w:val="0"/>
              <w:spacing w:line="240" w:lineRule="auto"/>
              <w:jc w:val="center"/>
              <w:textAlignment w:val="center"/>
              <w:rPr>
                <w:color w:val="000000"/>
                <w:sz w:val="21"/>
              </w:rPr>
            </w:pPr>
            <w:bookmarkStart w:id="609" w:name="_Toc1924"/>
            <w:bookmarkStart w:id="610" w:name="_Toc14857"/>
            <w:bookmarkStart w:id="611" w:name="_Toc23980"/>
            <w:r>
              <w:rPr>
                <w:color w:val="000000"/>
                <w:sz w:val="21"/>
              </w:rPr>
              <w:t>类比法</w:t>
            </w:r>
            <w:bookmarkEnd w:id="609"/>
            <w:bookmarkEnd w:id="610"/>
            <w:bookmarkEnd w:id="611"/>
          </w:p>
        </w:tc>
        <w:tc>
          <w:tcPr>
            <w:tcW w:w="565" w:type="pct"/>
            <w:tcBorders>
              <w:tl2br w:val="nil"/>
              <w:tr2bl w:val="nil"/>
            </w:tcBorders>
            <w:vAlign w:val="center"/>
          </w:tcPr>
          <w:p w14:paraId="00D1666C">
            <w:pPr>
              <w:autoSpaceDN w:val="0"/>
              <w:spacing w:line="240" w:lineRule="auto"/>
              <w:jc w:val="center"/>
              <w:textAlignment w:val="center"/>
              <w:rPr>
                <w:color w:val="000000"/>
                <w:sz w:val="21"/>
              </w:rPr>
            </w:pPr>
            <w:r>
              <w:rPr>
                <w:color w:val="000000"/>
                <w:sz w:val="21"/>
              </w:rPr>
              <w:t>60</w:t>
            </w:r>
          </w:p>
        </w:tc>
        <w:tc>
          <w:tcPr>
            <w:tcW w:w="412" w:type="pct"/>
            <w:tcBorders>
              <w:tl2br w:val="nil"/>
              <w:tr2bl w:val="nil"/>
            </w:tcBorders>
            <w:vAlign w:val="center"/>
          </w:tcPr>
          <w:p w14:paraId="23C0BC51">
            <w:pPr>
              <w:autoSpaceDN w:val="0"/>
              <w:spacing w:line="240" w:lineRule="auto"/>
              <w:jc w:val="center"/>
              <w:textAlignment w:val="center"/>
              <w:rPr>
                <w:color w:val="000000"/>
                <w:sz w:val="21"/>
              </w:rPr>
            </w:pPr>
            <w:bookmarkStart w:id="612" w:name="_Toc15519"/>
            <w:bookmarkStart w:id="613" w:name="_Toc1363"/>
            <w:bookmarkStart w:id="614" w:name="_Toc5270"/>
            <w:r>
              <w:rPr>
                <w:color w:val="000000"/>
                <w:sz w:val="21"/>
              </w:rPr>
              <w:t>8000</w:t>
            </w:r>
            <w:bookmarkEnd w:id="612"/>
            <w:bookmarkEnd w:id="613"/>
            <w:bookmarkEnd w:id="614"/>
          </w:p>
        </w:tc>
      </w:tr>
      <w:tr w14:paraId="234D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66" w:type="pct"/>
            <w:tcBorders>
              <w:tl2br w:val="nil"/>
              <w:tr2bl w:val="nil"/>
            </w:tcBorders>
            <w:vAlign w:val="center"/>
          </w:tcPr>
          <w:p w14:paraId="23AAE68B">
            <w:pPr>
              <w:autoSpaceDN w:val="0"/>
              <w:spacing w:line="240" w:lineRule="auto"/>
              <w:jc w:val="center"/>
              <w:textAlignment w:val="center"/>
              <w:rPr>
                <w:color w:val="000000"/>
                <w:sz w:val="21"/>
              </w:rPr>
            </w:pPr>
            <w:r>
              <w:rPr>
                <w:color w:val="000000"/>
                <w:sz w:val="21"/>
              </w:rPr>
              <w:t>增压机（压缩机）</w:t>
            </w:r>
          </w:p>
        </w:tc>
        <w:tc>
          <w:tcPr>
            <w:tcW w:w="467" w:type="pct"/>
            <w:tcBorders>
              <w:tl2br w:val="nil"/>
              <w:tr2bl w:val="nil"/>
            </w:tcBorders>
            <w:vAlign w:val="center"/>
          </w:tcPr>
          <w:p w14:paraId="0492E134">
            <w:pPr>
              <w:autoSpaceDN w:val="0"/>
              <w:spacing w:line="240" w:lineRule="auto"/>
              <w:jc w:val="center"/>
              <w:textAlignment w:val="center"/>
              <w:rPr>
                <w:color w:val="000000"/>
                <w:sz w:val="21"/>
              </w:rPr>
            </w:pPr>
            <w:bookmarkStart w:id="615" w:name="_Toc6034"/>
            <w:bookmarkStart w:id="616" w:name="_Toc5031"/>
            <w:bookmarkStart w:id="617" w:name="_Toc21368"/>
            <w:r>
              <w:rPr>
                <w:color w:val="000000"/>
                <w:sz w:val="21"/>
              </w:rPr>
              <w:t>4</w:t>
            </w:r>
            <w:bookmarkEnd w:id="615"/>
            <w:bookmarkEnd w:id="616"/>
            <w:bookmarkEnd w:id="617"/>
          </w:p>
        </w:tc>
        <w:tc>
          <w:tcPr>
            <w:tcW w:w="380" w:type="pct"/>
            <w:tcBorders>
              <w:tl2br w:val="nil"/>
              <w:tr2bl w:val="nil"/>
            </w:tcBorders>
            <w:vAlign w:val="center"/>
          </w:tcPr>
          <w:p w14:paraId="59DF5792">
            <w:pPr>
              <w:autoSpaceDN w:val="0"/>
              <w:spacing w:line="240" w:lineRule="auto"/>
              <w:jc w:val="center"/>
              <w:textAlignment w:val="center"/>
              <w:rPr>
                <w:color w:val="000000"/>
                <w:sz w:val="21"/>
              </w:rPr>
            </w:pPr>
            <w:bookmarkStart w:id="618" w:name="_Toc18274"/>
            <w:bookmarkStart w:id="619" w:name="_Toc1888"/>
            <w:bookmarkStart w:id="620" w:name="_Toc17542"/>
            <w:r>
              <w:rPr>
                <w:color w:val="000000"/>
                <w:sz w:val="21"/>
              </w:rPr>
              <w:t>频发</w:t>
            </w:r>
            <w:bookmarkEnd w:id="618"/>
            <w:bookmarkEnd w:id="619"/>
            <w:bookmarkEnd w:id="620"/>
          </w:p>
        </w:tc>
        <w:tc>
          <w:tcPr>
            <w:tcW w:w="501" w:type="pct"/>
            <w:tcBorders>
              <w:tl2br w:val="nil"/>
              <w:tr2bl w:val="nil"/>
            </w:tcBorders>
            <w:vAlign w:val="center"/>
          </w:tcPr>
          <w:p w14:paraId="0D74CCF9">
            <w:pPr>
              <w:autoSpaceDN w:val="0"/>
              <w:spacing w:line="240" w:lineRule="auto"/>
              <w:jc w:val="center"/>
              <w:textAlignment w:val="center"/>
              <w:rPr>
                <w:color w:val="000000"/>
                <w:sz w:val="21"/>
              </w:rPr>
            </w:pPr>
            <w:bookmarkStart w:id="621" w:name="_Toc29056"/>
            <w:bookmarkStart w:id="622" w:name="_Toc6985"/>
            <w:bookmarkStart w:id="623" w:name="_Toc31641"/>
            <w:r>
              <w:rPr>
                <w:color w:val="000000"/>
                <w:sz w:val="21"/>
              </w:rPr>
              <w:t>类比法</w:t>
            </w:r>
            <w:bookmarkEnd w:id="621"/>
            <w:bookmarkEnd w:id="622"/>
            <w:bookmarkEnd w:id="623"/>
          </w:p>
        </w:tc>
        <w:tc>
          <w:tcPr>
            <w:tcW w:w="547" w:type="pct"/>
            <w:tcBorders>
              <w:tl2br w:val="nil"/>
              <w:tr2bl w:val="nil"/>
            </w:tcBorders>
            <w:vAlign w:val="center"/>
          </w:tcPr>
          <w:p w14:paraId="5896D177">
            <w:pPr>
              <w:autoSpaceDN w:val="0"/>
              <w:spacing w:line="240" w:lineRule="auto"/>
              <w:jc w:val="center"/>
              <w:textAlignment w:val="center"/>
              <w:rPr>
                <w:color w:val="000000"/>
                <w:sz w:val="21"/>
              </w:rPr>
            </w:pPr>
            <w:r>
              <w:rPr>
                <w:color w:val="000000"/>
                <w:sz w:val="21"/>
              </w:rPr>
              <w:t>90</w:t>
            </w:r>
          </w:p>
        </w:tc>
        <w:tc>
          <w:tcPr>
            <w:tcW w:w="393" w:type="pct"/>
            <w:vMerge w:val="continue"/>
            <w:tcBorders>
              <w:tl2br w:val="nil"/>
              <w:tr2bl w:val="nil"/>
            </w:tcBorders>
            <w:vAlign w:val="center"/>
          </w:tcPr>
          <w:p w14:paraId="195657F5">
            <w:pPr>
              <w:autoSpaceDN w:val="0"/>
              <w:spacing w:line="240" w:lineRule="auto"/>
              <w:jc w:val="center"/>
              <w:textAlignment w:val="center"/>
              <w:rPr>
                <w:color w:val="000000"/>
                <w:sz w:val="21"/>
              </w:rPr>
            </w:pPr>
          </w:p>
        </w:tc>
        <w:tc>
          <w:tcPr>
            <w:tcW w:w="635" w:type="pct"/>
            <w:tcBorders>
              <w:tl2br w:val="nil"/>
              <w:tr2bl w:val="nil"/>
            </w:tcBorders>
            <w:vAlign w:val="center"/>
          </w:tcPr>
          <w:p w14:paraId="4F5B6B97">
            <w:pPr>
              <w:autoSpaceDN w:val="0"/>
              <w:spacing w:line="240" w:lineRule="auto"/>
              <w:jc w:val="center"/>
              <w:textAlignment w:val="center"/>
              <w:rPr>
                <w:color w:val="000000"/>
                <w:sz w:val="21"/>
              </w:rPr>
            </w:pPr>
            <w:bookmarkStart w:id="624" w:name="_Toc9228"/>
            <w:bookmarkStart w:id="625" w:name="_Toc2605"/>
            <w:bookmarkStart w:id="626" w:name="_Toc5122"/>
            <w:r>
              <w:rPr>
                <w:color w:val="000000"/>
                <w:sz w:val="21"/>
              </w:rPr>
              <w:t>20</w:t>
            </w:r>
            <w:bookmarkEnd w:id="624"/>
            <w:bookmarkEnd w:id="625"/>
            <w:bookmarkEnd w:id="626"/>
          </w:p>
        </w:tc>
        <w:tc>
          <w:tcPr>
            <w:tcW w:w="431" w:type="pct"/>
            <w:tcBorders>
              <w:tl2br w:val="nil"/>
              <w:tr2bl w:val="nil"/>
            </w:tcBorders>
            <w:vAlign w:val="center"/>
          </w:tcPr>
          <w:p w14:paraId="25F7C424">
            <w:pPr>
              <w:autoSpaceDN w:val="0"/>
              <w:spacing w:line="240" w:lineRule="auto"/>
              <w:jc w:val="center"/>
              <w:textAlignment w:val="center"/>
              <w:rPr>
                <w:color w:val="000000"/>
                <w:sz w:val="21"/>
              </w:rPr>
            </w:pPr>
            <w:bookmarkStart w:id="627" w:name="_Toc14903"/>
            <w:bookmarkStart w:id="628" w:name="_Toc18185"/>
            <w:bookmarkStart w:id="629" w:name="_Toc29317"/>
            <w:r>
              <w:rPr>
                <w:color w:val="000000"/>
                <w:sz w:val="21"/>
              </w:rPr>
              <w:t>类比法</w:t>
            </w:r>
            <w:bookmarkEnd w:id="627"/>
            <w:bookmarkEnd w:id="628"/>
            <w:bookmarkEnd w:id="629"/>
          </w:p>
        </w:tc>
        <w:tc>
          <w:tcPr>
            <w:tcW w:w="565" w:type="pct"/>
            <w:tcBorders>
              <w:tl2br w:val="nil"/>
              <w:tr2bl w:val="nil"/>
            </w:tcBorders>
            <w:vAlign w:val="center"/>
          </w:tcPr>
          <w:p w14:paraId="2D50DA8A">
            <w:pPr>
              <w:autoSpaceDN w:val="0"/>
              <w:spacing w:line="240" w:lineRule="auto"/>
              <w:jc w:val="center"/>
              <w:textAlignment w:val="center"/>
              <w:rPr>
                <w:color w:val="000000"/>
                <w:sz w:val="21"/>
              </w:rPr>
            </w:pPr>
            <w:r>
              <w:rPr>
                <w:color w:val="000000"/>
                <w:sz w:val="21"/>
              </w:rPr>
              <w:t>70</w:t>
            </w:r>
          </w:p>
        </w:tc>
        <w:tc>
          <w:tcPr>
            <w:tcW w:w="412" w:type="pct"/>
            <w:tcBorders>
              <w:tl2br w:val="nil"/>
              <w:tr2bl w:val="nil"/>
            </w:tcBorders>
            <w:vAlign w:val="center"/>
          </w:tcPr>
          <w:p w14:paraId="2366B9EF">
            <w:pPr>
              <w:autoSpaceDN w:val="0"/>
              <w:spacing w:line="240" w:lineRule="auto"/>
              <w:jc w:val="center"/>
              <w:textAlignment w:val="center"/>
              <w:rPr>
                <w:color w:val="000000"/>
                <w:sz w:val="21"/>
              </w:rPr>
            </w:pPr>
            <w:bookmarkStart w:id="630" w:name="_Toc2771"/>
            <w:bookmarkStart w:id="631" w:name="_Toc14581"/>
            <w:bookmarkStart w:id="632" w:name="_Toc15990"/>
            <w:r>
              <w:rPr>
                <w:color w:val="000000"/>
                <w:sz w:val="21"/>
              </w:rPr>
              <w:t>8000</w:t>
            </w:r>
            <w:bookmarkEnd w:id="630"/>
            <w:bookmarkEnd w:id="631"/>
            <w:bookmarkEnd w:id="632"/>
          </w:p>
        </w:tc>
      </w:tr>
    </w:tbl>
    <w:p w14:paraId="6DD78D8D">
      <w:pPr>
        <w:pStyle w:val="2"/>
        <w:ind w:left="480"/>
        <w:rPr>
          <w:rFonts w:ascii="Times New Roman" w:hAnsi="Times New Roman" w:cs="Times New Roman"/>
          <w:color w:val="000000"/>
        </w:rPr>
      </w:pPr>
    </w:p>
    <w:p w14:paraId="7A50228F">
      <w:pPr>
        <w:pStyle w:val="785"/>
        <w:rPr>
          <w:color w:val="000000"/>
          <w:szCs w:val="24"/>
        </w:rPr>
      </w:pPr>
      <w:r>
        <w:rPr>
          <w:color w:val="000000"/>
          <w:szCs w:val="24"/>
          <w:lang w:val="en-US"/>
        </w:rPr>
        <w:t>5</w:t>
      </w:r>
      <w:r>
        <w:rPr>
          <w:color w:val="000000"/>
          <w:szCs w:val="24"/>
        </w:rPr>
        <w:t>.2.3.</w:t>
      </w:r>
      <w:r>
        <w:rPr>
          <w:color w:val="000000"/>
          <w:szCs w:val="24"/>
          <w:lang w:val="en-US"/>
        </w:rPr>
        <w:t>2</w:t>
      </w:r>
      <w:r>
        <w:rPr>
          <w:color w:val="000000"/>
          <w:szCs w:val="24"/>
        </w:rPr>
        <w:t>噪声预测模式</w:t>
      </w:r>
    </w:p>
    <w:p w14:paraId="2B7C848A">
      <w:pPr>
        <w:ind w:firstLine="480"/>
        <w:rPr>
          <w:color w:val="000000"/>
          <w:szCs w:val="24"/>
        </w:rPr>
      </w:pPr>
      <w:r>
        <w:rPr>
          <w:color w:val="000000"/>
        </w:rPr>
        <w:t>工程营运期噪声</w:t>
      </w:r>
      <w:r>
        <w:rPr>
          <w:color w:val="000000"/>
          <w:szCs w:val="24"/>
        </w:rPr>
        <w:t>主要来源于生产及辅助设备运行噪声。根据工程所在地的地形特征，忽略温度、湿度、大气非均匀性与不稳定性以及地面效应引起的衰减，仅考虑距离衰减。噪声预测方法采用《环境影响评价技术导则  声环境》（HJ2.4-2009）推荐的模式。</w:t>
      </w:r>
    </w:p>
    <w:p w14:paraId="1C4245AD">
      <w:pPr>
        <w:ind w:firstLine="470" w:firstLineChars="196"/>
        <w:rPr>
          <w:color w:val="000000"/>
          <w:szCs w:val="24"/>
        </w:rPr>
      </w:pPr>
      <w:r>
        <w:rPr>
          <w:color w:val="000000"/>
          <w:szCs w:val="24"/>
        </w:rPr>
        <w:t>预测模式如下：</w:t>
      </w:r>
    </w:p>
    <w:p w14:paraId="1CDF3869">
      <w:pPr>
        <w:pStyle w:val="2184"/>
        <w:adjustRightInd w:val="0"/>
        <w:snapToGrid w:val="0"/>
        <w:spacing w:line="360" w:lineRule="auto"/>
        <w:rPr>
          <w:color w:val="000000"/>
        </w:rPr>
      </w:pPr>
      <w:r>
        <w:rPr>
          <w:color w:val="000000"/>
        </w:rPr>
        <w:t>①建设项目点声源在距离r处的A声级（</w:t>
      </w:r>
      <w:r>
        <w:rPr>
          <w:i/>
          <w:color w:val="000000"/>
        </w:rPr>
        <w:t>L</w:t>
      </w:r>
      <w:r>
        <w:rPr>
          <w:i/>
          <w:color w:val="000000"/>
          <w:vertAlign w:val="subscript"/>
        </w:rPr>
        <w:t>A</w:t>
      </w:r>
      <w:r>
        <w:rPr>
          <w:color w:val="000000"/>
        </w:rPr>
        <w:t>(r)）计算公式：</w:t>
      </w:r>
    </w:p>
    <w:p w14:paraId="30958B35">
      <w:pPr>
        <w:pStyle w:val="788"/>
        <w:spacing w:before="116" w:after="116"/>
        <w:rPr>
          <w:rFonts w:cs="Times New Roman"/>
          <w:color w:val="000000"/>
        </w:rPr>
      </w:pPr>
      <m:oMathPara>
        <m:oMath>
          <m:sSub>
            <m:sSubPr>
              <m:ctrlPr>
                <w:rPr>
                  <w:rFonts w:ascii="Cambria Math" w:hAnsi="Cambria Math"/>
                </w:rPr>
              </m:ctrlPr>
            </m:sSubPr>
            <m:e>
              <m:r>
                <m:rPr>
                  <m:sty m:val="bi"/>
                </m:rPr>
                <w:rPr>
                  <w:rFonts w:ascii="Cambria Math" w:hAnsi="Cambria Math"/>
                </w:rPr>
                <m:t>L</m:t>
              </m:r>
              <m:ctrlPr>
                <w:rPr>
                  <w:rFonts w:ascii="Cambria Math" w:hAnsi="Cambria Math"/>
                </w:rPr>
              </m:ctrlPr>
            </m:e>
            <m:sub>
              <m:r>
                <m:rPr>
                  <m:sty m:val="bi"/>
                </m:rPr>
                <w:rPr>
                  <w:rFonts w:ascii="Cambria Math" w:hAnsi="Cambria Math"/>
                </w:rPr>
                <m:t>A</m:t>
              </m:r>
              <m:ctrlPr>
                <w:rPr>
                  <w:rFonts w:ascii="Cambria Math" w:hAnsi="Cambria Math"/>
                </w:rPr>
              </m:ctrlPr>
            </m:sub>
          </m:sSub>
          <m:d>
            <m:dPr>
              <m:ctrlPr>
                <w:rPr>
                  <w:rFonts w:ascii="Cambria Math" w:hAnsi="Cambria Math"/>
                </w:rPr>
              </m:ctrlPr>
            </m:dPr>
            <m:e>
              <m:r>
                <m:rPr>
                  <m:sty m:val="bi"/>
                </m:rPr>
                <w:rPr>
                  <w:rFonts w:ascii="Cambria Math" w:hAnsi="Cambria Math"/>
                </w:rPr>
                <m:t>r</m:t>
              </m:r>
              <m:ctrlPr>
                <w:rPr>
                  <w:rFonts w:ascii="Cambria Math" w:hAnsi="Cambria Math"/>
                </w:rPr>
              </m:ctrlPr>
            </m:e>
          </m:d>
          <m:r>
            <m:rPr>
              <m:sty m:val="b"/>
            </m:rPr>
            <w:rPr>
              <w:rFonts w:ascii="Cambria Math" w:hAnsi="Cambria Math"/>
            </w:rPr>
            <m:t>=</m:t>
          </m:r>
          <m:sSub>
            <m:sSubPr>
              <m:ctrlPr>
                <w:rPr>
                  <w:rFonts w:ascii="Cambria Math" w:hAnsi="Cambria Math"/>
                </w:rPr>
              </m:ctrlPr>
            </m:sSubPr>
            <m:e>
              <m:r>
                <m:rPr>
                  <m:sty m:val="bi"/>
                </m:rPr>
                <w:rPr>
                  <w:rFonts w:ascii="Cambria Math" w:hAnsi="Cambria Math"/>
                </w:rPr>
                <m:t>L</m:t>
              </m:r>
              <m:ctrlPr>
                <w:rPr>
                  <w:rFonts w:ascii="Cambria Math" w:hAnsi="Cambria Math"/>
                </w:rPr>
              </m:ctrlPr>
            </m:e>
            <m:sub>
              <m:r>
                <m:rPr>
                  <m:sty m:val="bi"/>
                </m:rPr>
                <w:rPr>
                  <w:rFonts w:ascii="Cambria Math" w:hAnsi="Cambria Math"/>
                </w:rPr>
                <m:t>A</m:t>
              </m:r>
              <m:ctrlPr>
                <w:rPr>
                  <w:rFonts w:ascii="Cambria Math" w:hAnsi="Cambria Math"/>
                </w:rPr>
              </m:ctrlPr>
            </m:sub>
          </m:sSub>
          <m:d>
            <m:dPr>
              <m:ctrlPr>
                <w:rPr>
                  <w:rFonts w:ascii="Cambria Math" w:hAnsi="Cambria Math"/>
                </w:rPr>
              </m:ctrlPr>
            </m:dPr>
            <m:e>
              <m:sSub>
                <m:sSubPr>
                  <m:ctrlPr>
                    <w:rPr>
                      <w:rFonts w:ascii="Cambria Math" w:hAnsi="Cambria Math"/>
                    </w:rPr>
                  </m:ctrlPr>
                </m:sSubPr>
                <m:e>
                  <m:r>
                    <m:rPr>
                      <m:sty m:val="bi"/>
                    </m:rPr>
                    <w:rPr>
                      <w:rFonts w:ascii="Cambria Math" w:hAnsi="Cambria Math"/>
                    </w:rPr>
                    <m:t>r</m:t>
                  </m:r>
                  <m:ctrlPr>
                    <w:rPr>
                      <w:rFonts w:ascii="Cambria Math" w:hAnsi="Cambria Math"/>
                    </w:rPr>
                  </m:ctrlPr>
                </m:e>
                <m:sub>
                  <m:r>
                    <m:rPr>
                      <m:sty m:val="b"/>
                    </m:rPr>
                    <w:rPr>
                      <w:rFonts w:ascii="Cambria Math" w:hAnsi="Cambria Math"/>
                    </w:rPr>
                    <m:t>0</m:t>
                  </m:r>
                  <m:ctrlPr>
                    <w:rPr>
                      <w:rFonts w:ascii="Cambria Math" w:hAnsi="Cambria Math"/>
                    </w:rPr>
                  </m:ctrlPr>
                </m:sub>
              </m:sSub>
              <m:ctrlPr>
                <w:rPr>
                  <w:rFonts w:ascii="Cambria Math" w:hAnsi="Cambria Math"/>
                </w:rPr>
              </m:ctrlPr>
            </m:e>
          </m:d>
          <m:r>
            <m:rPr>
              <m:sty m:val="b"/>
            </m:rPr>
            <w:rPr>
              <w:rFonts w:ascii="Cambria Math" w:hAnsi="Cambria Math"/>
            </w:rPr>
            <m:t>−20</m:t>
          </m:r>
          <m:r>
            <m:rPr>
              <m:sty m:val="bi"/>
            </m:rPr>
            <w:rPr>
              <w:rFonts w:ascii="Cambria Math" w:hAnsi="Cambria Math"/>
            </w:rPr>
            <m:t>lg</m:t>
          </m:r>
          <m:d>
            <m:dPr>
              <m:ctrlPr>
                <w:rPr>
                  <w:rFonts w:ascii="Cambria Math" w:hAnsi="Cambria Math"/>
                </w:rPr>
              </m:ctrlPr>
            </m:dPr>
            <m:e>
              <m:f>
                <m:fPr>
                  <m:type m:val="lin"/>
                  <m:ctrlPr>
                    <w:rPr>
                      <w:rFonts w:ascii="Cambria Math" w:hAnsi="Cambria Math"/>
                    </w:rPr>
                  </m:ctrlPr>
                </m:fPr>
                <m:num>
                  <m:r>
                    <m:rPr>
                      <m:sty m:val="bi"/>
                    </m:rPr>
                    <w:rPr>
                      <w:rFonts w:ascii="Cambria Math" w:hAnsi="Cambria Math"/>
                    </w:rPr>
                    <m:t>r</m:t>
                  </m:r>
                  <m:ctrlPr>
                    <w:rPr>
                      <w:rFonts w:ascii="Cambria Math" w:hAnsi="Cambria Math"/>
                    </w:rPr>
                  </m:ctrlPr>
                </m:num>
                <m:den>
                  <m:sSub>
                    <m:sSubPr>
                      <m:ctrlPr>
                        <w:rPr>
                          <w:rFonts w:ascii="Cambria Math" w:hAnsi="Cambria Math"/>
                        </w:rPr>
                      </m:ctrlPr>
                    </m:sSubPr>
                    <m:e>
                      <m:r>
                        <m:rPr>
                          <m:sty m:val="bi"/>
                        </m:rPr>
                        <w:rPr>
                          <w:rFonts w:ascii="Cambria Math" w:hAnsi="Cambria Math"/>
                        </w:rPr>
                        <m:t>r</m:t>
                      </m:r>
                      <m:ctrlPr>
                        <w:rPr>
                          <w:rFonts w:ascii="Cambria Math" w:hAnsi="Cambria Math"/>
                        </w:rPr>
                      </m:ctrlPr>
                    </m:e>
                    <m:sub>
                      <m:r>
                        <m:rPr>
                          <m:sty m:val="b"/>
                        </m:rPr>
                        <w:rPr>
                          <w:rFonts w:ascii="Cambria Math" w:hAnsi="Cambria Math"/>
                        </w:rPr>
                        <m:t>0</m:t>
                      </m:r>
                      <m:ctrlPr>
                        <w:rPr>
                          <w:rFonts w:ascii="Cambria Math" w:hAnsi="Cambria Math"/>
                        </w:rPr>
                      </m:ctrlPr>
                    </m:sub>
                  </m:sSub>
                  <m:ctrlPr>
                    <w:rPr>
                      <w:rFonts w:ascii="Cambria Math" w:hAnsi="Cambria Math"/>
                    </w:rPr>
                  </m:ctrlPr>
                </m:den>
              </m:f>
              <m:ctrlPr>
                <w:rPr>
                  <w:rFonts w:ascii="Cambria Math" w:hAnsi="Cambria Math"/>
                </w:rPr>
              </m:ctrlPr>
            </m:e>
          </m:d>
        </m:oMath>
      </m:oMathPara>
    </w:p>
    <w:p w14:paraId="09A26D36">
      <w:pPr>
        <w:pStyle w:val="2184"/>
        <w:adjustRightInd w:val="0"/>
        <w:snapToGrid w:val="0"/>
        <w:spacing w:line="360" w:lineRule="auto"/>
        <w:rPr>
          <w:color w:val="000000"/>
        </w:rPr>
      </w:pPr>
      <w:r>
        <w:rPr>
          <w:color w:val="000000"/>
        </w:rPr>
        <w:t>式中：</w:t>
      </w:r>
    </w:p>
    <w:p w14:paraId="1856841D">
      <w:pPr>
        <w:pStyle w:val="2184"/>
        <w:adjustRightInd w:val="0"/>
        <w:snapToGrid w:val="0"/>
        <w:spacing w:line="360" w:lineRule="auto"/>
        <w:rPr>
          <w:color w:val="000000"/>
        </w:rPr>
      </w:pPr>
      <w:r>
        <w:rPr>
          <w:i/>
          <w:color w:val="000000"/>
        </w:rPr>
        <w:t>r</w:t>
      </w:r>
      <w:r>
        <w:rPr>
          <w:color w:val="000000"/>
          <w:vertAlign w:val="subscript"/>
        </w:rPr>
        <w:t>0</w:t>
      </w:r>
      <w:r>
        <w:rPr>
          <w:color w:val="000000"/>
        </w:rPr>
        <w:t>——参</w:t>
      </w:r>
      <w:r>
        <w:rPr>
          <w:rStyle w:val="2185"/>
          <w:color w:val="000000"/>
        </w:rPr>
        <w:t>考</w:t>
      </w:r>
      <w:r>
        <w:rPr>
          <w:color w:val="000000"/>
        </w:rPr>
        <w:t>位置距离声源的距离，m；</w:t>
      </w:r>
    </w:p>
    <w:p w14:paraId="4C6B9942">
      <w:pPr>
        <w:pStyle w:val="2184"/>
        <w:adjustRightInd w:val="0"/>
        <w:snapToGrid w:val="0"/>
        <w:spacing w:line="360" w:lineRule="auto"/>
        <w:rPr>
          <w:i/>
          <w:color w:val="000000"/>
        </w:rPr>
      </w:pPr>
      <w:r>
        <w:rPr>
          <w:i/>
          <w:color w:val="000000"/>
        </w:rPr>
        <w:t>r</w:t>
      </w:r>
      <w:r>
        <w:rPr>
          <w:color w:val="000000"/>
        </w:rPr>
        <w:t>——预测点距离声源的距离，m；</w:t>
      </w:r>
    </w:p>
    <w:p w14:paraId="5CFD0378">
      <w:pPr>
        <w:pStyle w:val="2184"/>
        <w:adjustRightInd w:val="0"/>
        <w:snapToGrid w:val="0"/>
        <w:spacing w:line="360" w:lineRule="auto"/>
        <w:rPr>
          <w:color w:val="000000"/>
        </w:rPr>
      </w:pPr>
      <w:r>
        <w:rPr>
          <w:i/>
          <w:color w:val="000000"/>
        </w:rPr>
        <w:t>L</w:t>
      </w:r>
      <w:r>
        <w:rPr>
          <w:i/>
          <w:color w:val="000000"/>
          <w:vertAlign w:val="subscript"/>
        </w:rPr>
        <w:t>A</w:t>
      </w:r>
      <w:r>
        <w:rPr>
          <w:color w:val="000000"/>
        </w:rPr>
        <w:t>(</w:t>
      </w:r>
      <w:r>
        <w:rPr>
          <w:i/>
          <w:color w:val="000000"/>
        </w:rPr>
        <w:t>r</w:t>
      </w:r>
      <w:r>
        <w:rPr>
          <w:color w:val="000000"/>
          <w:vertAlign w:val="subscript"/>
        </w:rPr>
        <w:t>0</w:t>
      </w:r>
      <w:r>
        <w:rPr>
          <w:color w:val="000000"/>
        </w:rPr>
        <w:t>)——参考位置</w:t>
      </w:r>
      <w:r>
        <w:rPr>
          <w:i/>
          <w:color w:val="000000"/>
        </w:rPr>
        <w:t>r</w:t>
      </w:r>
      <w:r>
        <w:rPr>
          <w:color w:val="000000"/>
          <w:vertAlign w:val="subscript"/>
        </w:rPr>
        <w:t>0</w:t>
      </w:r>
      <w:r>
        <w:rPr>
          <w:color w:val="000000"/>
        </w:rPr>
        <w:t>处的A声级，dB（A）；</w:t>
      </w:r>
    </w:p>
    <w:p w14:paraId="06B854E3">
      <w:pPr>
        <w:pStyle w:val="2184"/>
        <w:adjustRightInd w:val="0"/>
        <w:snapToGrid w:val="0"/>
        <w:spacing w:line="360" w:lineRule="auto"/>
        <w:rPr>
          <w:color w:val="000000"/>
        </w:rPr>
      </w:pPr>
      <w:r>
        <w:rPr>
          <w:i/>
          <w:color w:val="000000"/>
        </w:rPr>
        <w:t>L</w:t>
      </w:r>
      <w:r>
        <w:rPr>
          <w:i/>
          <w:color w:val="000000"/>
          <w:vertAlign w:val="subscript"/>
        </w:rPr>
        <w:t>A</w:t>
      </w:r>
      <w:r>
        <w:rPr>
          <w:color w:val="000000"/>
        </w:rPr>
        <w:t>(</w:t>
      </w:r>
      <w:r>
        <w:rPr>
          <w:i/>
          <w:color w:val="000000"/>
        </w:rPr>
        <w:t>r</w:t>
      </w:r>
      <w:r>
        <w:rPr>
          <w:color w:val="000000"/>
        </w:rPr>
        <w:t>)——距离声源</w:t>
      </w:r>
      <w:r>
        <w:rPr>
          <w:i/>
          <w:color w:val="000000"/>
        </w:rPr>
        <w:t>r</w:t>
      </w:r>
      <w:r>
        <w:rPr>
          <w:color w:val="000000"/>
        </w:rPr>
        <w:t>处的A声级，dB（A）；</w:t>
      </w:r>
    </w:p>
    <w:p w14:paraId="75181769">
      <w:pPr>
        <w:pStyle w:val="2184"/>
        <w:adjustRightInd w:val="0"/>
        <w:snapToGrid w:val="0"/>
        <w:spacing w:line="360" w:lineRule="auto"/>
        <w:rPr>
          <w:color w:val="000000"/>
        </w:rPr>
      </w:pPr>
      <w:r>
        <w:rPr>
          <w:color w:val="000000"/>
        </w:rPr>
        <w:t>②建设项目声源在预测点产生的等效声级贡献值（</w:t>
      </w:r>
      <w:r>
        <w:rPr>
          <w:i/>
          <w:color w:val="000000"/>
        </w:rPr>
        <w:t>L</w:t>
      </w:r>
      <w:r>
        <w:rPr>
          <w:i/>
          <w:color w:val="000000"/>
          <w:vertAlign w:val="subscript"/>
        </w:rPr>
        <w:t>eqg</w:t>
      </w:r>
      <w:r>
        <w:rPr>
          <w:color w:val="000000"/>
        </w:rPr>
        <w:t>）计算公式：</w:t>
      </w:r>
    </w:p>
    <w:p w14:paraId="58C8FD1B">
      <w:pPr>
        <w:pStyle w:val="788"/>
        <w:spacing w:before="116" w:after="116"/>
        <w:rPr>
          <w:rFonts w:cs="Times New Roman"/>
          <w:color w:val="000000"/>
        </w:rPr>
      </w:pPr>
      <w:r>
        <w:rPr>
          <w:rFonts w:cs="Times New Roman"/>
          <w:color w:val="000000"/>
        </w:rPr>
        <w:object>
          <v:shape id="_x0000_i1029" o:spt="75" type="#_x0000_t75" style="height:36.75pt;width:132.75pt;" o:ole="t" filled="f" o:preferrelative="t" stroked="f" coordsize="21600,21600">
            <v:path/>
            <v:fill on="f" focussize="0,0"/>
            <v:stroke on="f" joinstyle="miter"/>
            <v:imagedata r:id="rId35" o:title=""/>
            <o:lock v:ext="edit" aspectratio="t"/>
            <w10:wrap type="none"/>
            <w10:anchorlock/>
          </v:shape>
          <o:OLEObject Type="Embed" ProgID="Equation.DSMT4" ShapeID="_x0000_i1029" DrawAspect="Content" ObjectID="_1468075730" r:id="rId34">
            <o:LockedField>false</o:LockedField>
          </o:OLEObject>
        </w:object>
      </w:r>
    </w:p>
    <w:p w14:paraId="61EF3796">
      <w:pPr>
        <w:pStyle w:val="2184"/>
        <w:adjustRightInd w:val="0"/>
        <w:snapToGrid w:val="0"/>
        <w:spacing w:line="360" w:lineRule="auto"/>
        <w:rPr>
          <w:color w:val="000000"/>
        </w:rPr>
      </w:pPr>
      <w:r>
        <w:rPr>
          <w:color w:val="000000"/>
        </w:rPr>
        <w:t>式中：</w:t>
      </w:r>
    </w:p>
    <w:p w14:paraId="2D45E7AB">
      <w:pPr>
        <w:pStyle w:val="2184"/>
        <w:adjustRightInd w:val="0"/>
        <w:snapToGrid w:val="0"/>
        <w:spacing w:line="360" w:lineRule="auto"/>
        <w:rPr>
          <w:color w:val="000000"/>
        </w:rPr>
      </w:pPr>
      <w:r>
        <w:rPr>
          <w:i/>
          <w:color w:val="000000"/>
        </w:rPr>
        <w:t>L</w:t>
      </w:r>
      <w:r>
        <w:rPr>
          <w:i/>
          <w:color w:val="000000"/>
          <w:vertAlign w:val="subscript"/>
        </w:rPr>
        <w:t>eqg</w:t>
      </w:r>
      <w:r>
        <w:rPr>
          <w:color w:val="000000"/>
        </w:rPr>
        <w:t>——建设项目声源在预测点的等效声级贡献值，dB（A）；</w:t>
      </w:r>
    </w:p>
    <w:p w14:paraId="5CF252C4">
      <w:pPr>
        <w:pStyle w:val="2184"/>
        <w:adjustRightInd w:val="0"/>
        <w:snapToGrid w:val="0"/>
        <w:spacing w:line="360" w:lineRule="auto"/>
        <w:rPr>
          <w:color w:val="000000"/>
        </w:rPr>
      </w:pPr>
      <w:r>
        <w:rPr>
          <w:i/>
          <w:color w:val="000000"/>
        </w:rPr>
        <w:t>L</w:t>
      </w:r>
      <w:r>
        <w:rPr>
          <w:i/>
          <w:color w:val="000000"/>
          <w:vertAlign w:val="subscript"/>
        </w:rPr>
        <w:t>Ai</w:t>
      </w:r>
      <w:r>
        <w:rPr>
          <w:color w:val="000000"/>
        </w:rPr>
        <w:t>——</w:t>
      </w:r>
      <w:r>
        <w:rPr>
          <w:i/>
          <w:color w:val="000000"/>
        </w:rPr>
        <w:t>i</w:t>
      </w:r>
      <w:r>
        <w:rPr>
          <w:color w:val="000000"/>
        </w:rPr>
        <w:t>声源在预测点产生的A声级，dB（A）；</w:t>
      </w:r>
    </w:p>
    <w:p w14:paraId="48D18E6E">
      <w:pPr>
        <w:pStyle w:val="2184"/>
        <w:adjustRightInd w:val="0"/>
        <w:snapToGrid w:val="0"/>
        <w:spacing w:line="360" w:lineRule="auto"/>
        <w:rPr>
          <w:color w:val="000000"/>
        </w:rPr>
      </w:pPr>
      <w:r>
        <w:rPr>
          <w:i/>
          <w:color w:val="000000"/>
        </w:rPr>
        <w:t>T</w:t>
      </w:r>
      <w:r>
        <w:rPr>
          <w:color w:val="000000"/>
        </w:rPr>
        <w:t>——预测计算的时间段，s；</w:t>
      </w:r>
    </w:p>
    <w:p w14:paraId="0ACC4F84">
      <w:pPr>
        <w:pStyle w:val="2184"/>
        <w:adjustRightInd w:val="0"/>
        <w:snapToGrid w:val="0"/>
        <w:spacing w:line="360" w:lineRule="auto"/>
        <w:rPr>
          <w:color w:val="000000"/>
        </w:rPr>
      </w:pPr>
      <w:r>
        <w:rPr>
          <w:i/>
          <w:color w:val="000000"/>
        </w:rPr>
        <w:t>t</w:t>
      </w:r>
      <w:r>
        <w:rPr>
          <w:i/>
          <w:color w:val="000000"/>
          <w:vertAlign w:val="subscript"/>
        </w:rPr>
        <w:t>i</w:t>
      </w:r>
      <w:r>
        <w:rPr>
          <w:color w:val="000000"/>
        </w:rPr>
        <w:t>——</w:t>
      </w:r>
      <w:r>
        <w:rPr>
          <w:i/>
          <w:color w:val="000000"/>
        </w:rPr>
        <w:t>i</w:t>
      </w:r>
      <w:r>
        <w:rPr>
          <w:color w:val="000000"/>
        </w:rPr>
        <w:t>声源在</w:t>
      </w:r>
      <w:r>
        <w:rPr>
          <w:i/>
          <w:color w:val="000000"/>
        </w:rPr>
        <w:t>T</w:t>
      </w:r>
      <w:r>
        <w:rPr>
          <w:color w:val="000000"/>
        </w:rPr>
        <w:t>时段内的运行时间，s。</w:t>
      </w:r>
    </w:p>
    <w:p w14:paraId="2EE67633">
      <w:pPr>
        <w:pStyle w:val="338"/>
        <w:adjustRightInd w:val="0"/>
        <w:snapToGrid w:val="0"/>
        <w:spacing w:after="0"/>
        <w:rPr>
          <w:color w:val="000000"/>
          <w:szCs w:val="24"/>
        </w:rPr>
      </w:pPr>
      <w:r>
        <w:rPr>
          <w:snapToGrid/>
          <w:color w:val="000000"/>
          <w:kern w:val="2"/>
          <w:szCs w:val="24"/>
        </w:rPr>
        <w:t>③噪声户外传播衰减的计算</w:t>
      </w:r>
    </w:p>
    <w:p w14:paraId="5D612DF9">
      <w:pPr>
        <w:pStyle w:val="43"/>
        <w:spacing w:after="0" w:line="500" w:lineRule="exact"/>
        <w:ind w:left="0" w:leftChars="0"/>
        <w:jc w:val="center"/>
        <w:rPr>
          <w:color w:val="000000"/>
          <w:szCs w:val="24"/>
        </w:rPr>
      </w:pPr>
      <w:r>
        <w:rPr>
          <w:color w:val="000000"/>
          <w:szCs w:val="24"/>
        </w:rPr>
        <w:t>L</w:t>
      </w:r>
      <w:r>
        <w:rPr>
          <w:color w:val="000000"/>
          <w:szCs w:val="24"/>
          <w:vertAlign w:val="subscript"/>
        </w:rPr>
        <w:t>A</w:t>
      </w:r>
      <w:r>
        <w:rPr>
          <w:color w:val="000000"/>
          <w:szCs w:val="24"/>
        </w:rPr>
        <w:t>I=L</w:t>
      </w:r>
      <w:r>
        <w:rPr>
          <w:color w:val="000000"/>
          <w:szCs w:val="24"/>
          <w:vertAlign w:val="subscript"/>
        </w:rPr>
        <w:t xml:space="preserve">A ref </w:t>
      </w:r>
      <w:r>
        <w:rPr>
          <w:color w:val="000000"/>
          <w:szCs w:val="24"/>
        </w:rPr>
        <w:t>(r</w:t>
      </w:r>
      <w:r>
        <w:rPr>
          <w:color w:val="000000"/>
          <w:szCs w:val="24"/>
          <w:vertAlign w:val="subscript"/>
        </w:rPr>
        <w:t>0</w:t>
      </w:r>
      <w:r>
        <w:rPr>
          <w:color w:val="000000"/>
          <w:szCs w:val="24"/>
        </w:rPr>
        <w:t>)-(A</w:t>
      </w:r>
      <w:r>
        <w:rPr>
          <w:color w:val="000000"/>
          <w:szCs w:val="24"/>
          <w:vertAlign w:val="subscript"/>
        </w:rPr>
        <w:t>div</w:t>
      </w:r>
      <w:r>
        <w:rPr>
          <w:color w:val="000000"/>
          <w:szCs w:val="24"/>
        </w:rPr>
        <w:t>+A</w:t>
      </w:r>
      <w:r>
        <w:rPr>
          <w:color w:val="000000"/>
          <w:szCs w:val="24"/>
          <w:vertAlign w:val="subscript"/>
        </w:rPr>
        <w:t>bar</w:t>
      </w:r>
      <w:r>
        <w:rPr>
          <w:color w:val="000000"/>
          <w:szCs w:val="24"/>
        </w:rPr>
        <w:t>+A</w:t>
      </w:r>
      <w:r>
        <w:rPr>
          <w:color w:val="000000"/>
          <w:szCs w:val="24"/>
          <w:vertAlign w:val="subscript"/>
        </w:rPr>
        <w:t>atm</w:t>
      </w:r>
      <w:r>
        <w:rPr>
          <w:color w:val="000000"/>
          <w:szCs w:val="24"/>
        </w:rPr>
        <w:t>+A</w:t>
      </w:r>
      <w:r>
        <w:rPr>
          <w:color w:val="000000"/>
          <w:szCs w:val="24"/>
          <w:vertAlign w:val="subscript"/>
        </w:rPr>
        <w:t>exe</w:t>
      </w:r>
      <w:r>
        <w:rPr>
          <w:color w:val="000000"/>
          <w:szCs w:val="24"/>
        </w:rPr>
        <w:t>)</w:t>
      </w:r>
    </w:p>
    <w:p w14:paraId="540AF951">
      <w:pPr>
        <w:pStyle w:val="43"/>
        <w:spacing w:after="0" w:line="500" w:lineRule="exact"/>
        <w:ind w:left="0" w:leftChars="0" w:firstLine="480" w:firstLineChars="200"/>
        <w:rPr>
          <w:color w:val="000000"/>
          <w:szCs w:val="24"/>
        </w:rPr>
      </w:pPr>
      <w:r>
        <w:rPr>
          <w:color w:val="000000"/>
          <w:szCs w:val="24"/>
        </w:rPr>
        <w:t>式中：L</w:t>
      </w:r>
      <w:r>
        <w:rPr>
          <w:color w:val="000000"/>
          <w:szCs w:val="24"/>
          <w:vertAlign w:val="subscript"/>
        </w:rPr>
        <w:t>A</w:t>
      </w:r>
      <w:r>
        <w:rPr>
          <w:color w:val="000000"/>
          <w:szCs w:val="24"/>
        </w:rPr>
        <w:t>I——距声源r处的A声级；</w:t>
      </w:r>
    </w:p>
    <w:p w14:paraId="47D0C281">
      <w:pPr>
        <w:pStyle w:val="43"/>
        <w:spacing w:after="0" w:line="500" w:lineRule="exact"/>
        <w:ind w:left="0" w:leftChars="0" w:firstLine="1200" w:firstLineChars="500"/>
        <w:rPr>
          <w:color w:val="000000"/>
          <w:szCs w:val="24"/>
        </w:rPr>
      </w:pPr>
      <w:r>
        <w:rPr>
          <w:color w:val="000000"/>
          <w:szCs w:val="24"/>
        </w:rPr>
        <w:t>L</w:t>
      </w:r>
      <w:r>
        <w:rPr>
          <w:color w:val="000000"/>
          <w:szCs w:val="24"/>
          <w:vertAlign w:val="subscript"/>
        </w:rPr>
        <w:t xml:space="preserve">A ref </w:t>
      </w:r>
      <w:r>
        <w:rPr>
          <w:color w:val="000000"/>
          <w:szCs w:val="24"/>
        </w:rPr>
        <w:t>(r</w:t>
      </w:r>
      <w:r>
        <w:rPr>
          <w:color w:val="000000"/>
          <w:szCs w:val="24"/>
          <w:vertAlign w:val="subscript"/>
        </w:rPr>
        <w:t>0</w:t>
      </w:r>
      <w:r>
        <w:rPr>
          <w:color w:val="000000"/>
          <w:szCs w:val="24"/>
        </w:rPr>
        <w:t>)——参考位置r</w:t>
      </w:r>
      <w:r>
        <w:rPr>
          <w:color w:val="000000"/>
          <w:szCs w:val="24"/>
          <w:vertAlign w:val="subscript"/>
        </w:rPr>
        <w:t>0</w:t>
      </w:r>
      <w:r>
        <w:rPr>
          <w:color w:val="000000"/>
          <w:szCs w:val="24"/>
        </w:rPr>
        <w:t>处的A声级；</w:t>
      </w:r>
    </w:p>
    <w:p w14:paraId="35715EE5">
      <w:pPr>
        <w:pStyle w:val="43"/>
        <w:spacing w:after="0" w:line="500" w:lineRule="exact"/>
        <w:ind w:left="0" w:leftChars="0" w:firstLine="1200" w:firstLineChars="500"/>
        <w:rPr>
          <w:color w:val="000000"/>
          <w:szCs w:val="24"/>
        </w:rPr>
      </w:pPr>
      <w:r>
        <w:rPr>
          <w:color w:val="000000"/>
          <w:szCs w:val="24"/>
        </w:rPr>
        <w:t>A</w:t>
      </w:r>
      <w:r>
        <w:rPr>
          <w:color w:val="000000"/>
          <w:szCs w:val="24"/>
          <w:vertAlign w:val="subscript"/>
        </w:rPr>
        <w:t>div</w:t>
      </w:r>
      <w:r>
        <w:rPr>
          <w:color w:val="000000"/>
          <w:szCs w:val="24"/>
        </w:rPr>
        <w:t>——声波几何发散引起的A声级衰减量；</w:t>
      </w:r>
    </w:p>
    <w:p w14:paraId="03BE4160">
      <w:pPr>
        <w:pStyle w:val="43"/>
        <w:spacing w:after="0" w:line="500" w:lineRule="exact"/>
        <w:ind w:left="0" w:leftChars="0" w:firstLine="1200" w:firstLineChars="500"/>
        <w:rPr>
          <w:color w:val="000000"/>
          <w:szCs w:val="24"/>
        </w:rPr>
      </w:pPr>
      <w:r>
        <w:rPr>
          <w:color w:val="000000"/>
          <w:szCs w:val="24"/>
        </w:rPr>
        <w:t>A</w:t>
      </w:r>
      <w:r>
        <w:rPr>
          <w:color w:val="000000"/>
          <w:szCs w:val="24"/>
          <w:vertAlign w:val="subscript"/>
        </w:rPr>
        <w:t>bar</w:t>
      </w:r>
      <w:r>
        <w:rPr>
          <w:color w:val="000000"/>
          <w:szCs w:val="24"/>
        </w:rPr>
        <w:t>——遮挡物引起的A声级衰减量；</w:t>
      </w:r>
    </w:p>
    <w:p w14:paraId="0A66BA86">
      <w:pPr>
        <w:pStyle w:val="43"/>
        <w:spacing w:after="0" w:line="500" w:lineRule="exact"/>
        <w:ind w:left="0" w:leftChars="0" w:firstLine="1200" w:firstLineChars="500"/>
        <w:rPr>
          <w:color w:val="000000"/>
          <w:szCs w:val="24"/>
        </w:rPr>
      </w:pPr>
      <w:r>
        <w:rPr>
          <w:color w:val="000000"/>
          <w:szCs w:val="24"/>
        </w:rPr>
        <w:t>A</w:t>
      </w:r>
      <w:r>
        <w:rPr>
          <w:color w:val="000000"/>
          <w:szCs w:val="24"/>
          <w:vertAlign w:val="subscript"/>
        </w:rPr>
        <w:t>atm</w:t>
      </w:r>
      <w:r>
        <w:rPr>
          <w:color w:val="000000"/>
          <w:szCs w:val="24"/>
        </w:rPr>
        <w:t>——空气吸收引起的A声级衰减量；</w:t>
      </w:r>
    </w:p>
    <w:p w14:paraId="2BCD9DF9">
      <w:pPr>
        <w:pStyle w:val="43"/>
        <w:spacing w:after="0" w:line="500" w:lineRule="exact"/>
        <w:ind w:left="0" w:leftChars="0" w:firstLine="1200" w:firstLineChars="500"/>
        <w:rPr>
          <w:color w:val="000000"/>
          <w:szCs w:val="24"/>
        </w:rPr>
      </w:pPr>
      <w:r>
        <w:rPr>
          <w:color w:val="000000"/>
          <w:szCs w:val="24"/>
        </w:rPr>
        <w:t>A</w:t>
      </w:r>
      <w:r>
        <w:rPr>
          <w:color w:val="000000"/>
          <w:szCs w:val="24"/>
          <w:vertAlign w:val="subscript"/>
        </w:rPr>
        <w:t>exe</w:t>
      </w:r>
      <w:r>
        <w:rPr>
          <w:color w:val="000000"/>
          <w:szCs w:val="24"/>
        </w:rPr>
        <w:t>——附加A声级衰减量。</w:t>
      </w:r>
    </w:p>
    <w:p w14:paraId="7413E958">
      <w:pPr>
        <w:ind w:firstLine="1080" w:firstLineChars="450"/>
        <w:rPr>
          <w:b/>
          <w:color w:val="000000"/>
          <w:szCs w:val="24"/>
        </w:rPr>
      </w:pPr>
      <w:bookmarkStart w:id="633" w:name="_Toc30315"/>
      <w:r>
        <w:rPr>
          <w:color w:val="000000"/>
          <w:szCs w:val="24"/>
        </w:rPr>
        <w:t>噪声叠加模式：</w:t>
      </w:r>
      <w:r>
        <w:rPr>
          <w:color w:val="000000"/>
          <w:position w:val="-30"/>
          <w:szCs w:val="24"/>
        </w:rPr>
        <w:object>
          <v:shape id="_x0000_i1030" o:spt="75" type="#_x0000_t75" style="height:38.25pt;width:123pt;" o:ole="t" fillcolor="#6D6D6D" filled="f" o:preferrelative="t" stroked="f" coordsize="21600,21600">
            <v:path/>
            <v:fill on="f" focussize="0,0"/>
            <v:stroke on="f" joinstyle="miter"/>
            <v:imagedata r:id="rId37" o:title=""/>
            <o:lock v:ext="edit" aspectratio="t"/>
            <w10:wrap type="none"/>
            <w10:anchorlock/>
          </v:shape>
          <o:OLEObject Type="Embed" ProgID="Equation.3" ShapeID="_x0000_i1030" DrawAspect="Content" ObjectID="_1468075731" r:id="rId36">
            <o:LockedField>false</o:LockedField>
          </o:OLEObject>
        </w:object>
      </w:r>
      <w:bookmarkEnd w:id="633"/>
    </w:p>
    <w:p w14:paraId="0B06A60A">
      <w:pPr>
        <w:pStyle w:val="43"/>
        <w:spacing w:after="0" w:line="500" w:lineRule="exact"/>
        <w:ind w:left="0" w:leftChars="0" w:firstLine="480" w:firstLineChars="200"/>
        <w:rPr>
          <w:color w:val="000000"/>
          <w:szCs w:val="24"/>
        </w:rPr>
      </w:pPr>
      <w:r>
        <w:rPr>
          <w:color w:val="000000"/>
          <w:szCs w:val="24"/>
        </w:rPr>
        <w:t>式中：Leq——共同作用在预测点的叠加声级；</w:t>
      </w:r>
    </w:p>
    <w:p w14:paraId="65D49936">
      <w:pPr>
        <w:pStyle w:val="43"/>
        <w:spacing w:after="0" w:line="500" w:lineRule="exact"/>
        <w:ind w:left="0" w:leftChars="0" w:firstLine="1200" w:firstLineChars="500"/>
        <w:rPr>
          <w:color w:val="000000"/>
          <w:szCs w:val="24"/>
        </w:rPr>
      </w:pPr>
      <w:r>
        <w:rPr>
          <w:color w:val="000000"/>
          <w:szCs w:val="24"/>
        </w:rPr>
        <w:t>L</w:t>
      </w:r>
      <w:r>
        <w:rPr>
          <w:color w:val="000000"/>
          <w:szCs w:val="24"/>
          <w:vertAlign w:val="subscript"/>
        </w:rPr>
        <w:t>pi</w:t>
      </w:r>
      <w:r>
        <w:rPr>
          <w:color w:val="000000"/>
          <w:szCs w:val="24"/>
          <w:vertAlign w:val="subscript"/>
        </w:rPr>
        <w:softHyphen/>
      </w:r>
      <w:r>
        <w:rPr>
          <w:color w:val="000000"/>
          <w:szCs w:val="24"/>
        </w:rPr>
        <w:t>——第i个声源在预测点产生的A声级；</w:t>
      </w:r>
    </w:p>
    <w:p w14:paraId="1A7E8098">
      <w:pPr>
        <w:spacing w:line="500" w:lineRule="exact"/>
        <w:ind w:firstLine="1200" w:firstLineChars="500"/>
        <w:rPr>
          <w:color w:val="000000"/>
          <w:szCs w:val="24"/>
        </w:rPr>
      </w:pPr>
      <w:r>
        <w:rPr>
          <w:color w:val="000000"/>
          <w:szCs w:val="24"/>
        </w:rPr>
        <w:t>N——点声源数。</w:t>
      </w:r>
    </w:p>
    <w:p w14:paraId="3A1F38E7">
      <w:pPr>
        <w:pStyle w:val="785"/>
        <w:rPr>
          <w:color w:val="000000"/>
          <w:szCs w:val="24"/>
        </w:rPr>
      </w:pPr>
      <w:r>
        <w:rPr>
          <w:color w:val="000000"/>
          <w:szCs w:val="24"/>
          <w:lang w:val="en-US"/>
        </w:rPr>
        <w:t>5</w:t>
      </w:r>
      <w:r>
        <w:rPr>
          <w:color w:val="000000"/>
          <w:szCs w:val="24"/>
        </w:rPr>
        <w:t>.2.3.</w:t>
      </w:r>
      <w:r>
        <w:rPr>
          <w:color w:val="000000"/>
          <w:szCs w:val="24"/>
          <w:lang w:val="en-US"/>
        </w:rPr>
        <w:t>3</w:t>
      </w:r>
      <w:r>
        <w:rPr>
          <w:color w:val="000000"/>
          <w:szCs w:val="24"/>
        </w:rPr>
        <w:t>预测结果与评价</w:t>
      </w:r>
    </w:p>
    <w:p w14:paraId="3610C3AE">
      <w:pPr>
        <w:ind w:firstLine="480"/>
        <w:rPr>
          <w:color w:val="000000"/>
          <w:szCs w:val="20"/>
        </w:rPr>
      </w:pPr>
      <w:r>
        <w:rPr>
          <w:color w:val="000000"/>
          <w:szCs w:val="20"/>
        </w:rPr>
        <w:t>本项目噪声预测值见表</w:t>
      </w:r>
      <w:r>
        <w:rPr>
          <w:color w:val="000000"/>
        </w:rPr>
        <w:t>5.2.3.3-1</w:t>
      </w:r>
      <w:r>
        <w:rPr>
          <w:color w:val="000000"/>
          <w:szCs w:val="20"/>
        </w:rPr>
        <w:t>、全厂噪声预测值见表</w:t>
      </w:r>
      <w:r>
        <w:rPr>
          <w:color w:val="000000"/>
        </w:rPr>
        <w:t>5.2.3.3-2</w:t>
      </w:r>
      <w:r>
        <w:rPr>
          <w:color w:val="000000"/>
          <w:szCs w:val="20"/>
        </w:rPr>
        <w:t>。</w:t>
      </w:r>
    </w:p>
    <w:p w14:paraId="4F0CA138">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5</w:t>
      </w:r>
      <w:r>
        <w:rPr>
          <w:rFonts w:ascii="Times New Roman" w:hAnsi="Times New Roman"/>
          <w:color w:val="000000"/>
        </w:rPr>
        <w:t>.2.3.</w:t>
      </w:r>
      <w:r>
        <w:rPr>
          <w:rFonts w:ascii="Times New Roman" w:hAnsi="Times New Roman"/>
          <w:color w:val="000000"/>
          <w:lang w:val="en-US"/>
        </w:rPr>
        <w:t>3</w:t>
      </w:r>
      <w:r>
        <w:rPr>
          <w:rFonts w:ascii="Times New Roman" w:hAnsi="Times New Roman"/>
          <w:color w:val="000000"/>
        </w:rPr>
        <w:t>-</w:t>
      </w:r>
      <w:r>
        <w:rPr>
          <w:rFonts w:ascii="Times New Roman" w:hAnsi="Times New Roman"/>
          <w:color w:val="000000"/>
          <w:lang w:val="en-US"/>
        </w:rPr>
        <w:t>1</w:t>
      </w:r>
      <w:r>
        <w:rPr>
          <w:rFonts w:ascii="Times New Roman" w:hAnsi="Times New Roman"/>
          <w:color w:val="000000"/>
        </w:rPr>
        <w:t xml:space="preserve">  </w:t>
      </w:r>
      <w:r>
        <w:rPr>
          <w:rFonts w:ascii="Times New Roman" w:hAnsi="Times New Roman"/>
          <w:color w:val="000000"/>
          <w:lang w:val="en-US"/>
        </w:rPr>
        <w:t>本项目</w:t>
      </w:r>
      <w:r>
        <w:rPr>
          <w:rFonts w:ascii="Times New Roman" w:hAnsi="Times New Roman"/>
          <w:color w:val="000000"/>
        </w:rPr>
        <w:t>声环境影响预测结果一览表  单位：</w:t>
      </w:r>
      <w:r>
        <w:rPr>
          <w:rFonts w:ascii="Times New Roman" w:hAnsi="Times New Roman"/>
          <w:bCs/>
          <w:color w:val="000000"/>
        </w:rPr>
        <w:t>dB（A）</w:t>
      </w:r>
    </w:p>
    <w:tbl>
      <w:tblPr>
        <w:tblStyle w:val="7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3477"/>
        <w:gridCol w:w="1924"/>
        <w:gridCol w:w="1994"/>
      </w:tblGrid>
      <w:tr w14:paraId="5F971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tcBorders>
              <w:top w:val="single" w:color="auto" w:sz="4" w:space="0"/>
              <w:left w:val="single" w:color="auto" w:sz="0" w:space="0"/>
              <w:tl2br w:val="nil"/>
              <w:tr2bl w:val="nil"/>
            </w:tcBorders>
            <w:vAlign w:val="center"/>
          </w:tcPr>
          <w:p w14:paraId="54BB3282">
            <w:pPr>
              <w:spacing w:line="240" w:lineRule="auto"/>
              <w:jc w:val="center"/>
              <w:rPr>
                <w:color w:val="000000"/>
                <w:sz w:val="21"/>
              </w:rPr>
            </w:pPr>
            <w:r>
              <w:rPr>
                <w:color w:val="000000"/>
                <w:sz w:val="21"/>
              </w:rPr>
              <w:t>序号</w:t>
            </w:r>
          </w:p>
        </w:tc>
        <w:tc>
          <w:tcPr>
            <w:tcW w:w="2042" w:type="pct"/>
            <w:tcBorders>
              <w:top w:val="single" w:color="auto" w:sz="4" w:space="0"/>
              <w:left w:val="single" w:color="auto" w:sz="0" w:space="0"/>
              <w:tl2br w:val="nil"/>
              <w:tr2bl w:val="nil"/>
            </w:tcBorders>
            <w:vAlign w:val="center"/>
          </w:tcPr>
          <w:p w14:paraId="199DA534">
            <w:pPr>
              <w:spacing w:line="240" w:lineRule="auto"/>
              <w:jc w:val="center"/>
              <w:rPr>
                <w:color w:val="000000"/>
                <w:sz w:val="21"/>
              </w:rPr>
            </w:pPr>
            <w:r>
              <w:rPr>
                <w:color w:val="000000"/>
                <w:sz w:val="21"/>
              </w:rPr>
              <w:t>厂界方位</w:t>
            </w:r>
          </w:p>
        </w:tc>
        <w:tc>
          <w:tcPr>
            <w:tcW w:w="1130" w:type="pct"/>
            <w:tcBorders>
              <w:top w:val="single" w:color="auto" w:sz="4" w:space="0"/>
              <w:tl2br w:val="nil"/>
              <w:tr2bl w:val="nil"/>
            </w:tcBorders>
            <w:vAlign w:val="center"/>
          </w:tcPr>
          <w:p w14:paraId="25B75A82">
            <w:pPr>
              <w:spacing w:line="240" w:lineRule="auto"/>
              <w:jc w:val="center"/>
              <w:rPr>
                <w:color w:val="000000"/>
                <w:sz w:val="21"/>
              </w:rPr>
            </w:pPr>
            <w:r>
              <w:rPr>
                <w:color w:val="000000"/>
                <w:sz w:val="21"/>
              </w:rPr>
              <w:t>贡献值</w:t>
            </w:r>
          </w:p>
        </w:tc>
        <w:tc>
          <w:tcPr>
            <w:tcW w:w="1171" w:type="pct"/>
            <w:tcBorders>
              <w:top w:val="single" w:color="auto" w:sz="4" w:space="0"/>
              <w:right w:val="single" w:color="auto" w:sz="4" w:space="0"/>
              <w:tl2br w:val="nil"/>
              <w:tr2bl w:val="nil"/>
            </w:tcBorders>
            <w:vAlign w:val="center"/>
          </w:tcPr>
          <w:p w14:paraId="721618BD">
            <w:pPr>
              <w:spacing w:line="240" w:lineRule="auto"/>
              <w:jc w:val="center"/>
              <w:rPr>
                <w:color w:val="000000"/>
                <w:sz w:val="21"/>
              </w:rPr>
            </w:pPr>
            <w:r>
              <w:rPr>
                <w:color w:val="000000"/>
                <w:sz w:val="21"/>
              </w:rPr>
              <w:t>标准值</w:t>
            </w:r>
          </w:p>
        </w:tc>
      </w:tr>
      <w:tr w14:paraId="30C98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tcBorders>
              <w:left w:val="single" w:color="auto" w:sz="4" w:space="0"/>
              <w:tl2br w:val="nil"/>
              <w:tr2bl w:val="nil"/>
            </w:tcBorders>
            <w:vAlign w:val="center"/>
          </w:tcPr>
          <w:p w14:paraId="1F21C8A5">
            <w:pPr>
              <w:tabs>
                <w:tab w:val="left" w:pos="420"/>
              </w:tabs>
              <w:spacing w:line="300" w:lineRule="exact"/>
              <w:jc w:val="center"/>
              <w:rPr>
                <w:color w:val="000000"/>
                <w:sz w:val="21"/>
              </w:rPr>
            </w:pPr>
            <w:r>
              <w:rPr>
                <w:color w:val="000000"/>
                <w:sz w:val="21"/>
              </w:rPr>
              <w:t>1</w:t>
            </w:r>
          </w:p>
        </w:tc>
        <w:tc>
          <w:tcPr>
            <w:tcW w:w="2042" w:type="pct"/>
            <w:tcBorders>
              <w:left w:val="single" w:color="auto" w:sz="4" w:space="0"/>
              <w:tl2br w:val="nil"/>
              <w:tr2bl w:val="nil"/>
            </w:tcBorders>
            <w:vAlign w:val="center"/>
          </w:tcPr>
          <w:p w14:paraId="68927BCF">
            <w:pPr>
              <w:autoSpaceDN w:val="0"/>
              <w:spacing w:line="240" w:lineRule="auto"/>
              <w:jc w:val="center"/>
              <w:textAlignment w:val="center"/>
              <w:rPr>
                <w:color w:val="000000"/>
                <w:sz w:val="21"/>
              </w:rPr>
            </w:pPr>
            <w:r>
              <w:rPr>
                <w:color w:val="000000"/>
                <w:sz w:val="21"/>
              </w:rPr>
              <w:t>西北厂界</w:t>
            </w:r>
          </w:p>
        </w:tc>
        <w:tc>
          <w:tcPr>
            <w:tcW w:w="1130" w:type="pct"/>
            <w:tcBorders>
              <w:tl2br w:val="nil"/>
              <w:tr2bl w:val="nil"/>
            </w:tcBorders>
            <w:vAlign w:val="center"/>
          </w:tcPr>
          <w:p w14:paraId="293170D9">
            <w:pPr>
              <w:autoSpaceDN w:val="0"/>
              <w:spacing w:line="240" w:lineRule="auto"/>
              <w:jc w:val="center"/>
              <w:textAlignment w:val="center"/>
              <w:rPr>
                <w:color w:val="000000"/>
                <w:sz w:val="21"/>
              </w:rPr>
            </w:pPr>
            <w:r>
              <w:rPr>
                <w:color w:val="000000"/>
                <w:sz w:val="21"/>
              </w:rPr>
              <w:t>48</w:t>
            </w:r>
          </w:p>
        </w:tc>
        <w:tc>
          <w:tcPr>
            <w:tcW w:w="1171" w:type="pct"/>
            <w:tcBorders>
              <w:right w:val="single" w:color="auto" w:sz="4" w:space="0"/>
              <w:tl2br w:val="nil"/>
              <w:tr2bl w:val="nil"/>
            </w:tcBorders>
            <w:vAlign w:val="center"/>
          </w:tcPr>
          <w:p w14:paraId="13D56369">
            <w:pPr>
              <w:spacing w:line="240" w:lineRule="auto"/>
              <w:jc w:val="center"/>
              <w:rPr>
                <w:color w:val="000000"/>
                <w:sz w:val="21"/>
              </w:rPr>
            </w:pPr>
            <w:r>
              <w:rPr>
                <w:color w:val="000000"/>
                <w:sz w:val="21"/>
              </w:rPr>
              <w:t>65</w:t>
            </w:r>
          </w:p>
        </w:tc>
      </w:tr>
      <w:tr w14:paraId="6880F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tcBorders>
              <w:left w:val="single" w:color="auto" w:sz="4" w:space="0"/>
              <w:tl2br w:val="nil"/>
              <w:tr2bl w:val="nil"/>
            </w:tcBorders>
            <w:vAlign w:val="center"/>
          </w:tcPr>
          <w:p w14:paraId="49753408">
            <w:pPr>
              <w:tabs>
                <w:tab w:val="left" w:pos="420"/>
              </w:tabs>
              <w:spacing w:line="300" w:lineRule="exact"/>
              <w:jc w:val="center"/>
              <w:rPr>
                <w:color w:val="000000"/>
                <w:sz w:val="21"/>
              </w:rPr>
            </w:pPr>
            <w:r>
              <w:rPr>
                <w:color w:val="000000"/>
                <w:sz w:val="21"/>
              </w:rPr>
              <w:t>2</w:t>
            </w:r>
          </w:p>
        </w:tc>
        <w:tc>
          <w:tcPr>
            <w:tcW w:w="2042" w:type="pct"/>
            <w:tcBorders>
              <w:left w:val="single" w:color="auto" w:sz="4" w:space="0"/>
              <w:tl2br w:val="nil"/>
              <w:tr2bl w:val="nil"/>
            </w:tcBorders>
            <w:vAlign w:val="center"/>
          </w:tcPr>
          <w:p w14:paraId="3774C74A">
            <w:pPr>
              <w:autoSpaceDN w:val="0"/>
              <w:spacing w:line="240" w:lineRule="auto"/>
              <w:jc w:val="center"/>
              <w:textAlignment w:val="center"/>
              <w:rPr>
                <w:color w:val="000000"/>
                <w:sz w:val="21"/>
              </w:rPr>
            </w:pPr>
            <w:r>
              <w:rPr>
                <w:color w:val="000000"/>
                <w:sz w:val="21"/>
              </w:rPr>
              <w:t>西南厂界</w:t>
            </w:r>
          </w:p>
        </w:tc>
        <w:tc>
          <w:tcPr>
            <w:tcW w:w="1130" w:type="pct"/>
            <w:tcBorders>
              <w:tl2br w:val="nil"/>
              <w:tr2bl w:val="nil"/>
            </w:tcBorders>
            <w:vAlign w:val="center"/>
          </w:tcPr>
          <w:p w14:paraId="3639283A">
            <w:pPr>
              <w:autoSpaceDN w:val="0"/>
              <w:spacing w:line="240" w:lineRule="auto"/>
              <w:jc w:val="center"/>
              <w:textAlignment w:val="center"/>
              <w:rPr>
                <w:color w:val="000000"/>
                <w:sz w:val="21"/>
              </w:rPr>
            </w:pPr>
            <w:r>
              <w:rPr>
                <w:color w:val="000000"/>
                <w:sz w:val="21"/>
              </w:rPr>
              <w:t>45</w:t>
            </w:r>
          </w:p>
        </w:tc>
        <w:tc>
          <w:tcPr>
            <w:tcW w:w="1171" w:type="pct"/>
            <w:tcBorders>
              <w:right w:val="single" w:color="auto" w:sz="4" w:space="0"/>
              <w:tl2br w:val="nil"/>
              <w:tr2bl w:val="nil"/>
            </w:tcBorders>
            <w:vAlign w:val="center"/>
          </w:tcPr>
          <w:p w14:paraId="238356FE">
            <w:pPr>
              <w:spacing w:line="240" w:lineRule="auto"/>
              <w:jc w:val="center"/>
              <w:rPr>
                <w:color w:val="000000"/>
                <w:sz w:val="21"/>
              </w:rPr>
            </w:pPr>
            <w:r>
              <w:rPr>
                <w:color w:val="000000"/>
                <w:sz w:val="21"/>
              </w:rPr>
              <w:t>65</w:t>
            </w:r>
          </w:p>
        </w:tc>
      </w:tr>
      <w:tr w14:paraId="1A64C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tcBorders>
              <w:left w:val="single" w:color="auto" w:sz="4" w:space="0"/>
              <w:tl2br w:val="nil"/>
              <w:tr2bl w:val="nil"/>
            </w:tcBorders>
            <w:vAlign w:val="center"/>
          </w:tcPr>
          <w:p w14:paraId="3EA5A183">
            <w:pPr>
              <w:tabs>
                <w:tab w:val="left" w:pos="420"/>
              </w:tabs>
              <w:spacing w:line="300" w:lineRule="exact"/>
              <w:jc w:val="center"/>
              <w:rPr>
                <w:color w:val="000000"/>
                <w:sz w:val="21"/>
              </w:rPr>
            </w:pPr>
            <w:r>
              <w:rPr>
                <w:color w:val="000000"/>
                <w:sz w:val="21"/>
              </w:rPr>
              <w:t>3</w:t>
            </w:r>
          </w:p>
        </w:tc>
        <w:tc>
          <w:tcPr>
            <w:tcW w:w="2042" w:type="pct"/>
            <w:tcBorders>
              <w:left w:val="single" w:color="auto" w:sz="4" w:space="0"/>
              <w:tl2br w:val="nil"/>
              <w:tr2bl w:val="nil"/>
            </w:tcBorders>
            <w:vAlign w:val="center"/>
          </w:tcPr>
          <w:p w14:paraId="0EA00498">
            <w:pPr>
              <w:autoSpaceDN w:val="0"/>
              <w:spacing w:line="240" w:lineRule="auto"/>
              <w:jc w:val="center"/>
              <w:textAlignment w:val="center"/>
              <w:rPr>
                <w:color w:val="000000"/>
                <w:sz w:val="21"/>
              </w:rPr>
            </w:pPr>
            <w:r>
              <w:rPr>
                <w:color w:val="000000"/>
                <w:sz w:val="21"/>
              </w:rPr>
              <w:t>东南厂界</w:t>
            </w:r>
          </w:p>
        </w:tc>
        <w:tc>
          <w:tcPr>
            <w:tcW w:w="1130" w:type="pct"/>
            <w:tcBorders>
              <w:tl2br w:val="nil"/>
              <w:tr2bl w:val="nil"/>
            </w:tcBorders>
            <w:vAlign w:val="center"/>
          </w:tcPr>
          <w:p w14:paraId="6C456C79">
            <w:pPr>
              <w:autoSpaceDN w:val="0"/>
              <w:spacing w:line="240" w:lineRule="auto"/>
              <w:jc w:val="center"/>
              <w:textAlignment w:val="center"/>
              <w:rPr>
                <w:color w:val="000000"/>
                <w:sz w:val="21"/>
              </w:rPr>
            </w:pPr>
            <w:r>
              <w:rPr>
                <w:color w:val="000000"/>
                <w:sz w:val="21"/>
              </w:rPr>
              <w:t>48</w:t>
            </w:r>
          </w:p>
        </w:tc>
        <w:tc>
          <w:tcPr>
            <w:tcW w:w="1171" w:type="pct"/>
            <w:tcBorders>
              <w:right w:val="single" w:color="auto" w:sz="4" w:space="0"/>
              <w:tl2br w:val="nil"/>
              <w:tr2bl w:val="nil"/>
            </w:tcBorders>
            <w:vAlign w:val="center"/>
          </w:tcPr>
          <w:p w14:paraId="3BB0F0BD">
            <w:pPr>
              <w:spacing w:line="240" w:lineRule="auto"/>
              <w:jc w:val="center"/>
              <w:rPr>
                <w:color w:val="000000"/>
                <w:sz w:val="21"/>
              </w:rPr>
            </w:pPr>
            <w:r>
              <w:rPr>
                <w:color w:val="000000"/>
                <w:sz w:val="21"/>
              </w:rPr>
              <w:t>65</w:t>
            </w:r>
          </w:p>
        </w:tc>
      </w:tr>
      <w:tr w14:paraId="7560E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7" w:type="dxa"/>
            <w:tcBorders>
              <w:left w:val="single" w:color="auto" w:sz="4" w:space="0"/>
              <w:bottom w:val="single" w:color="auto" w:sz="4" w:space="0"/>
              <w:tl2br w:val="nil"/>
              <w:tr2bl w:val="nil"/>
            </w:tcBorders>
            <w:vAlign w:val="center"/>
          </w:tcPr>
          <w:p w14:paraId="3884766D">
            <w:pPr>
              <w:tabs>
                <w:tab w:val="left" w:pos="420"/>
              </w:tabs>
              <w:spacing w:line="300" w:lineRule="exact"/>
              <w:jc w:val="center"/>
              <w:rPr>
                <w:color w:val="000000"/>
                <w:sz w:val="21"/>
              </w:rPr>
            </w:pPr>
            <w:r>
              <w:rPr>
                <w:color w:val="000000"/>
                <w:sz w:val="21"/>
              </w:rPr>
              <w:t>4</w:t>
            </w:r>
          </w:p>
        </w:tc>
        <w:tc>
          <w:tcPr>
            <w:tcW w:w="2042" w:type="pct"/>
            <w:tcBorders>
              <w:left w:val="single" w:color="auto" w:sz="4" w:space="0"/>
              <w:bottom w:val="single" w:color="auto" w:sz="4" w:space="0"/>
              <w:tl2br w:val="nil"/>
              <w:tr2bl w:val="nil"/>
            </w:tcBorders>
            <w:vAlign w:val="center"/>
          </w:tcPr>
          <w:p w14:paraId="0CA2E952">
            <w:pPr>
              <w:autoSpaceDN w:val="0"/>
              <w:spacing w:line="240" w:lineRule="auto"/>
              <w:jc w:val="center"/>
              <w:textAlignment w:val="center"/>
              <w:rPr>
                <w:color w:val="000000"/>
                <w:sz w:val="21"/>
              </w:rPr>
            </w:pPr>
            <w:r>
              <w:rPr>
                <w:color w:val="000000"/>
                <w:sz w:val="21"/>
              </w:rPr>
              <w:t>东北厂界</w:t>
            </w:r>
          </w:p>
        </w:tc>
        <w:tc>
          <w:tcPr>
            <w:tcW w:w="1130" w:type="pct"/>
            <w:tcBorders>
              <w:bottom w:val="single" w:color="auto" w:sz="4" w:space="0"/>
              <w:tl2br w:val="nil"/>
              <w:tr2bl w:val="nil"/>
            </w:tcBorders>
            <w:vAlign w:val="center"/>
          </w:tcPr>
          <w:p w14:paraId="789C9353">
            <w:pPr>
              <w:autoSpaceDN w:val="0"/>
              <w:spacing w:line="240" w:lineRule="auto"/>
              <w:jc w:val="center"/>
              <w:textAlignment w:val="center"/>
              <w:rPr>
                <w:color w:val="000000"/>
                <w:sz w:val="21"/>
              </w:rPr>
            </w:pPr>
            <w:r>
              <w:rPr>
                <w:color w:val="000000"/>
                <w:sz w:val="21"/>
              </w:rPr>
              <w:t>53</w:t>
            </w:r>
          </w:p>
        </w:tc>
        <w:tc>
          <w:tcPr>
            <w:tcW w:w="1171" w:type="pct"/>
            <w:tcBorders>
              <w:bottom w:val="single" w:color="auto" w:sz="4" w:space="0"/>
              <w:right w:val="single" w:color="auto" w:sz="4" w:space="0"/>
              <w:tl2br w:val="nil"/>
              <w:tr2bl w:val="nil"/>
            </w:tcBorders>
            <w:vAlign w:val="center"/>
          </w:tcPr>
          <w:p w14:paraId="069A3EB9">
            <w:pPr>
              <w:spacing w:line="240" w:lineRule="auto"/>
              <w:jc w:val="center"/>
              <w:rPr>
                <w:color w:val="000000"/>
                <w:sz w:val="21"/>
              </w:rPr>
            </w:pPr>
            <w:r>
              <w:rPr>
                <w:color w:val="000000"/>
                <w:sz w:val="21"/>
              </w:rPr>
              <w:t>65</w:t>
            </w:r>
          </w:p>
        </w:tc>
      </w:tr>
    </w:tbl>
    <w:p w14:paraId="181E7456">
      <w:pPr>
        <w:pStyle w:val="68"/>
        <w:widowControl w:val="0"/>
        <w:spacing w:before="0" w:beforeAutospacing="0" w:after="0" w:afterAutospacing="0"/>
        <w:jc w:val="center"/>
        <w:rPr>
          <w:rFonts w:ascii="Times New Roman" w:hAnsi="Times New Roman"/>
          <w:b/>
          <w:bCs/>
          <w:color w:val="000000"/>
          <w:sz w:val="21"/>
          <w:szCs w:val="21"/>
        </w:rPr>
      </w:pPr>
      <w:r>
        <w:rPr>
          <w:rFonts w:ascii="Times New Roman" w:hAnsi="Times New Roman"/>
          <w:color w:val="000000"/>
          <w:kern w:val="2"/>
          <w:sz w:val="21"/>
          <w:szCs w:val="21"/>
        </w:rPr>
        <w:t>表5</w:t>
      </w:r>
      <w:r>
        <w:rPr>
          <w:rFonts w:ascii="Times New Roman" w:hAnsi="Times New Roman"/>
          <w:color w:val="000000"/>
          <w:kern w:val="2"/>
          <w:sz w:val="21"/>
          <w:szCs w:val="21"/>
          <w:lang w:val="zh-CN"/>
        </w:rPr>
        <w:t>.2.3.</w:t>
      </w:r>
      <w:r>
        <w:rPr>
          <w:rFonts w:ascii="Times New Roman" w:hAnsi="Times New Roman"/>
          <w:color w:val="000000"/>
          <w:kern w:val="2"/>
          <w:sz w:val="21"/>
          <w:szCs w:val="21"/>
        </w:rPr>
        <w:t>3-2</w:t>
      </w:r>
      <w:r>
        <w:rPr>
          <w:rFonts w:ascii="Times New Roman" w:hAnsi="Times New Roman"/>
          <w:color w:val="000000"/>
          <w:kern w:val="2"/>
          <w:sz w:val="21"/>
          <w:szCs w:val="21"/>
          <w:lang w:val="zh-CN"/>
        </w:rPr>
        <w:t xml:space="preserve"> </w:t>
      </w:r>
      <w:r>
        <w:rPr>
          <w:rFonts w:ascii="Times New Roman" w:hAnsi="Times New Roman"/>
          <w:color w:val="000000"/>
          <w:kern w:val="2"/>
          <w:sz w:val="21"/>
          <w:szCs w:val="21"/>
        </w:rPr>
        <w:t xml:space="preserve"> 本项目建成后全厂噪声源预测结果 </w:t>
      </w:r>
      <w:r>
        <w:rPr>
          <w:rFonts w:ascii="Times New Roman" w:hAnsi="Times New Roman"/>
          <w:color w:val="000000"/>
          <w:sz w:val="21"/>
          <w:szCs w:val="21"/>
        </w:rPr>
        <w:t>单位：dB（A）</w:t>
      </w:r>
    </w:p>
    <w:tbl>
      <w:tblPr>
        <w:tblStyle w:val="73"/>
        <w:tblW w:w="510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980"/>
        <w:gridCol w:w="584"/>
        <w:gridCol w:w="758"/>
        <w:gridCol w:w="791"/>
        <w:gridCol w:w="786"/>
        <w:gridCol w:w="536"/>
        <w:gridCol w:w="535"/>
        <w:gridCol w:w="535"/>
        <w:gridCol w:w="535"/>
        <w:gridCol w:w="974"/>
        <w:gridCol w:w="970"/>
      </w:tblGrid>
      <w:tr w14:paraId="6C9AC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323" w:type="pct"/>
            <w:vMerge w:val="restart"/>
            <w:tcBorders>
              <w:top w:val="single" w:color="auto" w:sz="4" w:space="0"/>
              <w:left w:val="single" w:color="auto" w:sz="0" w:space="0"/>
              <w:tl2br w:val="nil"/>
              <w:tr2bl w:val="nil"/>
            </w:tcBorders>
            <w:tcMar>
              <w:top w:w="28" w:type="dxa"/>
              <w:left w:w="28" w:type="dxa"/>
              <w:bottom w:w="28" w:type="dxa"/>
              <w:right w:w="28" w:type="dxa"/>
            </w:tcMar>
            <w:vAlign w:val="center"/>
          </w:tcPr>
          <w:p w14:paraId="1A4BF8DB">
            <w:pPr>
              <w:tabs>
                <w:tab w:val="left" w:pos="420"/>
              </w:tabs>
              <w:spacing w:line="300" w:lineRule="exact"/>
              <w:jc w:val="center"/>
              <w:rPr>
                <w:color w:val="000000"/>
                <w:sz w:val="21"/>
              </w:rPr>
            </w:pPr>
            <w:r>
              <w:rPr>
                <w:color w:val="000000"/>
                <w:sz w:val="21"/>
              </w:rPr>
              <w:t>序号</w:t>
            </w:r>
          </w:p>
        </w:tc>
        <w:tc>
          <w:tcPr>
            <w:tcW w:w="574" w:type="pct"/>
            <w:vMerge w:val="restart"/>
            <w:tcBorders>
              <w:top w:val="single" w:color="auto" w:sz="4" w:space="0"/>
              <w:tl2br w:val="nil"/>
              <w:tr2bl w:val="nil"/>
            </w:tcBorders>
            <w:tcMar>
              <w:top w:w="28" w:type="dxa"/>
              <w:left w:w="28" w:type="dxa"/>
              <w:bottom w:w="28" w:type="dxa"/>
              <w:right w:w="28" w:type="dxa"/>
            </w:tcMar>
            <w:vAlign w:val="center"/>
          </w:tcPr>
          <w:p w14:paraId="4150E753">
            <w:pPr>
              <w:tabs>
                <w:tab w:val="left" w:pos="420"/>
              </w:tabs>
              <w:spacing w:line="300" w:lineRule="exact"/>
              <w:jc w:val="center"/>
              <w:rPr>
                <w:color w:val="000000"/>
                <w:sz w:val="21"/>
              </w:rPr>
            </w:pPr>
            <w:r>
              <w:rPr>
                <w:color w:val="000000"/>
                <w:sz w:val="21"/>
              </w:rPr>
              <w:t>预测点</w:t>
            </w:r>
          </w:p>
        </w:tc>
        <w:tc>
          <w:tcPr>
            <w:tcW w:w="342" w:type="pct"/>
            <w:vMerge w:val="restart"/>
            <w:tcBorders>
              <w:top w:val="single" w:color="auto" w:sz="4" w:space="0"/>
              <w:tl2br w:val="nil"/>
              <w:tr2bl w:val="nil"/>
            </w:tcBorders>
            <w:tcMar>
              <w:top w:w="28" w:type="dxa"/>
              <w:left w:w="28" w:type="dxa"/>
              <w:bottom w:w="28" w:type="dxa"/>
              <w:right w:w="28" w:type="dxa"/>
            </w:tcMar>
            <w:vAlign w:val="center"/>
          </w:tcPr>
          <w:p w14:paraId="04725A73">
            <w:pPr>
              <w:tabs>
                <w:tab w:val="left" w:pos="420"/>
              </w:tabs>
              <w:spacing w:line="300" w:lineRule="exact"/>
              <w:jc w:val="center"/>
              <w:rPr>
                <w:color w:val="000000"/>
                <w:sz w:val="21"/>
              </w:rPr>
            </w:pPr>
            <w:r>
              <w:rPr>
                <w:color w:val="000000"/>
                <w:sz w:val="21"/>
              </w:rPr>
              <w:t>背景值</w:t>
            </w:r>
          </w:p>
        </w:tc>
        <w:tc>
          <w:tcPr>
            <w:tcW w:w="907" w:type="pct"/>
            <w:gridSpan w:val="2"/>
            <w:tcBorders>
              <w:top w:val="single" w:color="auto" w:sz="4" w:space="0"/>
              <w:tl2br w:val="nil"/>
              <w:tr2bl w:val="nil"/>
            </w:tcBorders>
            <w:tcMar>
              <w:top w:w="28" w:type="dxa"/>
              <w:left w:w="28" w:type="dxa"/>
              <w:bottom w:w="28" w:type="dxa"/>
              <w:right w:w="28" w:type="dxa"/>
            </w:tcMar>
            <w:vAlign w:val="center"/>
          </w:tcPr>
          <w:p w14:paraId="1E63AB87">
            <w:pPr>
              <w:tabs>
                <w:tab w:val="left" w:pos="420"/>
              </w:tabs>
              <w:spacing w:line="300" w:lineRule="exact"/>
              <w:jc w:val="center"/>
              <w:rPr>
                <w:color w:val="000000"/>
                <w:sz w:val="21"/>
              </w:rPr>
            </w:pPr>
            <w:r>
              <w:rPr>
                <w:color w:val="000000"/>
                <w:sz w:val="21"/>
              </w:rPr>
              <w:t>拟建项目</w:t>
            </w:r>
          </w:p>
          <w:p w14:paraId="1846A964">
            <w:pPr>
              <w:tabs>
                <w:tab w:val="left" w:pos="420"/>
              </w:tabs>
              <w:spacing w:line="300" w:lineRule="exact"/>
              <w:jc w:val="center"/>
              <w:rPr>
                <w:color w:val="000000"/>
                <w:sz w:val="21"/>
              </w:rPr>
            </w:pPr>
            <w:r>
              <w:rPr>
                <w:color w:val="000000"/>
                <w:sz w:val="21"/>
              </w:rPr>
              <w:t>预测值</w:t>
            </w:r>
          </w:p>
        </w:tc>
        <w:tc>
          <w:tcPr>
            <w:tcW w:w="774" w:type="pct"/>
            <w:gridSpan w:val="2"/>
            <w:tcBorders>
              <w:top w:val="single" w:color="auto" w:sz="4" w:space="0"/>
              <w:tl2br w:val="nil"/>
              <w:tr2bl w:val="nil"/>
            </w:tcBorders>
            <w:tcMar>
              <w:top w:w="28" w:type="dxa"/>
              <w:left w:w="28" w:type="dxa"/>
              <w:bottom w:w="28" w:type="dxa"/>
              <w:right w:w="28" w:type="dxa"/>
            </w:tcMar>
            <w:vAlign w:val="center"/>
          </w:tcPr>
          <w:p w14:paraId="2C5F821B">
            <w:pPr>
              <w:tabs>
                <w:tab w:val="left" w:pos="420"/>
              </w:tabs>
              <w:spacing w:line="300" w:lineRule="exact"/>
              <w:jc w:val="center"/>
              <w:rPr>
                <w:color w:val="000000"/>
                <w:sz w:val="21"/>
              </w:rPr>
            </w:pPr>
            <w:r>
              <w:rPr>
                <w:color w:val="000000"/>
                <w:sz w:val="21"/>
              </w:rPr>
              <w:t>现有工程</w:t>
            </w:r>
          </w:p>
          <w:p w14:paraId="0B5CED7C">
            <w:pPr>
              <w:tabs>
                <w:tab w:val="left" w:pos="420"/>
              </w:tabs>
              <w:spacing w:line="300" w:lineRule="exact"/>
              <w:jc w:val="center"/>
              <w:rPr>
                <w:color w:val="000000"/>
                <w:sz w:val="21"/>
              </w:rPr>
            </w:pPr>
            <w:r>
              <w:rPr>
                <w:color w:val="000000"/>
                <w:sz w:val="21"/>
              </w:rPr>
              <w:t>预测值</w:t>
            </w:r>
          </w:p>
        </w:tc>
        <w:tc>
          <w:tcPr>
            <w:tcW w:w="626" w:type="pct"/>
            <w:gridSpan w:val="2"/>
            <w:tcBorders>
              <w:top w:val="single" w:color="auto" w:sz="4" w:space="0"/>
              <w:tl2br w:val="nil"/>
              <w:tr2bl w:val="nil"/>
            </w:tcBorders>
            <w:tcMar>
              <w:top w:w="28" w:type="dxa"/>
              <w:left w:w="28" w:type="dxa"/>
              <w:bottom w:w="28" w:type="dxa"/>
              <w:right w:w="28" w:type="dxa"/>
            </w:tcMar>
            <w:vAlign w:val="center"/>
          </w:tcPr>
          <w:p w14:paraId="5C4ABF2C">
            <w:pPr>
              <w:tabs>
                <w:tab w:val="left" w:pos="420"/>
              </w:tabs>
              <w:spacing w:line="300" w:lineRule="exact"/>
              <w:jc w:val="center"/>
              <w:rPr>
                <w:color w:val="000000"/>
                <w:sz w:val="21"/>
              </w:rPr>
            </w:pPr>
            <w:r>
              <w:rPr>
                <w:color w:val="000000"/>
                <w:sz w:val="21"/>
              </w:rPr>
              <w:t>全厂预测值</w:t>
            </w:r>
          </w:p>
        </w:tc>
        <w:tc>
          <w:tcPr>
            <w:tcW w:w="883" w:type="pct"/>
            <w:gridSpan w:val="2"/>
            <w:tcBorders>
              <w:top w:val="single" w:color="auto" w:sz="4" w:space="0"/>
              <w:tl2br w:val="nil"/>
              <w:tr2bl w:val="nil"/>
            </w:tcBorders>
            <w:tcMar>
              <w:top w:w="28" w:type="dxa"/>
              <w:left w:w="28" w:type="dxa"/>
              <w:bottom w:w="28" w:type="dxa"/>
              <w:right w:w="28" w:type="dxa"/>
            </w:tcMar>
            <w:vAlign w:val="center"/>
          </w:tcPr>
          <w:p w14:paraId="44E462D6">
            <w:pPr>
              <w:tabs>
                <w:tab w:val="left" w:pos="420"/>
              </w:tabs>
              <w:spacing w:line="300" w:lineRule="exact"/>
              <w:jc w:val="center"/>
              <w:rPr>
                <w:color w:val="000000"/>
                <w:sz w:val="21"/>
              </w:rPr>
            </w:pPr>
            <w:r>
              <w:rPr>
                <w:color w:val="000000"/>
                <w:sz w:val="21"/>
              </w:rPr>
              <w:t>标准值</w:t>
            </w:r>
          </w:p>
        </w:tc>
        <w:tc>
          <w:tcPr>
            <w:tcW w:w="568" w:type="pct"/>
            <w:vMerge w:val="restart"/>
            <w:tcBorders>
              <w:top w:val="single" w:color="auto" w:sz="4" w:space="0"/>
              <w:right w:val="single" w:color="auto" w:sz="4" w:space="0"/>
              <w:tl2br w:val="nil"/>
              <w:tr2bl w:val="nil"/>
            </w:tcBorders>
            <w:tcMar>
              <w:top w:w="28" w:type="dxa"/>
              <w:left w:w="28" w:type="dxa"/>
              <w:bottom w:w="28" w:type="dxa"/>
              <w:right w:w="28" w:type="dxa"/>
            </w:tcMar>
            <w:vAlign w:val="center"/>
          </w:tcPr>
          <w:p w14:paraId="3FEF92D0">
            <w:pPr>
              <w:tabs>
                <w:tab w:val="left" w:pos="420"/>
              </w:tabs>
              <w:spacing w:line="300" w:lineRule="exact"/>
              <w:jc w:val="center"/>
              <w:rPr>
                <w:color w:val="000000"/>
                <w:sz w:val="21"/>
              </w:rPr>
            </w:pPr>
            <w:r>
              <w:rPr>
                <w:color w:val="000000"/>
                <w:sz w:val="21"/>
              </w:rPr>
              <w:t>达标情况</w:t>
            </w:r>
          </w:p>
        </w:tc>
      </w:tr>
      <w:tr w14:paraId="00180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23" w:type="pct"/>
            <w:vMerge w:val="continue"/>
            <w:tcBorders>
              <w:left w:val="single" w:color="auto" w:sz="4" w:space="0"/>
              <w:tl2br w:val="nil"/>
              <w:tr2bl w:val="nil"/>
            </w:tcBorders>
            <w:tcMar>
              <w:top w:w="28" w:type="dxa"/>
              <w:left w:w="28" w:type="dxa"/>
              <w:bottom w:w="28" w:type="dxa"/>
              <w:right w:w="28" w:type="dxa"/>
            </w:tcMar>
            <w:vAlign w:val="center"/>
          </w:tcPr>
          <w:p w14:paraId="6D342A95">
            <w:pPr>
              <w:tabs>
                <w:tab w:val="left" w:pos="420"/>
              </w:tabs>
              <w:spacing w:line="300" w:lineRule="exact"/>
              <w:jc w:val="center"/>
              <w:rPr>
                <w:color w:val="000000"/>
                <w:sz w:val="21"/>
              </w:rPr>
            </w:pPr>
          </w:p>
        </w:tc>
        <w:tc>
          <w:tcPr>
            <w:tcW w:w="574" w:type="pct"/>
            <w:vMerge w:val="continue"/>
            <w:tcBorders>
              <w:tl2br w:val="nil"/>
              <w:tr2bl w:val="nil"/>
            </w:tcBorders>
            <w:tcMar>
              <w:top w:w="28" w:type="dxa"/>
              <w:left w:w="28" w:type="dxa"/>
              <w:bottom w:w="28" w:type="dxa"/>
              <w:right w:w="28" w:type="dxa"/>
            </w:tcMar>
            <w:vAlign w:val="center"/>
          </w:tcPr>
          <w:p w14:paraId="12D3DC55">
            <w:pPr>
              <w:tabs>
                <w:tab w:val="left" w:pos="420"/>
              </w:tabs>
              <w:spacing w:line="300" w:lineRule="exact"/>
              <w:jc w:val="center"/>
              <w:rPr>
                <w:color w:val="000000"/>
                <w:sz w:val="21"/>
              </w:rPr>
            </w:pPr>
          </w:p>
        </w:tc>
        <w:tc>
          <w:tcPr>
            <w:tcW w:w="342" w:type="pct"/>
            <w:vMerge w:val="continue"/>
            <w:tcBorders>
              <w:tl2br w:val="nil"/>
              <w:tr2bl w:val="nil"/>
            </w:tcBorders>
            <w:tcMar>
              <w:top w:w="28" w:type="dxa"/>
              <w:left w:w="28" w:type="dxa"/>
              <w:bottom w:w="28" w:type="dxa"/>
              <w:right w:w="28" w:type="dxa"/>
            </w:tcMar>
            <w:vAlign w:val="center"/>
          </w:tcPr>
          <w:p w14:paraId="6597DB2D">
            <w:pPr>
              <w:tabs>
                <w:tab w:val="left" w:pos="420"/>
              </w:tabs>
              <w:spacing w:line="300" w:lineRule="exact"/>
              <w:jc w:val="center"/>
              <w:rPr>
                <w:color w:val="000000"/>
                <w:sz w:val="21"/>
              </w:rPr>
            </w:pPr>
          </w:p>
        </w:tc>
        <w:tc>
          <w:tcPr>
            <w:tcW w:w="444" w:type="pct"/>
            <w:tcBorders>
              <w:tl2br w:val="nil"/>
              <w:tr2bl w:val="nil"/>
            </w:tcBorders>
            <w:tcMar>
              <w:top w:w="28" w:type="dxa"/>
              <w:left w:w="28" w:type="dxa"/>
              <w:bottom w:w="28" w:type="dxa"/>
              <w:right w:w="28" w:type="dxa"/>
            </w:tcMar>
            <w:vAlign w:val="center"/>
          </w:tcPr>
          <w:p w14:paraId="51C918E0">
            <w:pPr>
              <w:tabs>
                <w:tab w:val="left" w:pos="420"/>
              </w:tabs>
              <w:spacing w:line="300" w:lineRule="exact"/>
              <w:jc w:val="center"/>
              <w:rPr>
                <w:color w:val="000000"/>
                <w:sz w:val="21"/>
              </w:rPr>
            </w:pPr>
            <w:r>
              <w:rPr>
                <w:color w:val="000000"/>
                <w:sz w:val="21"/>
              </w:rPr>
              <w:t>昼间</w:t>
            </w:r>
          </w:p>
        </w:tc>
        <w:tc>
          <w:tcPr>
            <w:tcW w:w="462" w:type="pct"/>
            <w:tcBorders>
              <w:tl2br w:val="nil"/>
              <w:tr2bl w:val="nil"/>
            </w:tcBorders>
            <w:tcMar>
              <w:top w:w="28" w:type="dxa"/>
              <w:left w:w="28" w:type="dxa"/>
              <w:bottom w:w="28" w:type="dxa"/>
              <w:right w:w="28" w:type="dxa"/>
            </w:tcMar>
            <w:vAlign w:val="center"/>
          </w:tcPr>
          <w:p w14:paraId="041AA433">
            <w:pPr>
              <w:tabs>
                <w:tab w:val="left" w:pos="420"/>
              </w:tabs>
              <w:spacing w:line="300" w:lineRule="exact"/>
              <w:jc w:val="center"/>
              <w:rPr>
                <w:color w:val="000000"/>
                <w:sz w:val="21"/>
              </w:rPr>
            </w:pPr>
            <w:r>
              <w:rPr>
                <w:color w:val="000000"/>
                <w:sz w:val="21"/>
              </w:rPr>
              <w:t>夜间</w:t>
            </w:r>
          </w:p>
        </w:tc>
        <w:tc>
          <w:tcPr>
            <w:tcW w:w="460" w:type="pct"/>
            <w:tcBorders>
              <w:tl2br w:val="nil"/>
              <w:tr2bl w:val="nil"/>
            </w:tcBorders>
            <w:tcMar>
              <w:top w:w="28" w:type="dxa"/>
              <w:left w:w="28" w:type="dxa"/>
              <w:bottom w:w="28" w:type="dxa"/>
              <w:right w:w="28" w:type="dxa"/>
            </w:tcMar>
            <w:vAlign w:val="center"/>
          </w:tcPr>
          <w:p w14:paraId="52BDF571">
            <w:pPr>
              <w:tabs>
                <w:tab w:val="left" w:pos="420"/>
              </w:tabs>
              <w:spacing w:line="300" w:lineRule="exact"/>
              <w:jc w:val="center"/>
              <w:rPr>
                <w:color w:val="000000"/>
                <w:sz w:val="21"/>
              </w:rPr>
            </w:pPr>
            <w:r>
              <w:rPr>
                <w:color w:val="000000"/>
                <w:sz w:val="21"/>
              </w:rPr>
              <w:t>昼间</w:t>
            </w:r>
          </w:p>
        </w:tc>
        <w:tc>
          <w:tcPr>
            <w:tcW w:w="314" w:type="pct"/>
            <w:tcBorders>
              <w:tl2br w:val="nil"/>
              <w:tr2bl w:val="nil"/>
            </w:tcBorders>
            <w:tcMar>
              <w:top w:w="28" w:type="dxa"/>
              <w:left w:w="28" w:type="dxa"/>
              <w:bottom w:w="28" w:type="dxa"/>
              <w:right w:w="28" w:type="dxa"/>
            </w:tcMar>
            <w:vAlign w:val="center"/>
          </w:tcPr>
          <w:p w14:paraId="2A53C6C9">
            <w:pPr>
              <w:tabs>
                <w:tab w:val="left" w:pos="420"/>
              </w:tabs>
              <w:spacing w:line="300" w:lineRule="exact"/>
              <w:jc w:val="center"/>
              <w:rPr>
                <w:color w:val="000000"/>
                <w:sz w:val="21"/>
              </w:rPr>
            </w:pPr>
            <w:r>
              <w:rPr>
                <w:color w:val="000000"/>
                <w:sz w:val="21"/>
              </w:rPr>
              <w:t>夜间</w:t>
            </w:r>
          </w:p>
        </w:tc>
        <w:tc>
          <w:tcPr>
            <w:tcW w:w="313" w:type="pct"/>
            <w:tcBorders>
              <w:tl2br w:val="nil"/>
              <w:tr2bl w:val="nil"/>
            </w:tcBorders>
            <w:tcMar>
              <w:top w:w="28" w:type="dxa"/>
              <w:left w:w="28" w:type="dxa"/>
              <w:bottom w:w="28" w:type="dxa"/>
              <w:right w:w="28" w:type="dxa"/>
            </w:tcMar>
            <w:vAlign w:val="center"/>
          </w:tcPr>
          <w:p w14:paraId="4F366873">
            <w:pPr>
              <w:tabs>
                <w:tab w:val="left" w:pos="420"/>
              </w:tabs>
              <w:spacing w:line="300" w:lineRule="exact"/>
              <w:jc w:val="center"/>
              <w:rPr>
                <w:color w:val="000000"/>
                <w:sz w:val="21"/>
              </w:rPr>
            </w:pPr>
            <w:r>
              <w:rPr>
                <w:color w:val="000000"/>
                <w:sz w:val="21"/>
              </w:rPr>
              <w:t>昼间</w:t>
            </w:r>
          </w:p>
        </w:tc>
        <w:tc>
          <w:tcPr>
            <w:tcW w:w="313" w:type="pct"/>
            <w:tcBorders>
              <w:tl2br w:val="nil"/>
              <w:tr2bl w:val="nil"/>
            </w:tcBorders>
            <w:tcMar>
              <w:top w:w="28" w:type="dxa"/>
              <w:left w:w="28" w:type="dxa"/>
              <w:bottom w:w="28" w:type="dxa"/>
              <w:right w:w="28" w:type="dxa"/>
            </w:tcMar>
            <w:vAlign w:val="center"/>
          </w:tcPr>
          <w:p w14:paraId="2D4B3281">
            <w:pPr>
              <w:tabs>
                <w:tab w:val="left" w:pos="420"/>
              </w:tabs>
              <w:spacing w:line="300" w:lineRule="exact"/>
              <w:jc w:val="center"/>
              <w:rPr>
                <w:color w:val="000000"/>
                <w:sz w:val="21"/>
              </w:rPr>
            </w:pPr>
            <w:r>
              <w:rPr>
                <w:color w:val="000000"/>
                <w:sz w:val="21"/>
              </w:rPr>
              <w:t>夜间</w:t>
            </w:r>
          </w:p>
        </w:tc>
        <w:tc>
          <w:tcPr>
            <w:tcW w:w="313" w:type="pct"/>
            <w:tcBorders>
              <w:tl2br w:val="nil"/>
              <w:tr2bl w:val="nil"/>
            </w:tcBorders>
            <w:tcMar>
              <w:top w:w="28" w:type="dxa"/>
              <w:left w:w="28" w:type="dxa"/>
              <w:bottom w:w="28" w:type="dxa"/>
              <w:right w:w="28" w:type="dxa"/>
            </w:tcMar>
            <w:vAlign w:val="center"/>
          </w:tcPr>
          <w:p w14:paraId="44B9A62A">
            <w:pPr>
              <w:tabs>
                <w:tab w:val="left" w:pos="420"/>
              </w:tabs>
              <w:spacing w:line="300" w:lineRule="exact"/>
              <w:jc w:val="center"/>
              <w:rPr>
                <w:color w:val="000000"/>
                <w:sz w:val="21"/>
              </w:rPr>
            </w:pPr>
            <w:r>
              <w:rPr>
                <w:color w:val="000000"/>
                <w:sz w:val="21"/>
              </w:rPr>
              <w:t>昼间</w:t>
            </w:r>
          </w:p>
        </w:tc>
        <w:tc>
          <w:tcPr>
            <w:tcW w:w="569" w:type="pct"/>
            <w:tcBorders>
              <w:tl2br w:val="nil"/>
              <w:tr2bl w:val="nil"/>
            </w:tcBorders>
            <w:tcMar>
              <w:top w:w="28" w:type="dxa"/>
              <w:left w:w="28" w:type="dxa"/>
              <w:bottom w:w="28" w:type="dxa"/>
              <w:right w:w="28" w:type="dxa"/>
            </w:tcMar>
            <w:vAlign w:val="center"/>
          </w:tcPr>
          <w:p w14:paraId="25FD0798">
            <w:pPr>
              <w:tabs>
                <w:tab w:val="left" w:pos="420"/>
              </w:tabs>
              <w:spacing w:line="300" w:lineRule="exact"/>
              <w:jc w:val="center"/>
              <w:rPr>
                <w:color w:val="000000"/>
                <w:sz w:val="21"/>
              </w:rPr>
            </w:pPr>
            <w:r>
              <w:rPr>
                <w:color w:val="000000"/>
                <w:sz w:val="21"/>
              </w:rPr>
              <w:t>夜间</w:t>
            </w:r>
          </w:p>
        </w:tc>
        <w:tc>
          <w:tcPr>
            <w:tcW w:w="568" w:type="pct"/>
            <w:vMerge w:val="continue"/>
            <w:tcBorders>
              <w:right w:val="single" w:color="auto" w:sz="4" w:space="0"/>
              <w:tl2br w:val="nil"/>
              <w:tr2bl w:val="nil"/>
            </w:tcBorders>
            <w:tcMar>
              <w:top w:w="28" w:type="dxa"/>
              <w:left w:w="28" w:type="dxa"/>
              <w:bottom w:w="28" w:type="dxa"/>
              <w:right w:w="28" w:type="dxa"/>
            </w:tcMar>
            <w:vAlign w:val="center"/>
          </w:tcPr>
          <w:p w14:paraId="2FEF21EE">
            <w:pPr>
              <w:tabs>
                <w:tab w:val="left" w:pos="420"/>
              </w:tabs>
              <w:spacing w:line="300" w:lineRule="exact"/>
              <w:jc w:val="center"/>
              <w:rPr>
                <w:color w:val="000000"/>
                <w:sz w:val="21"/>
              </w:rPr>
            </w:pPr>
          </w:p>
        </w:tc>
      </w:tr>
      <w:tr w14:paraId="656EC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323" w:type="pct"/>
            <w:tcBorders>
              <w:left w:val="single" w:color="auto" w:sz="4" w:space="0"/>
              <w:tl2br w:val="nil"/>
              <w:tr2bl w:val="nil"/>
            </w:tcBorders>
            <w:tcMar>
              <w:top w:w="28" w:type="dxa"/>
              <w:left w:w="28" w:type="dxa"/>
              <w:bottom w:w="28" w:type="dxa"/>
              <w:right w:w="28" w:type="dxa"/>
            </w:tcMar>
            <w:vAlign w:val="center"/>
          </w:tcPr>
          <w:p w14:paraId="6BBFCE02">
            <w:pPr>
              <w:tabs>
                <w:tab w:val="left" w:pos="420"/>
              </w:tabs>
              <w:spacing w:line="300" w:lineRule="exact"/>
              <w:jc w:val="center"/>
              <w:rPr>
                <w:color w:val="000000"/>
                <w:sz w:val="21"/>
              </w:rPr>
            </w:pPr>
            <w:r>
              <w:rPr>
                <w:color w:val="000000"/>
                <w:sz w:val="21"/>
              </w:rPr>
              <w:t>1</w:t>
            </w:r>
          </w:p>
        </w:tc>
        <w:tc>
          <w:tcPr>
            <w:tcW w:w="574" w:type="pct"/>
            <w:tcBorders>
              <w:tl2br w:val="nil"/>
              <w:tr2bl w:val="nil"/>
            </w:tcBorders>
            <w:tcMar>
              <w:top w:w="28" w:type="dxa"/>
              <w:left w:w="28" w:type="dxa"/>
              <w:bottom w:w="28" w:type="dxa"/>
              <w:right w:w="28" w:type="dxa"/>
            </w:tcMar>
            <w:vAlign w:val="center"/>
          </w:tcPr>
          <w:p w14:paraId="2F906206">
            <w:pPr>
              <w:autoSpaceDN w:val="0"/>
              <w:jc w:val="center"/>
              <w:textAlignment w:val="center"/>
              <w:rPr>
                <w:color w:val="000000"/>
                <w:sz w:val="21"/>
              </w:rPr>
            </w:pPr>
            <w:r>
              <w:rPr>
                <w:color w:val="000000"/>
                <w:sz w:val="21"/>
              </w:rPr>
              <w:t>西北厂界</w:t>
            </w:r>
          </w:p>
        </w:tc>
        <w:tc>
          <w:tcPr>
            <w:tcW w:w="342" w:type="pct"/>
            <w:tcBorders>
              <w:tl2br w:val="nil"/>
              <w:tr2bl w:val="nil"/>
            </w:tcBorders>
            <w:tcMar>
              <w:top w:w="28" w:type="dxa"/>
              <w:left w:w="28" w:type="dxa"/>
              <w:bottom w:w="28" w:type="dxa"/>
              <w:right w:w="28" w:type="dxa"/>
            </w:tcMar>
            <w:vAlign w:val="center"/>
          </w:tcPr>
          <w:p w14:paraId="6BE1EADC">
            <w:pPr>
              <w:autoSpaceDN w:val="0"/>
              <w:jc w:val="center"/>
              <w:textAlignment w:val="center"/>
              <w:rPr>
                <w:color w:val="000000"/>
                <w:sz w:val="21"/>
              </w:rPr>
            </w:pPr>
            <w:r>
              <w:rPr>
                <w:color w:val="000000"/>
                <w:sz w:val="21"/>
              </w:rPr>
              <w:t>/</w:t>
            </w:r>
          </w:p>
        </w:tc>
        <w:tc>
          <w:tcPr>
            <w:tcW w:w="444" w:type="pct"/>
            <w:tcBorders>
              <w:tl2br w:val="nil"/>
              <w:tr2bl w:val="nil"/>
            </w:tcBorders>
            <w:tcMar>
              <w:top w:w="28" w:type="dxa"/>
              <w:left w:w="28" w:type="dxa"/>
              <w:bottom w:w="28" w:type="dxa"/>
              <w:right w:w="28" w:type="dxa"/>
            </w:tcMar>
            <w:vAlign w:val="center"/>
          </w:tcPr>
          <w:p w14:paraId="66D059C2">
            <w:pPr>
              <w:autoSpaceDN w:val="0"/>
              <w:spacing w:line="240" w:lineRule="auto"/>
              <w:jc w:val="center"/>
              <w:textAlignment w:val="center"/>
              <w:rPr>
                <w:color w:val="000000"/>
                <w:sz w:val="21"/>
              </w:rPr>
            </w:pPr>
            <w:r>
              <w:rPr>
                <w:color w:val="000000"/>
                <w:sz w:val="21"/>
              </w:rPr>
              <w:t>48</w:t>
            </w:r>
          </w:p>
        </w:tc>
        <w:tc>
          <w:tcPr>
            <w:tcW w:w="462" w:type="pct"/>
            <w:tcBorders>
              <w:tl2br w:val="nil"/>
              <w:tr2bl w:val="nil"/>
            </w:tcBorders>
            <w:tcMar>
              <w:top w:w="28" w:type="dxa"/>
              <w:left w:w="28" w:type="dxa"/>
              <w:bottom w:w="28" w:type="dxa"/>
              <w:right w:w="28" w:type="dxa"/>
            </w:tcMar>
            <w:vAlign w:val="center"/>
          </w:tcPr>
          <w:p w14:paraId="0B4E692E">
            <w:pPr>
              <w:autoSpaceDN w:val="0"/>
              <w:spacing w:line="240" w:lineRule="auto"/>
              <w:jc w:val="center"/>
              <w:textAlignment w:val="center"/>
              <w:rPr>
                <w:color w:val="000000"/>
                <w:sz w:val="21"/>
              </w:rPr>
            </w:pPr>
            <w:r>
              <w:rPr>
                <w:color w:val="000000"/>
                <w:sz w:val="21"/>
              </w:rPr>
              <w:t>48</w:t>
            </w:r>
          </w:p>
        </w:tc>
        <w:tc>
          <w:tcPr>
            <w:tcW w:w="460" w:type="pct"/>
            <w:tcBorders>
              <w:tl2br w:val="nil"/>
              <w:tr2bl w:val="nil"/>
            </w:tcBorders>
            <w:tcMar>
              <w:top w:w="28" w:type="dxa"/>
              <w:left w:w="28" w:type="dxa"/>
              <w:bottom w:w="28" w:type="dxa"/>
              <w:right w:w="28" w:type="dxa"/>
            </w:tcMar>
            <w:vAlign w:val="center"/>
          </w:tcPr>
          <w:p w14:paraId="5792676E">
            <w:pPr>
              <w:autoSpaceDN w:val="0"/>
              <w:jc w:val="center"/>
              <w:textAlignment w:val="center"/>
              <w:rPr>
                <w:color w:val="000000"/>
                <w:sz w:val="21"/>
              </w:rPr>
            </w:pPr>
            <w:r>
              <w:rPr>
                <w:color w:val="000000"/>
                <w:sz w:val="21"/>
              </w:rPr>
              <w:t>54</w:t>
            </w:r>
          </w:p>
        </w:tc>
        <w:tc>
          <w:tcPr>
            <w:tcW w:w="314" w:type="pct"/>
            <w:tcBorders>
              <w:tl2br w:val="nil"/>
              <w:tr2bl w:val="nil"/>
            </w:tcBorders>
            <w:tcMar>
              <w:top w:w="28" w:type="dxa"/>
              <w:left w:w="28" w:type="dxa"/>
              <w:bottom w:w="28" w:type="dxa"/>
              <w:right w:w="28" w:type="dxa"/>
            </w:tcMar>
            <w:vAlign w:val="center"/>
          </w:tcPr>
          <w:p w14:paraId="44B0FB12">
            <w:pPr>
              <w:autoSpaceDN w:val="0"/>
              <w:jc w:val="center"/>
              <w:textAlignment w:val="center"/>
              <w:rPr>
                <w:color w:val="000000"/>
                <w:sz w:val="21"/>
              </w:rPr>
            </w:pPr>
            <w:r>
              <w:rPr>
                <w:color w:val="000000"/>
                <w:sz w:val="21"/>
              </w:rPr>
              <w:t>54</w:t>
            </w:r>
          </w:p>
        </w:tc>
        <w:tc>
          <w:tcPr>
            <w:tcW w:w="313" w:type="pct"/>
            <w:tcBorders>
              <w:tl2br w:val="nil"/>
              <w:tr2bl w:val="nil"/>
            </w:tcBorders>
            <w:tcMar>
              <w:top w:w="28" w:type="dxa"/>
              <w:left w:w="28" w:type="dxa"/>
              <w:bottom w:w="28" w:type="dxa"/>
              <w:right w:w="28" w:type="dxa"/>
            </w:tcMar>
            <w:vAlign w:val="center"/>
          </w:tcPr>
          <w:p w14:paraId="1F7A4AF6">
            <w:pPr>
              <w:autoSpaceDN w:val="0"/>
              <w:jc w:val="center"/>
              <w:textAlignment w:val="center"/>
              <w:rPr>
                <w:color w:val="000000"/>
                <w:sz w:val="21"/>
              </w:rPr>
            </w:pPr>
            <w:r>
              <w:rPr>
                <w:color w:val="000000"/>
                <w:sz w:val="21"/>
              </w:rPr>
              <w:t>55</w:t>
            </w:r>
          </w:p>
        </w:tc>
        <w:tc>
          <w:tcPr>
            <w:tcW w:w="313" w:type="pct"/>
            <w:tcBorders>
              <w:tl2br w:val="nil"/>
              <w:tr2bl w:val="nil"/>
            </w:tcBorders>
            <w:tcMar>
              <w:top w:w="28" w:type="dxa"/>
              <w:left w:w="28" w:type="dxa"/>
              <w:bottom w:w="28" w:type="dxa"/>
              <w:right w:w="28" w:type="dxa"/>
            </w:tcMar>
            <w:vAlign w:val="center"/>
          </w:tcPr>
          <w:p w14:paraId="796E7CF3">
            <w:pPr>
              <w:autoSpaceDN w:val="0"/>
              <w:jc w:val="center"/>
              <w:textAlignment w:val="center"/>
              <w:rPr>
                <w:color w:val="000000"/>
                <w:sz w:val="21"/>
              </w:rPr>
            </w:pPr>
            <w:r>
              <w:rPr>
                <w:color w:val="000000"/>
                <w:sz w:val="21"/>
              </w:rPr>
              <w:t>55</w:t>
            </w:r>
          </w:p>
        </w:tc>
        <w:tc>
          <w:tcPr>
            <w:tcW w:w="313" w:type="pct"/>
            <w:tcBorders>
              <w:tl2br w:val="nil"/>
              <w:tr2bl w:val="nil"/>
            </w:tcBorders>
            <w:tcMar>
              <w:top w:w="28" w:type="dxa"/>
              <w:left w:w="28" w:type="dxa"/>
              <w:bottom w:w="28" w:type="dxa"/>
              <w:right w:w="28" w:type="dxa"/>
            </w:tcMar>
            <w:vAlign w:val="center"/>
          </w:tcPr>
          <w:p w14:paraId="15F07BA2">
            <w:pPr>
              <w:autoSpaceDN w:val="0"/>
              <w:jc w:val="center"/>
              <w:textAlignment w:val="center"/>
              <w:rPr>
                <w:color w:val="000000"/>
                <w:sz w:val="21"/>
              </w:rPr>
            </w:pPr>
            <w:r>
              <w:rPr>
                <w:color w:val="000000"/>
                <w:sz w:val="21"/>
              </w:rPr>
              <w:t>65</w:t>
            </w:r>
          </w:p>
        </w:tc>
        <w:tc>
          <w:tcPr>
            <w:tcW w:w="569" w:type="pct"/>
            <w:tcBorders>
              <w:tl2br w:val="nil"/>
              <w:tr2bl w:val="nil"/>
            </w:tcBorders>
            <w:tcMar>
              <w:top w:w="28" w:type="dxa"/>
              <w:left w:w="28" w:type="dxa"/>
              <w:bottom w:w="28" w:type="dxa"/>
              <w:right w:w="28" w:type="dxa"/>
            </w:tcMar>
            <w:vAlign w:val="center"/>
          </w:tcPr>
          <w:p w14:paraId="2669DC47">
            <w:pPr>
              <w:autoSpaceDN w:val="0"/>
              <w:jc w:val="center"/>
              <w:textAlignment w:val="center"/>
              <w:rPr>
                <w:color w:val="000000"/>
                <w:sz w:val="21"/>
              </w:rPr>
            </w:pPr>
            <w:r>
              <w:rPr>
                <w:color w:val="000000"/>
                <w:sz w:val="21"/>
              </w:rPr>
              <w:t>55</w:t>
            </w:r>
          </w:p>
        </w:tc>
        <w:tc>
          <w:tcPr>
            <w:tcW w:w="568" w:type="pct"/>
            <w:tcBorders>
              <w:right w:val="single" w:color="auto" w:sz="4" w:space="0"/>
              <w:tl2br w:val="nil"/>
              <w:tr2bl w:val="nil"/>
            </w:tcBorders>
            <w:tcMar>
              <w:top w:w="28" w:type="dxa"/>
              <w:left w:w="28" w:type="dxa"/>
              <w:bottom w:w="28" w:type="dxa"/>
              <w:right w:w="28" w:type="dxa"/>
            </w:tcMar>
            <w:vAlign w:val="center"/>
          </w:tcPr>
          <w:p w14:paraId="48D8EBAC">
            <w:pPr>
              <w:tabs>
                <w:tab w:val="left" w:pos="420"/>
              </w:tabs>
              <w:spacing w:line="300" w:lineRule="exact"/>
              <w:jc w:val="center"/>
              <w:rPr>
                <w:color w:val="000000"/>
                <w:sz w:val="21"/>
              </w:rPr>
            </w:pPr>
            <w:r>
              <w:rPr>
                <w:color w:val="000000"/>
                <w:sz w:val="21"/>
              </w:rPr>
              <w:t>达标</w:t>
            </w:r>
          </w:p>
        </w:tc>
      </w:tr>
      <w:tr w14:paraId="49109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323" w:type="pct"/>
            <w:tcBorders>
              <w:left w:val="single" w:color="auto" w:sz="4" w:space="0"/>
              <w:tl2br w:val="nil"/>
              <w:tr2bl w:val="nil"/>
            </w:tcBorders>
            <w:tcMar>
              <w:top w:w="28" w:type="dxa"/>
              <w:left w:w="28" w:type="dxa"/>
              <w:bottom w:w="28" w:type="dxa"/>
              <w:right w:w="28" w:type="dxa"/>
            </w:tcMar>
            <w:vAlign w:val="center"/>
          </w:tcPr>
          <w:p w14:paraId="2D639F74">
            <w:pPr>
              <w:tabs>
                <w:tab w:val="left" w:pos="420"/>
              </w:tabs>
              <w:spacing w:line="300" w:lineRule="exact"/>
              <w:jc w:val="center"/>
              <w:rPr>
                <w:color w:val="000000"/>
                <w:sz w:val="21"/>
              </w:rPr>
            </w:pPr>
            <w:r>
              <w:rPr>
                <w:color w:val="000000"/>
                <w:sz w:val="21"/>
              </w:rPr>
              <w:t>2</w:t>
            </w:r>
          </w:p>
        </w:tc>
        <w:tc>
          <w:tcPr>
            <w:tcW w:w="574" w:type="pct"/>
            <w:tcBorders>
              <w:tl2br w:val="nil"/>
              <w:tr2bl w:val="nil"/>
            </w:tcBorders>
            <w:tcMar>
              <w:top w:w="28" w:type="dxa"/>
              <w:left w:w="28" w:type="dxa"/>
              <w:bottom w:w="28" w:type="dxa"/>
              <w:right w:w="28" w:type="dxa"/>
            </w:tcMar>
            <w:vAlign w:val="center"/>
          </w:tcPr>
          <w:p w14:paraId="1FA6E69E">
            <w:pPr>
              <w:autoSpaceDN w:val="0"/>
              <w:jc w:val="center"/>
              <w:textAlignment w:val="center"/>
              <w:rPr>
                <w:color w:val="000000"/>
                <w:sz w:val="21"/>
              </w:rPr>
            </w:pPr>
            <w:r>
              <w:rPr>
                <w:color w:val="000000"/>
                <w:sz w:val="21"/>
              </w:rPr>
              <w:t>西南厂界</w:t>
            </w:r>
          </w:p>
        </w:tc>
        <w:tc>
          <w:tcPr>
            <w:tcW w:w="342" w:type="pct"/>
            <w:tcBorders>
              <w:tl2br w:val="nil"/>
              <w:tr2bl w:val="nil"/>
            </w:tcBorders>
            <w:tcMar>
              <w:top w:w="28" w:type="dxa"/>
              <w:left w:w="28" w:type="dxa"/>
              <w:bottom w:w="28" w:type="dxa"/>
              <w:right w:w="28" w:type="dxa"/>
            </w:tcMar>
            <w:vAlign w:val="center"/>
          </w:tcPr>
          <w:p w14:paraId="20D8A65C">
            <w:pPr>
              <w:autoSpaceDN w:val="0"/>
              <w:jc w:val="center"/>
              <w:textAlignment w:val="center"/>
              <w:rPr>
                <w:color w:val="000000"/>
                <w:sz w:val="21"/>
              </w:rPr>
            </w:pPr>
            <w:r>
              <w:rPr>
                <w:color w:val="000000"/>
                <w:sz w:val="21"/>
              </w:rPr>
              <w:t>/</w:t>
            </w:r>
          </w:p>
        </w:tc>
        <w:tc>
          <w:tcPr>
            <w:tcW w:w="444" w:type="pct"/>
            <w:tcBorders>
              <w:tl2br w:val="nil"/>
              <w:tr2bl w:val="nil"/>
            </w:tcBorders>
            <w:tcMar>
              <w:top w:w="28" w:type="dxa"/>
              <w:left w:w="28" w:type="dxa"/>
              <w:bottom w:w="28" w:type="dxa"/>
              <w:right w:w="28" w:type="dxa"/>
            </w:tcMar>
            <w:vAlign w:val="center"/>
          </w:tcPr>
          <w:p w14:paraId="0481625F">
            <w:pPr>
              <w:autoSpaceDN w:val="0"/>
              <w:spacing w:line="240" w:lineRule="auto"/>
              <w:jc w:val="center"/>
              <w:textAlignment w:val="center"/>
              <w:rPr>
                <w:color w:val="000000"/>
                <w:sz w:val="21"/>
              </w:rPr>
            </w:pPr>
            <w:r>
              <w:rPr>
                <w:color w:val="000000"/>
                <w:sz w:val="21"/>
              </w:rPr>
              <w:t>45</w:t>
            </w:r>
          </w:p>
        </w:tc>
        <w:tc>
          <w:tcPr>
            <w:tcW w:w="462" w:type="pct"/>
            <w:tcBorders>
              <w:tl2br w:val="nil"/>
              <w:tr2bl w:val="nil"/>
            </w:tcBorders>
            <w:tcMar>
              <w:top w:w="28" w:type="dxa"/>
              <w:left w:w="28" w:type="dxa"/>
              <w:bottom w:w="28" w:type="dxa"/>
              <w:right w:w="28" w:type="dxa"/>
            </w:tcMar>
            <w:vAlign w:val="center"/>
          </w:tcPr>
          <w:p w14:paraId="3A0E46DB">
            <w:pPr>
              <w:autoSpaceDN w:val="0"/>
              <w:spacing w:line="240" w:lineRule="auto"/>
              <w:jc w:val="center"/>
              <w:textAlignment w:val="center"/>
              <w:rPr>
                <w:color w:val="000000"/>
                <w:sz w:val="21"/>
              </w:rPr>
            </w:pPr>
            <w:r>
              <w:rPr>
                <w:color w:val="000000"/>
                <w:sz w:val="21"/>
              </w:rPr>
              <w:t>45</w:t>
            </w:r>
          </w:p>
        </w:tc>
        <w:tc>
          <w:tcPr>
            <w:tcW w:w="460" w:type="pct"/>
            <w:tcBorders>
              <w:tl2br w:val="nil"/>
              <w:tr2bl w:val="nil"/>
            </w:tcBorders>
            <w:tcMar>
              <w:top w:w="28" w:type="dxa"/>
              <w:left w:w="28" w:type="dxa"/>
              <w:bottom w:w="28" w:type="dxa"/>
              <w:right w:w="28" w:type="dxa"/>
            </w:tcMar>
            <w:vAlign w:val="center"/>
          </w:tcPr>
          <w:p w14:paraId="26DF95E2">
            <w:pPr>
              <w:autoSpaceDN w:val="0"/>
              <w:jc w:val="center"/>
              <w:textAlignment w:val="center"/>
              <w:rPr>
                <w:color w:val="000000"/>
                <w:sz w:val="21"/>
              </w:rPr>
            </w:pPr>
            <w:r>
              <w:rPr>
                <w:color w:val="000000"/>
                <w:sz w:val="21"/>
              </w:rPr>
              <w:t>46</w:t>
            </w:r>
          </w:p>
        </w:tc>
        <w:tc>
          <w:tcPr>
            <w:tcW w:w="314" w:type="pct"/>
            <w:tcBorders>
              <w:tl2br w:val="nil"/>
              <w:tr2bl w:val="nil"/>
            </w:tcBorders>
            <w:tcMar>
              <w:top w:w="28" w:type="dxa"/>
              <w:left w:w="28" w:type="dxa"/>
              <w:bottom w:w="28" w:type="dxa"/>
              <w:right w:w="28" w:type="dxa"/>
            </w:tcMar>
            <w:vAlign w:val="center"/>
          </w:tcPr>
          <w:p w14:paraId="699E96AD">
            <w:pPr>
              <w:autoSpaceDN w:val="0"/>
              <w:jc w:val="center"/>
              <w:textAlignment w:val="center"/>
              <w:rPr>
                <w:color w:val="000000"/>
                <w:sz w:val="21"/>
              </w:rPr>
            </w:pPr>
            <w:r>
              <w:rPr>
                <w:color w:val="000000"/>
                <w:sz w:val="21"/>
              </w:rPr>
              <w:t>46</w:t>
            </w:r>
          </w:p>
        </w:tc>
        <w:tc>
          <w:tcPr>
            <w:tcW w:w="313" w:type="pct"/>
            <w:tcBorders>
              <w:tl2br w:val="nil"/>
              <w:tr2bl w:val="nil"/>
            </w:tcBorders>
            <w:tcMar>
              <w:top w:w="28" w:type="dxa"/>
              <w:left w:w="28" w:type="dxa"/>
              <w:bottom w:w="28" w:type="dxa"/>
              <w:right w:w="28" w:type="dxa"/>
            </w:tcMar>
            <w:vAlign w:val="center"/>
          </w:tcPr>
          <w:p w14:paraId="613839C2">
            <w:pPr>
              <w:autoSpaceDN w:val="0"/>
              <w:jc w:val="center"/>
              <w:textAlignment w:val="center"/>
              <w:rPr>
                <w:color w:val="000000"/>
                <w:sz w:val="21"/>
              </w:rPr>
            </w:pPr>
            <w:r>
              <w:rPr>
                <w:color w:val="000000"/>
                <w:sz w:val="21"/>
              </w:rPr>
              <w:t>49</w:t>
            </w:r>
          </w:p>
        </w:tc>
        <w:tc>
          <w:tcPr>
            <w:tcW w:w="313" w:type="pct"/>
            <w:tcBorders>
              <w:tl2br w:val="nil"/>
              <w:tr2bl w:val="nil"/>
            </w:tcBorders>
            <w:tcMar>
              <w:top w:w="28" w:type="dxa"/>
              <w:left w:w="28" w:type="dxa"/>
              <w:bottom w:w="28" w:type="dxa"/>
              <w:right w:w="28" w:type="dxa"/>
            </w:tcMar>
            <w:vAlign w:val="center"/>
          </w:tcPr>
          <w:p w14:paraId="6DEC9023">
            <w:pPr>
              <w:autoSpaceDN w:val="0"/>
              <w:jc w:val="center"/>
              <w:textAlignment w:val="center"/>
              <w:rPr>
                <w:color w:val="000000"/>
                <w:sz w:val="21"/>
              </w:rPr>
            </w:pPr>
            <w:r>
              <w:rPr>
                <w:color w:val="000000"/>
                <w:sz w:val="21"/>
              </w:rPr>
              <w:t>49</w:t>
            </w:r>
          </w:p>
        </w:tc>
        <w:tc>
          <w:tcPr>
            <w:tcW w:w="313" w:type="pct"/>
            <w:tcBorders>
              <w:tl2br w:val="nil"/>
              <w:tr2bl w:val="nil"/>
            </w:tcBorders>
            <w:tcMar>
              <w:top w:w="28" w:type="dxa"/>
              <w:left w:w="28" w:type="dxa"/>
              <w:bottom w:w="28" w:type="dxa"/>
              <w:right w:w="28" w:type="dxa"/>
            </w:tcMar>
            <w:vAlign w:val="center"/>
          </w:tcPr>
          <w:p w14:paraId="11102605">
            <w:pPr>
              <w:autoSpaceDN w:val="0"/>
              <w:jc w:val="center"/>
              <w:textAlignment w:val="center"/>
              <w:rPr>
                <w:color w:val="000000"/>
                <w:sz w:val="21"/>
              </w:rPr>
            </w:pPr>
            <w:r>
              <w:rPr>
                <w:color w:val="000000"/>
                <w:sz w:val="21"/>
              </w:rPr>
              <w:t>65</w:t>
            </w:r>
          </w:p>
        </w:tc>
        <w:tc>
          <w:tcPr>
            <w:tcW w:w="569" w:type="pct"/>
            <w:tcBorders>
              <w:tl2br w:val="nil"/>
              <w:tr2bl w:val="nil"/>
            </w:tcBorders>
            <w:tcMar>
              <w:top w:w="28" w:type="dxa"/>
              <w:left w:w="28" w:type="dxa"/>
              <w:bottom w:w="28" w:type="dxa"/>
              <w:right w:w="28" w:type="dxa"/>
            </w:tcMar>
            <w:vAlign w:val="center"/>
          </w:tcPr>
          <w:p w14:paraId="70172740">
            <w:pPr>
              <w:autoSpaceDN w:val="0"/>
              <w:jc w:val="center"/>
              <w:textAlignment w:val="center"/>
              <w:rPr>
                <w:color w:val="000000"/>
                <w:sz w:val="21"/>
              </w:rPr>
            </w:pPr>
            <w:r>
              <w:rPr>
                <w:color w:val="000000"/>
                <w:sz w:val="21"/>
              </w:rPr>
              <w:t>55</w:t>
            </w:r>
          </w:p>
        </w:tc>
        <w:tc>
          <w:tcPr>
            <w:tcW w:w="568" w:type="pct"/>
            <w:tcBorders>
              <w:right w:val="single" w:color="auto" w:sz="4" w:space="0"/>
              <w:tl2br w:val="nil"/>
              <w:tr2bl w:val="nil"/>
            </w:tcBorders>
            <w:tcMar>
              <w:top w:w="28" w:type="dxa"/>
              <w:left w:w="28" w:type="dxa"/>
              <w:bottom w:w="28" w:type="dxa"/>
              <w:right w:w="28" w:type="dxa"/>
            </w:tcMar>
          </w:tcPr>
          <w:p w14:paraId="5010A25B">
            <w:pPr>
              <w:tabs>
                <w:tab w:val="left" w:pos="420"/>
              </w:tabs>
              <w:spacing w:line="300" w:lineRule="exact"/>
              <w:jc w:val="center"/>
              <w:rPr>
                <w:color w:val="000000"/>
                <w:sz w:val="21"/>
              </w:rPr>
            </w:pPr>
            <w:r>
              <w:rPr>
                <w:color w:val="000000"/>
                <w:sz w:val="21"/>
              </w:rPr>
              <w:t>达标</w:t>
            </w:r>
          </w:p>
        </w:tc>
      </w:tr>
      <w:tr w14:paraId="52614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323" w:type="pct"/>
            <w:tcBorders>
              <w:left w:val="single" w:color="auto" w:sz="4" w:space="0"/>
              <w:tl2br w:val="nil"/>
              <w:tr2bl w:val="nil"/>
            </w:tcBorders>
            <w:tcMar>
              <w:top w:w="28" w:type="dxa"/>
              <w:left w:w="28" w:type="dxa"/>
              <w:bottom w:w="28" w:type="dxa"/>
              <w:right w:w="28" w:type="dxa"/>
            </w:tcMar>
            <w:vAlign w:val="center"/>
          </w:tcPr>
          <w:p w14:paraId="52899A19">
            <w:pPr>
              <w:tabs>
                <w:tab w:val="left" w:pos="420"/>
              </w:tabs>
              <w:spacing w:line="300" w:lineRule="exact"/>
              <w:jc w:val="center"/>
              <w:rPr>
                <w:color w:val="000000"/>
                <w:sz w:val="21"/>
              </w:rPr>
            </w:pPr>
            <w:r>
              <w:rPr>
                <w:color w:val="000000"/>
                <w:sz w:val="21"/>
              </w:rPr>
              <w:t>3</w:t>
            </w:r>
          </w:p>
        </w:tc>
        <w:tc>
          <w:tcPr>
            <w:tcW w:w="574" w:type="pct"/>
            <w:tcBorders>
              <w:tl2br w:val="nil"/>
              <w:tr2bl w:val="nil"/>
            </w:tcBorders>
            <w:tcMar>
              <w:top w:w="28" w:type="dxa"/>
              <w:left w:w="28" w:type="dxa"/>
              <w:bottom w:w="28" w:type="dxa"/>
              <w:right w:w="28" w:type="dxa"/>
            </w:tcMar>
            <w:vAlign w:val="center"/>
          </w:tcPr>
          <w:p w14:paraId="2E20D1D9">
            <w:pPr>
              <w:autoSpaceDN w:val="0"/>
              <w:jc w:val="center"/>
              <w:textAlignment w:val="center"/>
              <w:rPr>
                <w:color w:val="000000"/>
                <w:sz w:val="21"/>
              </w:rPr>
            </w:pPr>
            <w:r>
              <w:rPr>
                <w:color w:val="000000"/>
                <w:sz w:val="21"/>
              </w:rPr>
              <w:t>东南厂界</w:t>
            </w:r>
          </w:p>
        </w:tc>
        <w:tc>
          <w:tcPr>
            <w:tcW w:w="342" w:type="pct"/>
            <w:tcBorders>
              <w:tl2br w:val="nil"/>
              <w:tr2bl w:val="nil"/>
            </w:tcBorders>
            <w:tcMar>
              <w:top w:w="28" w:type="dxa"/>
              <w:left w:w="28" w:type="dxa"/>
              <w:bottom w:w="28" w:type="dxa"/>
              <w:right w:w="28" w:type="dxa"/>
            </w:tcMar>
            <w:vAlign w:val="center"/>
          </w:tcPr>
          <w:p w14:paraId="5CD7767A">
            <w:pPr>
              <w:autoSpaceDN w:val="0"/>
              <w:jc w:val="center"/>
              <w:textAlignment w:val="center"/>
              <w:rPr>
                <w:color w:val="000000"/>
                <w:sz w:val="21"/>
              </w:rPr>
            </w:pPr>
            <w:r>
              <w:rPr>
                <w:color w:val="000000"/>
                <w:sz w:val="21"/>
              </w:rPr>
              <w:t>/</w:t>
            </w:r>
          </w:p>
        </w:tc>
        <w:tc>
          <w:tcPr>
            <w:tcW w:w="444" w:type="pct"/>
            <w:tcBorders>
              <w:tl2br w:val="nil"/>
              <w:tr2bl w:val="nil"/>
            </w:tcBorders>
            <w:tcMar>
              <w:top w:w="28" w:type="dxa"/>
              <w:left w:w="28" w:type="dxa"/>
              <w:bottom w:w="28" w:type="dxa"/>
              <w:right w:w="28" w:type="dxa"/>
            </w:tcMar>
            <w:vAlign w:val="center"/>
          </w:tcPr>
          <w:p w14:paraId="1AC39D54">
            <w:pPr>
              <w:autoSpaceDN w:val="0"/>
              <w:spacing w:line="240" w:lineRule="auto"/>
              <w:jc w:val="center"/>
              <w:textAlignment w:val="center"/>
              <w:rPr>
                <w:color w:val="000000"/>
                <w:sz w:val="21"/>
              </w:rPr>
            </w:pPr>
            <w:r>
              <w:rPr>
                <w:color w:val="000000"/>
                <w:sz w:val="21"/>
              </w:rPr>
              <w:t>48</w:t>
            </w:r>
          </w:p>
        </w:tc>
        <w:tc>
          <w:tcPr>
            <w:tcW w:w="462" w:type="pct"/>
            <w:tcBorders>
              <w:tl2br w:val="nil"/>
              <w:tr2bl w:val="nil"/>
            </w:tcBorders>
            <w:tcMar>
              <w:top w:w="28" w:type="dxa"/>
              <w:left w:w="28" w:type="dxa"/>
              <w:bottom w:w="28" w:type="dxa"/>
              <w:right w:w="28" w:type="dxa"/>
            </w:tcMar>
            <w:vAlign w:val="center"/>
          </w:tcPr>
          <w:p w14:paraId="2E880E96">
            <w:pPr>
              <w:autoSpaceDN w:val="0"/>
              <w:spacing w:line="240" w:lineRule="auto"/>
              <w:jc w:val="center"/>
              <w:textAlignment w:val="center"/>
              <w:rPr>
                <w:color w:val="000000"/>
                <w:sz w:val="21"/>
              </w:rPr>
            </w:pPr>
            <w:r>
              <w:rPr>
                <w:color w:val="000000"/>
                <w:sz w:val="21"/>
              </w:rPr>
              <w:t>48</w:t>
            </w:r>
          </w:p>
        </w:tc>
        <w:tc>
          <w:tcPr>
            <w:tcW w:w="460" w:type="pct"/>
            <w:tcBorders>
              <w:tl2br w:val="nil"/>
              <w:tr2bl w:val="nil"/>
            </w:tcBorders>
            <w:tcMar>
              <w:top w:w="28" w:type="dxa"/>
              <w:left w:w="28" w:type="dxa"/>
              <w:bottom w:w="28" w:type="dxa"/>
              <w:right w:w="28" w:type="dxa"/>
            </w:tcMar>
            <w:vAlign w:val="center"/>
          </w:tcPr>
          <w:p w14:paraId="1406ACED">
            <w:pPr>
              <w:autoSpaceDN w:val="0"/>
              <w:jc w:val="center"/>
              <w:textAlignment w:val="center"/>
              <w:rPr>
                <w:color w:val="000000"/>
                <w:sz w:val="21"/>
              </w:rPr>
            </w:pPr>
            <w:r>
              <w:rPr>
                <w:color w:val="000000"/>
                <w:sz w:val="21"/>
              </w:rPr>
              <w:t>41</w:t>
            </w:r>
          </w:p>
        </w:tc>
        <w:tc>
          <w:tcPr>
            <w:tcW w:w="314" w:type="pct"/>
            <w:tcBorders>
              <w:tl2br w:val="nil"/>
              <w:tr2bl w:val="nil"/>
            </w:tcBorders>
            <w:tcMar>
              <w:top w:w="28" w:type="dxa"/>
              <w:left w:w="28" w:type="dxa"/>
              <w:bottom w:w="28" w:type="dxa"/>
              <w:right w:w="28" w:type="dxa"/>
            </w:tcMar>
            <w:vAlign w:val="center"/>
          </w:tcPr>
          <w:p w14:paraId="35C84BD6">
            <w:pPr>
              <w:autoSpaceDN w:val="0"/>
              <w:jc w:val="center"/>
              <w:textAlignment w:val="center"/>
              <w:rPr>
                <w:color w:val="000000"/>
                <w:sz w:val="21"/>
              </w:rPr>
            </w:pPr>
            <w:r>
              <w:rPr>
                <w:color w:val="000000"/>
                <w:sz w:val="21"/>
              </w:rPr>
              <w:t>41</w:t>
            </w:r>
          </w:p>
        </w:tc>
        <w:tc>
          <w:tcPr>
            <w:tcW w:w="313" w:type="pct"/>
            <w:tcBorders>
              <w:tl2br w:val="nil"/>
              <w:tr2bl w:val="nil"/>
            </w:tcBorders>
            <w:tcMar>
              <w:top w:w="28" w:type="dxa"/>
              <w:left w:w="28" w:type="dxa"/>
              <w:bottom w:w="28" w:type="dxa"/>
              <w:right w:w="28" w:type="dxa"/>
            </w:tcMar>
            <w:vAlign w:val="center"/>
          </w:tcPr>
          <w:p w14:paraId="3F98E322">
            <w:pPr>
              <w:autoSpaceDN w:val="0"/>
              <w:jc w:val="center"/>
              <w:textAlignment w:val="center"/>
              <w:rPr>
                <w:color w:val="000000"/>
                <w:sz w:val="21"/>
              </w:rPr>
            </w:pPr>
            <w:r>
              <w:rPr>
                <w:color w:val="000000"/>
                <w:sz w:val="21"/>
              </w:rPr>
              <w:t>49</w:t>
            </w:r>
          </w:p>
        </w:tc>
        <w:tc>
          <w:tcPr>
            <w:tcW w:w="313" w:type="pct"/>
            <w:tcBorders>
              <w:tl2br w:val="nil"/>
              <w:tr2bl w:val="nil"/>
            </w:tcBorders>
            <w:tcMar>
              <w:top w:w="28" w:type="dxa"/>
              <w:left w:w="28" w:type="dxa"/>
              <w:bottom w:w="28" w:type="dxa"/>
              <w:right w:w="28" w:type="dxa"/>
            </w:tcMar>
            <w:vAlign w:val="center"/>
          </w:tcPr>
          <w:p w14:paraId="6E355B7C">
            <w:pPr>
              <w:autoSpaceDN w:val="0"/>
              <w:jc w:val="center"/>
              <w:textAlignment w:val="center"/>
              <w:rPr>
                <w:color w:val="000000"/>
                <w:sz w:val="21"/>
              </w:rPr>
            </w:pPr>
            <w:r>
              <w:rPr>
                <w:color w:val="000000"/>
                <w:sz w:val="21"/>
              </w:rPr>
              <w:t>49</w:t>
            </w:r>
          </w:p>
        </w:tc>
        <w:tc>
          <w:tcPr>
            <w:tcW w:w="313" w:type="pct"/>
            <w:tcBorders>
              <w:tl2br w:val="nil"/>
              <w:tr2bl w:val="nil"/>
            </w:tcBorders>
            <w:tcMar>
              <w:top w:w="28" w:type="dxa"/>
              <w:left w:w="28" w:type="dxa"/>
              <w:bottom w:w="28" w:type="dxa"/>
              <w:right w:w="28" w:type="dxa"/>
            </w:tcMar>
            <w:vAlign w:val="center"/>
          </w:tcPr>
          <w:p w14:paraId="167DDF7F">
            <w:pPr>
              <w:autoSpaceDN w:val="0"/>
              <w:jc w:val="center"/>
              <w:textAlignment w:val="center"/>
              <w:rPr>
                <w:color w:val="000000"/>
                <w:sz w:val="21"/>
              </w:rPr>
            </w:pPr>
            <w:r>
              <w:rPr>
                <w:color w:val="000000"/>
                <w:sz w:val="21"/>
              </w:rPr>
              <w:t>65</w:t>
            </w:r>
          </w:p>
        </w:tc>
        <w:tc>
          <w:tcPr>
            <w:tcW w:w="569" w:type="pct"/>
            <w:tcBorders>
              <w:tl2br w:val="nil"/>
              <w:tr2bl w:val="nil"/>
            </w:tcBorders>
            <w:tcMar>
              <w:top w:w="28" w:type="dxa"/>
              <w:left w:w="28" w:type="dxa"/>
              <w:bottom w:w="28" w:type="dxa"/>
              <w:right w:w="28" w:type="dxa"/>
            </w:tcMar>
            <w:vAlign w:val="center"/>
          </w:tcPr>
          <w:p w14:paraId="26E12788">
            <w:pPr>
              <w:autoSpaceDN w:val="0"/>
              <w:jc w:val="center"/>
              <w:textAlignment w:val="center"/>
              <w:rPr>
                <w:color w:val="000000"/>
                <w:sz w:val="21"/>
              </w:rPr>
            </w:pPr>
            <w:r>
              <w:rPr>
                <w:color w:val="000000"/>
                <w:sz w:val="21"/>
              </w:rPr>
              <w:t>55</w:t>
            </w:r>
          </w:p>
        </w:tc>
        <w:tc>
          <w:tcPr>
            <w:tcW w:w="568" w:type="pct"/>
            <w:tcBorders>
              <w:right w:val="single" w:color="auto" w:sz="4" w:space="0"/>
              <w:tl2br w:val="nil"/>
              <w:tr2bl w:val="nil"/>
            </w:tcBorders>
            <w:tcMar>
              <w:top w:w="28" w:type="dxa"/>
              <w:left w:w="28" w:type="dxa"/>
              <w:bottom w:w="28" w:type="dxa"/>
              <w:right w:w="28" w:type="dxa"/>
            </w:tcMar>
          </w:tcPr>
          <w:p w14:paraId="16A63481">
            <w:pPr>
              <w:tabs>
                <w:tab w:val="left" w:pos="420"/>
              </w:tabs>
              <w:spacing w:line="300" w:lineRule="exact"/>
              <w:jc w:val="center"/>
              <w:rPr>
                <w:color w:val="000000"/>
                <w:sz w:val="21"/>
              </w:rPr>
            </w:pPr>
            <w:r>
              <w:rPr>
                <w:color w:val="000000"/>
                <w:sz w:val="21"/>
              </w:rPr>
              <w:t>达标</w:t>
            </w:r>
          </w:p>
        </w:tc>
      </w:tr>
      <w:tr w14:paraId="38A68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323" w:type="pct"/>
            <w:tcBorders>
              <w:left w:val="single" w:color="auto" w:sz="4" w:space="0"/>
              <w:bottom w:val="single" w:color="auto" w:sz="4" w:space="0"/>
              <w:tl2br w:val="nil"/>
              <w:tr2bl w:val="nil"/>
            </w:tcBorders>
            <w:tcMar>
              <w:top w:w="28" w:type="dxa"/>
              <w:left w:w="28" w:type="dxa"/>
              <w:bottom w:w="28" w:type="dxa"/>
              <w:right w:w="28" w:type="dxa"/>
            </w:tcMar>
            <w:vAlign w:val="center"/>
          </w:tcPr>
          <w:p w14:paraId="327BB830">
            <w:pPr>
              <w:tabs>
                <w:tab w:val="left" w:pos="420"/>
              </w:tabs>
              <w:spacing w:line="300" w:lineRule="exact"/>
              <w:jc w:val="center"/>
              <w:rPr>
                <w:color w:val="000000"/>
                <w:sz w:val="21"/>
              </w:rPr>
            </w:pPr>
            <w:r>
              <w:rPr>
                <w:color w:val="000000"/>
                <w:sz w:val="21"/>
              </w:rPr>
              <w:t>4</w:t>
            </w:r>
          </w:p>
        </w:tc>
        <w:tc>
          <w:tcPr>
            <w:tcW w:w="574" w:type="pct"/>
            <w:tcBorders>
              <w:bottom w:val="single" w:color="auto" w:sz="4" w:space="0"/>
              <w:tl2br w:val="nil"/>
              <w:tr2bl w:val="nil"/>
            </w:tcBorders>
            <w:tcMar>
              <w:top w:w="28" w:type="dxa"/>
              <w:left w:w="28" w:type="dxa"/>
              <w:bottom w:w="28" w:type="dxa"/>
              <w:right w:w="28" w:type="dxa"/>
            </w:tcMar>
            <w:vAlign w:val="center"/>
          </w:tcPr>
          <w:p w14:paraId="3F8E864C">
            <w:pPr>
              <w:autoSpaceDN w:val="0"/>
              <w:jc w:val="center"/>
              <w:textAlignment w:val="center"/>
              <w:rPr>
                <w:color w:val="000000"/>
                <w:sz w:val="21"/>
              </w:rPr>
            </w:pPr>
            <w:r>
              <w:rPr>
                <w:color w:val="000000"/>
                <w:sz w:val="21"/>
              </w:rPr>
              <w:t>东北厂界</w:t>
            </w:r>
          </w:p>
        </w:tc>
        <w:tc>
          <w:tcPr>
            <w:tcW w:w="342" w:type="pct"/>
            <w:tcBorders>
              <w:bottom w:val="single" w:color="auto" w:sz="4" w:space="0"/>
              <w:tl2br w:val="nil"/>
              <w:tr2bl w:val="nil"/>
            </w:tcBorders>
            <w:tcMar>
              <w:top w:w="28" w:type="dxa"/>
              <w:left w:w="28" w:type="dxa"/>
              <w:bottom w:w="28" w:type="dxa"/>
              <w:right w:w="28" w:type="dxa"/>
            </w:tcMar>
            <w:vAlign w:val="center"/>
          </w:tcPr>
          <w:p w14:paraId="154BBE93">
            <w:pPr>
              <w:autoSpaceDN w:val="0"/>
              <w:jc w:val="center"/>
              <w:textAlignment w:val="center"/>
              <w:rPr>
                <w:color w:val="000000"/>
                <w:sz w:val="21"/>
              </w:rPr>
            </w:pPr>
            <w:r>
              <w:rPr>
                <w:color w:val="000000"/>
                <w:sz w:val="21"/>
              </w:rPr>
              <w:t>/</w:t>
            </w:r>
          </w:p>
        </w:tc>
        <w:tc>
          <w:tcPr>
            <w:tcW w:w="444" w:type="pct"/>
            <w:tcBorders>
              <w:bottom w:val="single" w:color="auto" w:sz="4" w:space="0"/>
              <w:tl2br w:val="nil"/>
              <w:tr2bl w:val="nil"/>
            </w:tcBorders>
            <w:tcMar>
              <w:top w:w="28" w:type="dxa"/>
              <w:left w:w="28" w:type="dxa"/>
              <w:bottom w:w="28" w:type="dxa"/>
              <w:right w:w="28" w:type="dxa"/>
            </w:tcMar>
            <w:vAlign w:val="center"/>
          </w:tcPr>
          <w:p w14:paraId="528F43D8">
            <w:pPr>
              <w:autoSpaceDN w:val="0"/>
              <w:spacing w:line="240" w:lineRule="auto"/>
              <w:jc w:val="center"/>
              <w:textAlignment w:val="center"/>
              <w:rPr>
                <w:color w:val="000000"/>
                <w:sz w:val="21"/>
              </w:rPr>
            </w:pPr>
            <w:r>
              <w:rPr>
                <w:color w:val="000000"/>
                <w:sz w:val="21"/>
              </w:rPr>
              <w:t>53</w:t>
            </w:r>
          </w:p>
        </w:tc>
        <w:tc>
          <w:tcPr>
            <w:tcW w:w="462" w:type="pct"/>
            <w:tcBorders>
              <w:bottom w:val="single" w:color="auto" w:sz="4" w:space="0"/>
              <w:tl2br w:val="nil"/>
              <w:tr2bl w:val="nil"/>
            </w:tcBorders>
            <w:tcMar>
              <w:top w:w="28" w:type="dxa"/>
              <w:left w:w="28" w:type="dxa"/>
              <w:bottom w:w="28" w:type="dxa"/>
              <w:right w:w="28" w:type="dxa"/>
            </w:tcMar>
            <w:vAlign w:val="center"/>
          </w:tcPr>
          <w:p w14:paraId="59B37666">
            <w:pPr>
              <w:autoSpaceDN w:val="0"/>
              <w:spacing w:line="240" w:lineRule="auto"/>
              <w:jc w:val="center"/>
              <w:textAlignment w:val="center"/>
              <w:rPr>
                <w:color w:val="000000"/>
                <w:sz w:val="21"/>
              </w:rPr>
            </w:pPr>
            <w:r>
              <w:rPr>
                <w:color w:val="000000"/>
                <w:sz w:val="21"/>
              </w:rPr>
              <w:t>53</w:t>
            </w:r>
          </w:p>
        </w:tc>
        <w:tc>
          <w:tcPr>
            <w:tcW w:w="460" w:type="pct"/>
            <w:tcBorders>
              <w:bottom w:val="single" w:color="auto" w:sz="4" w:space="0"/>
              <w:tl2br w:val="nil"/>
              <w:tr2bl w:val="nil"/>
            </w:tcBorders>
            <w:tcMar>
              <w:top w:w="28" w:type="dxa"/>
              <w:left w:w="28" w:type="dxa"/>
              <w:bottom w:w="28" w:type="dxa"/>
              <w:right w:w="28" w:type="dxa"/>
            </w:tcMar>
            <w:vAlign w:val="center"/>
          </w:tcPr>
          <w:p w14:paraId="10C3E6DB">
            <w:pPr>
              <w:autoSpaceDN w:val="0"/>
              <w:jc w:val="center"/>
              <w:textAlignment w:val="center"/>
              <w:rPr>
                <w:color w:val="000000"/>
                <w:sz w:val="21"/>
              </w:rPr>
            </w:pPr>
            <w:r>
              <w:rPr>
                <w:color w:val="000000"/>
                <w:sz w:val="21"/>
              </w:rPr>
              <w:t>44</w:t>
            </w:r>
          </w:p>
        </w:tc>
        <w:tc>
          <w:tcPr>
            <w:tcW w:w="314" w:type="pct"/>
            <w:tcBorders>
              <w:bottom w:val="single" w:color="auto" w:sz="4" w:space="0"/>
              <w:tl2br w:val="nil"/>
              <w:tr2bl w:val="nil"/>
            </w:tcBorders>
            <w:tcMar>
              <w:top w:w="28" w:type="dxa"/>
              <w:left w:w="28" w:type="dxa"/>
              <w:bottom w:w="28" w:type="dxa"/>
              <w:right w:w="28" w:type="dxa"/>
            </w:tcMar>
            <w:vAlign w:val="center"/>
          </w:tcPr>
          <w:p w14:paraId="29E567B2">
            <w:pPr>
              <w:autoSpaceDN w:val="0"/>
              <w:jc w:val="center"/>
              <w:textAlignment w:val="center"/>
              <w:rPr>
                <w:color w:val="000000"/>
                <w:sz w:val="21"/>
              </w:rPr>
            </w:pPr>
            <w:r>
              <w:rPr>
                <w:color w:val="000000"/>
                <w:sz w:val="21"/>
              </w:rPr>
              <w:t>44</w:t>
            </w:r>
          </w:p>
        </w:tc>
        <w:tc>
          <w:tcPr>
            <w:tcW w:w="313" w:type="pct"/>
            <w:tcBorders>
              <w:bottom w:val="single" w:color="auto" w:sz="4" w:space="0"/>
              <w:tl2br w:val="nil"/>
              <w:tr2bl w:val="nil"/>
            </w:tcBorders>
            <w:tcMar>
              <w:top w:w="28" w:type="dxa"/>
              <w:left w:w="28" w:type="dxa"/>
              <w:bottom w:w="28" w:type="dxa"/>
              <w:right w:w="28" w:type="dxa"/>
            </w:tcMar>
            <w:vAlign w:val="center"/>
          </w:tcPr>
          <w:p w14:paraId="5536B9FC">
            <w:pPr>
              <w:autoSpaceDN w:val="0"/>
              <w:jc w:val="center"/>
              <w:textAlignment w:val="center"/>
              <w:rPr>
                <w:color w:val="000000"/>
                <w:sz w:val="21"/>
              </w:rPr>
            </w:pPr>
            <w:r>
              <w:rPr>
                <w:color w:val="000000"/>
                <w:sz w:val="21"/>
              </w:rPr>
              <w:t>54</w:t>
            </w:r>
          </w:p>
        </w:tc>
        <w:tc>
          <w:tcPr>
            <w:tcW w:w="313" w:type="pct"/>
            <w:tcBorders>
              <w:bottom w:val="single" w:color="auto" w:sz="4" w:space="0"/>
              <w:tl2br w:val="nil"/>
              <w:tr2bl w:val="nil"/>
            </w:tcBorders>
            <w:tcMar>
              <w:top w:w="28" w:type="dxa"/>
              <w:left w:w="28" w:type="dxa"/>
              <w:bottom w:w="28" w:type="dxa"/>
              <w:right w:w="28" w:type="dxa"/>
            </w:tcMar>
            <w:vAlign w:val="center"/>
          </w:tcPr>
          <w:p w14:paraId="43A5EA20">
            <w:pPr>
              <w:autoSpaceDN w:val="0"/>
              <w:jc w:val="center"/>
              <w:textAlignment w:val="center"/>
              <w:rPr>
                <w:color w:val="000000"/>
                <w:sz w:val="21"/>
              </w:rPr>
            </w:pPr>
            <w:r>
              <w:rPr>
                <w:color w:val="000000"/>
                <w:sz w:val="21"/>
              </w:rPr>
              <w:t>54</w:t>
            </w:r>
          </w:p>
        </w:tc>
        <w:tc>
          <w:tcPr>
            <w:tcW w:w="313" w:type="pct"/>
            <w:tcBorders>
              <w:bottom w:val="single" w:color="auto" w:sz="4" w:space="0"/>
              <w:tl2br w:val="nil"/>
              <w:tr2bl w:val="nil"/>
            </w:tcBorders>
            <w:tcMar>
              <w:top w:w="28" w:type="dxa"/>
              <w:left w:w="28" w:type="dxa"/>
              <w:bottom w:w="28" w:type="dxa"/>
              <w:right w:w="28" w:type="dxa"/>
            </w:tcMar>
            <w:vAlign w:val="center"/>
          </w:tcPr>
          <w:p w14:paraId="54D08B52">
            <w:pPr>
              <w:autoSpaceDN w:val="0"/>
              <w:jc w:val="center"/>
              <w:textAlignment w:val="center"/>
              <w:rPr>
                <w:color w:val="000000"/>
                <w:sz w:val="21"/>
              </w:rPr>
            </w:pPr>
            <w:r>
              <w:rPr>
                <w:color w:val="000000"/>
                <w:sz w:val="21"/>
              </w:rPr>
              <w:t>65</w:t>
            </w:r>
          </w:p>
        </w:tc>
        <w:tc>
          <w:tcPr>
            <w:tcW w:w="569" w:type="pct"/>
            <w:tcBorders>
              <w:bottom w:val="single" w:color="auto" w:sz="4" w:space="0"/>
              <w:tl2br w:val="nil"/>
              <w:tr2bl w:val="nil"/>
            </w:tcBorders>
            <w:tcMar>
              <w:top w:w="28" w:type="dxa"/>
              <w:left w:w="28" w:type="dxa"/>
              <w:bottom w:w="28" w:type="dxa"/>
              <w:right w:w="28" w:type="dxa"/>
            </w:tcMar>
            <w:vAlign w:val="center"/>
          </w:tcPr>
          <w:p w14:paraId="23F4C976">
            <w:pPr>
              <w:autoSpaceDN w:val="0"/>
              <w:jc w:val="center"/>
              <w:textAlignment w:val="center"/>
              <w:rPr>
                <w:color w:val="000000"/>
                <w:sz w:val="21"/>
              </w:rPr>
            </w:pPr>
            <w:r>
              <w:rPr>
                <w:color w:val="000000"/>
                <w:sz w:val="21"/>
              </w:rPr>
              <w:t>55</w:t>
            </w:r>
          </w:p>
        </w:tc>
        <w:tc>
          <w:tcPr>
            <w:tcW w:w="568" w:type="pct"/>
            <w:tcBorders>
              <w:bottom w:val="single" w:color="auto" w:sz="4" w:space="0"/>
              <w:right w:val="single" w:color="auto" w:sz="4" w:space="0"/>
              <w:tl2br w:val="nil"/>
              <w:tr2bl w:val="nil"/>
            </w:tcBorders>
            <w:tcMar>
              <w:top w:w="28" w:type="dxa"/>
              <w:left w:w="28" w:type="dxa"/>
              <w:bottom w:w="28" w:type="dxa"/>
              <w:right w:w="28" w:type="dxa"/>
            </w:tcMar>
          </w:tcPr>
          <w:p w14:paraId="1C0063AB">
            <w:pPr>
              <w:tabs>
                <w:tab w:val="left" w:pos="420"/>
              </w:tabs>
              <w:spacing w:line="300" w:lineRule="exact"/>
              <w:jc w:val="center"/>
              <w:rPr>
                <w:color w:val="000000"/>
                <w:sz w:val="21"/>
              </w:rPr>
            </w:pPr>
            <w:r>
              <w:rPr>
                <w:color w:val="000000"/>
                <w:sz w:val="21"/>
              </w:rPr>
              <w:t>达标</w:t>
            </w:r>
          </w:p>
        </w:tc>
      </w:tr>
    </w:tbl>
    <w:p w14:paraId="66F7AE1B">
      <w:pPr>
        <w:ind w:firstLine="480"/>
        <w:rPr>
          <w:color w:val="000000"/>
        </w:rPr>
      </w:pPr>
      <w:r>
        <w:rPr>
          <w:color w:val="000000"/>
        </w:rPr>
        <w:t>由预测结果可知，本项目实施后，厂界昼、夜均能满足《工业企业厂界环境噪声排放标准》（GB12348-2008）3类标准。本项目厂界周边200m无声环境敏感点分布，本项目建设营运产生的噪声对周边环境影响较小。</w:t>
      </w:r>
    </w:p>
    <w:p w14:paraId="74B3EC54">
      <w:pPr>
        <w:pStyle w:val="771"/>
        <w:rPr>
          <w:color w:val="000000"/>
        </w:rPr>
      </w:pPr>
      <w:bookmarkStart w:id="634" w:name="_Toc500376043"/>
      <w:bookmarkStart w:id="635" w:name="_Toc490585774"/>
      <w:bookmarkStart w:id="636" w:name="_Toc15900_WPSOffice_Level3"/>
      <w:r>
        <w:rPr>
          <w:color w:val="000000"/>
        </w:rPr>
        <w:t>5.2.4 固体废物环境影响分析</w:t>
      </w:r>
      <w:bookmarkEnd w:id="634"/>
      <w:bookmarkEnd w:id="635"/>
      <w:bookmarkEnd w:id="636"/>
    </w:p>
    <w:p w14:paraId="6A686F5E">
      <w:pPr>
        <w:widowControl w:val="0"/>
        <w:ind w:firstLine="480" w:firstLineChars="200"/>
        <w:rPr>
          <w:color w:val="000000"/>
        </w:rPr>
      </w:pPr>
      <w:r>
        <w:rPr>
          <w:color w:val="000000"/>
        </w:rPr>
        <w:t>本项目固体废物主要为一般工业固体废物、危险废物和生活垃圾。其中一般工业固体废物包括废干燥剂、废过滤膜、吸附脱氢废催化剂、低温精制废吸附剂、废瓷球等；危险废物为催化脱氢废催化剂等。</w:t>
      </w:r>
    </w:p>
    <w:p w14:paraId="3823DB19">
      <w:pPr>
        <w:pStyle w:val="31"/>
        <w:spacing w:after="0"/>
        <w:ind w:firstLine="480" w:firstLineChars="200"/>
        <w:rPr>
          <w:color w:val="000000"/>
        </w:rPr>
      </w:pPr>
      <w:r>
        <w:rPr>
          <w:color w:val="000000"/>
        </w:rPr>
        <w:t>一般工业固体废物总产生量约为1.6536t/a，可依托LNG工厂现有9m</w:t>
      </w:r>
      <w:r>
        <w:rPr>
          <w:color w:val="000000"/>
          <w:vertAlign w:val="superscript"/>
        </w:rPr>
        <w:t>2</w:t>
      </w:r>
      <w:r>
        <w:rPr>
          <w:color w:val="000000"/>
        </w:rPr>
        <w:t xml:space="preserve">的一般固废暂存间暂存后交由回收单位，由于本项目固废产生周期较长，且与现有工程产废周期不冲突，且本项目固废可在更换前联系厂家回收，减少暂存，故现有一般固废暂存间能够满足本项目对固废暂存的需求，一般固废暂存点其贮存过程已采取相应的防渗漏、防雨淋、防扬尘等措施。 </w:t>
      </w:r>
    </w:p>
    <w:p w14:paraId="46E2AE8E">
      <w:pPr>
        <w:pStyle w:val="31"/>
        <w:spacing w:after="0"/>
        <w:ind w:firstLine="480" w:firstLineChars="200"/>
        <w:rPr>
          <w:color w:val="000000"/>
        </w:rPr>
      </w:pPr>
      <w:r>
        <w:rPr>
          <w:color w:val="000000"/>
        </w:rPr>
        <w:t>本项目危险废物主要为催化燃烧脱氢废催化剂，每2年更换一次，产生量为0.4135t/a，密闭罐可暂存于LNG工厂现有危废暂存间（53.76m</w:t>
      </w:r>
      <w:r>
        <w:rPr>
          <w:color w:val="000000"/>
          <w:vertAlign w:val="superscript"/>
        </w:rPr>
        <w:t>2</w:t>
      </w:r>
      <w:r>
        <w:rPr>
          <w:color w:val="000000"/>
        </w:rPr>
        <w:t>），后交危废资质单位处置。LNG工厂现有1个的危废暂存间满足《危险废物贮存污染控制标准》（GB 18597-2001）及其修改单要求。目前危废暂存间仅暂存少量实验室废液及废机油等，占用面积约13.76m</w:t>
      </w:r>
      <w:r>
        <w:rPr>
          <w:color w:val="000000"/>
          <w:vertAlign w:val="superscript"/>
        </w:rPr>
        <w:t>2</w:t>
      </w:r>
      <w:r>
        <w:rPr>
          <w:color w:val="000000"/>
        </w:rPr>
        <w:t>，富余面积40m</w:t>
      </w:r>
      <w:r>
        <w:rPr>
          <w:color w:val="000000"/>
          <w:vertAlign w:val="superscript"/>
        </w:rPr>
        <w:t>2</w:t>
      </w:r>
      <w:r>
        <w:rPr>
          <w:color w:val="000000"/>
        </w:rPr>
        <w:t>，本项目危废产生周期较少，即产即运，故现有危废暂存间能够满足本项目对危废暂存的需求。</w:t>
      </w:r>
    </w:p>
    <w:p w14:paraId="6F906B89">
      <w:pPr>
        <w:pStyle w:val="31"/>
        <w:spacing w:after="0"/>
        <w:ind w:firstLine="480" w:firstLineChars="200"/>
        <w:rPr>
          <w:color w:val="000000"/>
        </w:rPr>
      </w:pPr>
      <w:r>
        <w:rPr>
          <w:color w:val="000000"/>
        </w:rPr>
        <w:t>生活垃圾统一收集后交由当地环卫部门处理。</w:t>
      </w:r>
    </w:p>
    <w:p w14:paraId="278C2035">
      <w:pPr>
        <w:ind w:firstLine="480" w:firstLineChars="200"/>
        <w:rPr>
          <w:color w:val="000000"/>
        </w:rPr>
      </w:pPr>
      <w:r>
        <w:rPr>
          <w:color w:val="000000"/>
        </w:rPr>
        <w:t>采取上述措施后，本项目固体废物对周边环境影响不大。</w:t>
      </w:r>
    </w:p>
    <w:p w14:paraId="3F789479">
      <w:pPr>
        <w:ind w:firstLine="480"/>
        <w:rPr>
          <w:color w:val="000000"/>
        </w:rPr>
      </w:pPr>
      <w:r>
        <w:rPr>
          <w:color w:val="000000"/>
        </w:rPr>
        <w:t>本项目危险废物暂存情况见详见表5.2.4-1。</w:t>
      </w:r>
    </w:p>
    <w:p w14:paraId="51A45D0A">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5</w:t>
      </w:r>
      <w:r>
        <w:rPr>
          <w:rFonts w:ascii="Times New Roman" w:hAnsi="Times New Roman"/>
          <w:color w:val="000000"/>
        </w:rPr>
        <w:t xml:space="preserve">.2.4 </w:t>
      </w:r>
      <w:r>
        <w:rPr>
          <w:rFonts w:ascii="Times New Roman" w:hAnsi="Times New Roman"/>
          <w:color w:val="000000"/>
          <w:lang w:val="en-US"/>
        </w:rPr>
        <w:t>-1</w:t>
      </w:r>
      <w:r>
        <w:rPr>
          <w:rFonts w:ascii="Times New Roman" w:hAnsi="Times New Roman"/>
          <w:color w:val="000000"/>
        </w:rPr>
        <w:t xml:space="preserve"> </w:t>
      </w:r>
      <w:r>
        <w:rPr>
          <w:rFonts w:ascii="Times New Roman" w:hAnsi="Times New Roman"/>
          <w:color w:val="000000"/>
          <w:lang w:val="en-US"/>
        </w:rPr>
        <w:t>本项目</w:t>
      </w:r>
      <w:r>
        <w:rPr>
          <w:rFonts w:ascii="Times New Roman" w:hAnsi="Times New Roman"/>
          <w:color w:val="000000"/>
        </w:rPr>
        <w:t>危险废物贮存场所（设施）基本情况表</w:t>
      </w:r>
    </w:p>
    <w:tbl>
      <w:tblPr>
        <w:tblStyle w:val="73"/>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16"/>
        <w:gridCol w:w="1591"/>
        <w:gridCol w:w="816"/>
        <w:gridCol w:w="1448"/>
        <w:gridCol w:w="1385"/>
        <w:gridCol w:w="656"/>
        <w:gridCol w:w="807"/>
        <w:gridCol w:w="891"/>
      </w:tblGrid>
      <w:tr w14:paraId="01447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538" w:type="pct"/>
            <w:tcBorders>
              <w:tl2br w:val="nil"/>
              <w:tr2bl w:val="nil"/>
            </w:tcBorders>
            <w:vAlign w:val="center"/>
          </w:tcPr>
          <w:p w14:paraId="5ED48591">
            <w:pPr>
              <w:topLinePunct/>
              <w:spacing w:line="240" w:lineRule="auto"/>
              <w:jc w:val="center"/>
              <w:rPr>
                <w:color w:val="000000"/>
                <w:kern w:val="0"/>
                <w:sz w:val="21"/>
              </w:rPr>
            </w:pPr>
            <w:r>
              <w:rPr>
                <w:color w:val="000000"/>
                <w:kern w:val="0"/>
                <w:sz w:val="21"/>
              </w:rPr>
              <w:t>贮存场所(设施)名称</w:t>
            </w:r>
          </w:p>
        </w:tc>
        <w:tc>
          <w:tcPr>
            <w:tcW w:w="934" w:type="pct"/>
            <w:tcBorders>
              <w:tl2br w:val="nil"/>
              <w:tr2bl w:val="nil"/>
            </w:tcBorders>
            <w:vAlign w:val="center"/>
          </w:tcPr>
          <w:p w14:paraId="6B02D208">
            <w:pPr>
              <w:topLinePunct/>
              <w:spacing w:line="240" w:lineRule="auto"/>
              <w:jc w:val="center"/>
              <w:rPr>
                <w:color w:val="000000"/>
                <w:kern w:val="0"/>
                <w:sz w:val="21"/>
              </w:rPr>
            </w:pPr>
            <w:r>
              <w:rPr>
                <w:color w:val="000000"/>
                <w:kern w:val="0"/>
                <w:sz w:val="21"/>
              </w:rPr>
              <w:t>危险废物名称</w:t>
            </w:r>
          </w:p>
        </w:tc>
        <w:tc>
          <w:tcPr>
            <w:tcW w:w="479" w:type="pct"/>
            <w:tcBorders>
              <w:tl2br w:val="nil"/>
              <w:tr2bl w:val="nil"/>
            </w:tcBorders>
            <w:vAlign w:val="center"/>
          </w:tcPr>
          <w:p w14:paraId="20037D1C">
            <w:pPr>
              <w:topLinePunct/>
              <w:spacing w:line="240" w:lineRule="auto"/>
              <w:jc w:val="center"/>
              <w:rPr>
                <w:color w:val="000000"/>
                <w:kern w:val="0"/>
                <w:sz w:val="21"/>
              </w:rPr>
            </w:pPr>
            <w:r>
              <w:rPr>
                <w:color w:val="000000"/>
                <w:kern w:val="0"/>
                <w:sz w:val="21"/>
              </w:rPr>
              <w:t>危险废物类别</w:t>
            </w:r>
          </w:p>
        </w:tc>
        <w:tc>
          <w:tcPr>
            <w:tcW w:w="850" w:type="pct"/>
            <w:tcBorders>
              <w:tl2br w:val="nil"/>
              <w:tr2bl w:val="nil"/>
            </w:tcBorders>
            <w:vAlign w:val="center"/>
          </w:tcPr>
          <w:p w14:paraId="729A9E49">
            <w:pPr>
              <w:topLinePunct/>
              <w:spacing w:line="240" w:lineRule="auto"/>
              <w:jc w:val="center"/>
              <w:rPr>
                <w:color w:val="000000"/>
                <w:kern w:val="0"/>
                <w:sz w:val="21"/>
              </w:rPr>
            </w:pPr>
            <w:r>
              <w:rPr>
                <w:color w:val="000000"/>
                <w:kern w:val="0"/>
                <w:sz w:val="21"/>
              </w:rPr>
              <w:t>主要成分</w:t>
            </w:r>
          </w:p>
        </w:tc>
        <w:tc>
          <w:tcPr>
            <w:tcW w:w="813" w:type="pct"/>
            <w:tcBorders>
              <w:tl2br w:val="nil"/>
              <w:tr2bl w:val="nil"/>
            </w:tcBorders>
            <w:vAlign w:val="center"/>
          </w:tcPr>
          <w:p w14:paraId="52D8B7E2">
            <w:pPr>
              <w:topLinePunct/>
              <w:spacing w:line="240" w:lineRule="auto"/>
              <w:jc w:val="center"/>
              <w:rPr>
                <w:color w:val="000000"/>
                <w:kern w:val="0"/>
                <w:sz w:val="21"/>
              </w:rPr>
            </w:pPr>
            <w:r>
              <w:rPr>
                <w:color w:val="000000"/>
                <w:kern w:val="0"/>
                <w:sz w:val="21"/>
              </w:rPr>
              <w:t>危险废物</w:t>
            </w:r>
          </w:p>
          <w:p w14:paraId="653953E3">
            <w:pPr>
              <w:topLinePunct/>
              <w:spacing w:line="240" w:lineRule="auto"/>
              <w:jc w:val="center"/>
              <w:rPr>
                <w:color w:val="000000"/>
                <w:kern w:val="0"/>
                <w:sz w:val="21"/>
              </w:rPr>
            </w:pPr>
            <w:r>
              <w:rPr>
                <w:color w:val="000000"/>
                <w:kern w:val="0"/>
                <w:sz w:val="21"/>
              </w:rPr>
              <w:t>代码</w:t>
            </w:r>
          </w:p>
        </w:tc>
        <w:tc>
          <w:tcPr>
            <w:tcW w:w="385" w:type="pct"/>
            <w:tcBorders>
              <w:tl2br w:val="nil"/>
              <w:tr2bl w:val="nil"/>
            </w:tcBorders>
            <w:vAlign w:val="center"/>
          </w:tcPr>
          <w:p w14:paraId="3892C664">
            <w:pPr>
              <w:topLinePunct/>
              <w:spacing w:line="240" w:lineRule="auto"/>
              <w:jc w:val="center"/>
              <w:rPr>
                <w:color w:val="000000"/>
                <w:kern w:val="0"/>
                <w:sz w:val="21"/>
              </w:rPr>
            </w:pPr>
            <w:r>
              <w:rPr>
                <w:color w:val="000000"/>
                <w:kern w:val="0"/>
                <w:sz w:val="21"/>
              </w:rPr>
              <w:t>位置</w:t>
            </w:r>
          </w:p>
        </w:tc>
        <w:tc>
          <w:tcPr>
            <w:tcW w:w="474" w:type="pct"/>
            <w:tcBorders>
              <w:tl2br w:val="nil"/>
              <w:tr2bl w:val="nil"/>
            </w:tcBorders>
            <w:vAlign w:val="center"/>
          </w:tcPr>
          <w:p w14:paraId="7BD1FE83">
            <w:pPr>
              <w:topLinePunct/>
              <w:spacing w:line="240" w:lineRule="auto"/>
              <w:jc w:val="center"/>
              <w:rPr>
                <w:color w:val="000000"/>
                <w:kern w:val="0"/>
                <w:sz w:val="21"/>
              </w:rPr>
            </w:pPr>
            <w:r>
              <w:rPr>
                <w:color w:val="000000"/>
                <w:kern w:val="0"/>
                <w:sz w:val="21"/>
              </w:rPr>
              <w:t>占地</w:t>
            </w:r>
          </w:p>
          <w:p w14:paraId="196FCCFD">
            <w:pPr>
              <w:topLinePunct/>
              <w:spacing w:line="240" w:lineRule="auto"/>
              <w:jc w:val="center"/>
              <w:rPr>
                <w:color w:val="000000"/>
                <w:kern w:val="0"/>
                <w:sz w:val="21"/>
              </w:rPr>
            </w:pPr>
            <w:r>
              <w:rPr>
                <w:color w:val="000000"/>
                <w:kern w:val="0"/>
                <w:sz w:val="21"/>
              </w:rPr>
              <w:t>面积</w:t>
            </w:r>
          </w:p>
          <w:p w14:paraId="2005820C">
            <w:pPr>
              <w:topLinePunct/>
              <w:spacing w:line="240" w:lineRule="auto"/>
              <w:jc w:val="center"/>
              <w:rPr>
                <w:color w:val="000000"/>
                <w:kern w:val="0"/>
                <w:sz w:val="21"/>
              </w:rPr>
            </w:pPr>
            <w:r>
              <w:rPr>
                <w:color w:val="000000"/>
                <w:kern w:val="0"/>
                <w:sz w:val="21"/>
              </w:rPr>
              <w:t>（m</w:t>
            </w:r>
            <w:r>
              <w:rPr>
                <w:color w:val="000000"/>
                <w:kern w:val="0"/>
                <w:sz w:val="21"/>
                <w:vertAlign w:val="superscript"/>
              </w:rPr>
              <w:t>2</w:t>
            </w:r>
            <w:r>
              <w:rPr>
                <w:color w:val="000000"/>
                <w:kern w:val="0"/>
                <w:sz w:val="21"/>
              </w:rPr>
              <w:t>）</w:t>
            </w:r>
          </w:p>
        </w:tc>
        <w:tc>
          <w:tcPr>
            <w:tcW w:w="523" w:type="pct"/>
            <w:tcBorders>
              <w:tl2br w:val="nil"/>
              <w:tr2bl w:val="nil"/>
            </w:tcBorders>
            <w:vAlign w:val="center"/>
          </w:tcPr>
          <w:p w14:paraId="3F32CF65">
            <w:pPr>
              <w:topLinePunct/>
              <w:spacing w:line="240" w:lineRule="auto"/>
              <w:jc w:val="center"/>
              <w:rPr>
                <w:color w:val="000000"/>
                <w:kern w:val="0"/>
                <w:sz w:val="21"/>
              </w:rPr>
            </w:pPr>
            <w:r>
              <w:rPr>
                <w:color w:val="000000"/>
                <w:kern w:val="0"/>
                <w:sz w:val="21"/>
              </w:rPr>
              <w:t>贮存方式</w:t>
            </w:r>
          </w:p>
        </w:tc>
      </w:tr>
      <w:tr w14:paraId="7966F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538" w:type="pct"/>
            <w:tcBorders>
              <w:tl2br w:val="nil"/>
              <w:tr2bl w:val="nil"/>
            </w:tcBorders>
            <w:vAlign w:val="center"/>
          </w:tcPr>
          <w:p w14:paraId="55B5B06C">
            <w:pPr>
              <w:topLinePunct/>
              <w:spacing w:line="240" w:lineRule="auto"/>
              <w:jc w:val="center"/>
              <w:rPr>
                <w:color w:val="000000"/>
                <w:kern w:val="0"/>
                <w:sz w:val="21"/>
              </w:rPr>
            </w:pPr>
            <w:r>
              <w:rPr>
                <w:color w:val="000000"/>
                <w:kern w:val="0"/>
                <w:sz w:val="21"/>
              </w:rPr>
              <w:t>危废暂存间</w:t>
            </w:r>
          </w:p>
        </w:tc>
        <w:tc>
          <w:tcPr>
            <w:tcW w:w="934" w:type="pct"/>
            <w:tcBorders>
              <w:tl2br w:val="nil"/>
              <w:tr2bl w:val="nil"/>
            </w:tcBorders>
            <w:vAlign w:val="center"/>
          </w:tcPr>
          <w:p w14:paraId="43EAC762">
            <w:pPr>
              <w:topLinePunct/>
              <w:spacing w:line="240" w:lineRule="auto"/>
              <w:jc w:val="center"/>
              <w:rPr>
                <w:color w:val="000000"/>
                <w:kern w:val="0"/>
                <w:sz w:val="21"/>
              </w:rPr>
            </w:pPr>
            <w:r>
              <w:rPr>
                <w:color w:val="000000"/>
                <w:kern w:val="0"/>
                <w:sz w:val="21"/>
              </w:rPr>
              <w:t>催化燃烧脱氢废催化剂</w:t>
            </w:r>
          </w:p>
        </w:tc>
        <w:tc>
          <w:tcPr>
            <w:tcW w:w="479" w:type="pct"/>
            <w:tcBorders>
              <w:tl2br w:val="nil"/>
              <w:tr2bl w:val="nil"/>
            </w:tcBorders>
            <w:vAlign w:val="center"/>
          </w:tcPr>
          <w:p w14:paraId="15A14882">
            <w:pPr>
              <w:topLinePunct/>
              <w:spacing w:line="240" w:lineRule="auto"/>
              <w:jc w:val="center"/>
              <w:rPr>
                <w:color w:val="000000"/>
                <w:kern w:val="0"/>
                <w:sz w:val="21"/>
              </w:rPr>
            </w:pPr>
            <w:r>
              <w:rPr>
                <w:color w:val="000000"/>
                <w:sz w:val="21"/>
              </w:rPr>
              <w:t>HW50</w:t>
            </w:r>
          </w:p>
        </w:tc>
        <w:tc>
          <w:tcPr>
            <w:tcW w:w="850" w:type="pct"/>
            <w:tcBorders>
              <w:tl2br w:val="nil"/>
              <w:tr2bl w:val="nil"/>
            </w:tcBorders>
            <w:vAlign w:val="center"/>
          </w:tcPr>
          <w:p w14:paraId="58C33BF7">
            <w:pPr>
              <w:topLinePunct/>
              <w:spacing w:line="240" w:lineRule="auto"/>
              <w:jc w:val="center"/>
              <w:rPr>
                <w:color w:val="000000"/>
                <w:kern w:val="0"/>
                <w:sz w:val="21"/>
              </w:rPr>
            </w:pPr>
            <w:r>
              <w:rPr>
                <w:color w:val="000000"/>
                <w:kern w:val="0"/>
                <w:sz w:val="21"/>
              </w:rPr>
              <w:t>含Pd、Al等</w:t>
            </w:r>
          </w:p>
        </w:tc>
        <w:tc>
          <w:tcPr>
            <w:tcW w:w="813" w:type="pct"/>
            <w:tcBorders>
              <w:tl2br w:val="nil"/>
              <w:tr2bl w:val="nil"/>
            </w:tcBorders>
            <w:vAlign w:val="center"/>
          </w:tcPr>
          <w:p w14:paraId="401971F0">
            <w:pPr>
              <w:pStyle w:val="2"/>
              <w:spacing w:after="0"/>
              <w:ind w:left="0" w:leftChars="0" w:firstLine="0" w:firstLineChars="0"/>
              <w:jc w:val="center"/>
              <w:rPr>
                <w:rFonts w:ascii="Times New Roman" w:hAnsi="Times New Roman" w:cs="Times New Roman"/>
                <w:color w:val="000000"/>
                <w:szCs w:val="21"/>
              </w:rPr>
            </w:pPr>
            <w:r>
              <w:rPr>
                <w:rFonts w:ascii="Times New Roman" w:hAnsi="Times New Roman" w:cs="Times New Roman"/>
                <w:color w:val="000000"/>
                <w:szCs w:val="21"/>
              </w:rPr>
              <w:t>261-156-50</w:t>
            </w:r>
          </w:p>
        </w:tc>
        <w:tc>
          <w:tcPr>
            <w:tcW w:w="385" w:type="pct"/>
            <w:tcBorders>
              <w:tl2br w:val="nil"/>
              <w:tr2bl w:val="nil"/>
            </w:tcBorders>
            <w:vAlign w:val="center"/>
          </w:tcPr>
          <w:p w14:paraId="031F6B40">
            <w:pPr>
              <w:topLinePunct/>
              <w:spacing w:line="240" w:lineRule="auto"/>
              <w:jc w:val="center"/>
              <w:rPr>
                <w:color w:val="000000"/>
                <w:kern w:val="0"/>
                <w:sz w:val="21"/>
              </w:rPr>
            </w:pPr>
            <w:r>
              <w:rPr>
                <w:color w:val="000000"/>
                <w:kern w:val="0"/>
                <w:sz w:val="21"/>
              </w:rPr>
              <w:t>厂区南侧</w:t>
            </w:r>
          </w:p>
        </w:tc>
        <w:tc>
          <w:tcPr>
            <w:tcW w:w="474" w:type="pct"/>
            <w:tcBorders>
              <w:tl2br w:val="nil"/>
              <w:tr2bl w:val="nil"/>
            </w:tcBorders>
            <w:vAlign w:val="center"/>
          </w:tcPr>
          <w:p w14:paraId="42F6762A">
            <w:pPr>
              <w:topLinePunct/>
              <w:spacing w:line="240" w:lineRule="auto"/>
              <w:jc w:val="center"/>
              <w:rPr>
                <w:color w:val="000000"/>
                <w:kern w:val="0"/>
                <w:sz w:val="21"/>
              </w:rPr>
            </w:pPr>
            <w:r>
              <w:rPr>
                <w:color w:val="000000"/>
                <w:kern w:val="0"/>
                <w:sz w:val="21"/>
              </w:rPr>
              <w:t>53.76</w:t>
            </w:r>
          </w:p>
        </w:tc>
        <w:tc>
          <w:tcPr>
            <w:tcW w:w="523" w:type="pct"/>
            <w:tcBorders>
              <w:tl2br w:val="nil"/>
              <w:tr2bl w:val="nil"/>
            </w:tcBorders>
            <w:vAlign w:val="center"/>
          </w:tcPr>
          <w:p w14:paraId="092E545E">
            <w:pPr>
              <w:topLinePunct/>
              <w:spacing w:line="240" w:lineRule="auto"/>
              <w:jc w:val="center"/>
              <w:rPr>
                <w:color w:val="000000"/>
                <w:kern w:val="0"/>
                <w:sz w:val="21"/>
              </w:rPr>
            </w:pPr>
            <w:r>
              <w:rPr>
                <w:color w:val="000000"/>
                <w:kern w:val="0"/>
                <w:sz w:val="21"/>
              </w:rPr>
              <w:t>袋装（固体）</w:t>
            </w:r>
          </w:p>
        </w:tc>
      </w:tr>
    </w:tbl>
    <w:p w14:paraId="4E902BAC">
      <w:pPr>
        <w:pStyle w:val="31"/>
        <w:rPr>
          <w:color w:val="000000"/>
        </w:rPr>
      </w:pPr>
    </w:p>
    <w:p w14:paraId="62FC7124">
      <w:pPr>
        <w:pStyle w:val="31"/>
        <w:rPr>
          <w:color w:val="000000"/>
        </w:rPr>
        <w:sectPr>
          <w:pgSz w:w="11905" w:h="16838"/>
          <w:pgMar w:top="1440" w:right="1803" w:bottom="1440" w:left="1803" w:header="720" w:footer="720" w:gutter="0"/>
          <w:cols w:space="720" w:num="1"/>
          <w:docGrid w:type="lines" w:linePitch="332" w:charSpace="0"/>
        </w:sectPr>
      </w:pPr>
      <w:r>
        <w:rPr>
          <w:color w:val="000000"/>
        </w:rPr>
        <w:t xml:space="preserve"> </w:t>
      </w:r>
    </w:p>
    <w:p w14:paraId="5FBE9D10">
      <w:pPr>
        <w:pStyle w:val="771"/>
        <w:rPr>
          <w:color w:val="000000"/>
        </w:rPr>
      </w:pPr>
      <w:bookmarkStart w:id="637" w:name="_Toc488392447"/>
      <w:bookmarkStart w:id="638" w:name="_Toc462350305"/>
      <w:bookmarkStart w:id="639" w:name="_Toc500376041"/>
      <w:bookmarkStart w:id="640" w:name="_Toc1755_WPSOffice_Level3"/>
      <w:r>
        <w:rPr>
          <w:b/>
          <w:bCs w:val="0"/>
          <w:color w:val="000000"/>
        </w:rPr>
        <w:t>5.2.5 地下水环境影预测与评价</w:t>
      </w:r>
      <w:bookmarkEnd w:id="637"/>
      <w:bookmarkEnd w:id="638"/>
      <w:bookmarkEnd w:id="639"/>
      <w:bookmarkEnd w:id="640"/>
    </w:p>
    <w:p w14:paraId="7BF23711">
      <w:pPr>
        <w:pStyle w:val="785"/>
        <w:rPr>
          <w:color w:val="000000"/>
        </w:rPr>
      </w:pPr>
      <w:r>
        <w:rPr>
          <w:color w:val="000000"/>
          <w:lang w:val="en-US"/>
        </w:rPr>
        <w:t>5</w:t>
      </w:r>
      <w:r>
        <w:rPr>
          <w:color w:val="000000"/>
        </w:rPr>
        <w:t>.2.5.</w:t>
      </w:r>
      <w:r>
        <w:rPr>
          <w:color w:val="000000"/>
          <w:lang w:val="en-US"/>
        </w:rPr>
        <w:t>1</w:t>
      </w:r>
      <w:r>
        <w:rPr>
          <w:color w:val="000000"/>
        </w:rPr>
        <w:t>地下水环境影响识别</w:t>
      </w:r>
    </w:p>
    <w:p w14:paraId="76B75D75">
      <w:pPr>
        <w:pStyle w:val="2197"/>
        <w:ind w:firstLine="480"/>
        <w:rPr>
          <w:rFonts w:cs="Times New Roman"/>
          <w:color w:val="000000"/>
          <w:sz w:val="24"/>
          <w:szCs w:val="21"/>
        </w:rPr>
      </w:pPr>
      <w:r>
        <w:rPr>
          <w:rFonts w:cs="Times New Roman"/>
          <w:color w:val="000000"/>
          <w:sz w:val="24"/>
          <w:szCs w:val="24"/>
        </w:rPr>
        <w:t>根据重庆南江地质工程勘察设计院编制的《重庆中石化通汇能源有限公司LNG工厂项目岩土工程勘察报告》：LNG工厂厂区地下水主要为岩溶（洞）裂隙水，为重HCO</w:t>
      </w:r>
      <w:r>
        <w:rPr>
          <w:rFonts w:cs="Times New Roman"/>
          <w:color w:val="000000"/>
          <w:sz w:val="24"/>
          <w:szCs w:val="24"/>
          <w:vertAlign w:val="subscript"/>
        </w:rPr>
        <w:t>3</w:t>
      </w:r>
      <w:r>
        <w:rPr>
          <w:rFonts w:cs="Times New Roman"/>
          <w:color w:val="000000"/>
          <w:sz w:val="24"/>
          <w:szCs w:val="24"/>
        </w:rPr>
        <w:t>-Ca型，对灰岩有溶蚀作用，</w:t>
      </w:r>
      <w:r>
        <w:rPr>
          <w:rFonts w:cs="Times New Roman"/>
          <w:color w:val="000000"/>
          <w:sz w:val="24"/>
          <w:szCs w:val="21"/>
        </w:rPr>
        <w:t>LNG工厂内已探明场地内有发育三个大的落水洞，一个小落水洞，场地内发育有地下岩溶管道（暗河），本项目区域不位于上述落水洞及暗河分布区，距离最近落水洞及暗河约90m。</w:t>
      </w:r>
    </w:p>
    <w:p w14:paraId="2EE1DC7A">
      <w:pPr>
        <w:pStyle w:val="2196"/>
        <w:ind w:firstLine="480"/>
        <w:rPr>
          <w:rFonts w:hAnsi="Times New Roman" w:cs="Times New Roman"/>
          <w:color w:val="000000"/>
          <w:szCs w:val="24"/>
        </w:rPr>
      </w:pPr>
      <w:r>
        <w:rPr>
          <w:rFonts w:hAnsi="Times New Roman" w:cs="Times New Roman"/>
          <w:color w:val="000000"/>
          <w:szCs w:val="24"/>
        </w:rPr>
        <w:t>由于LNG工厂厂区地下水赋存形式主要为第四系松散岩类孔隙水、基岩岩溶裂隙水及岩溶管道水（暗河）。</w:t>
      </w:r>
      <w:r>
        <w:rPr>
          <w:rFonts w:hAnsi="Times New Roman" w:cs="Times New Roman"/>
          <w:color w:val="000000"/>
        </w:rPr>
        <w:t>孔隙率大，透水性好，厚度小，含水性差。如果</w:t>
      </w:r>
      <w:r>
        <w:rPr>
          <w:rFonts w:hAnsi="Times New Roman" w:cs="Times New Roman"/>
          <w:color w:val="000000"/>
          <w:szCs w:val="24"/>
        </w:rPr>
        <w:t>项目厂内污染物收集、存储不到位，很容易发生漏失会造成地表污染物入渗，将对地下水（主要是潜水）水质造成影响。造成漏失的主要原因有：废水污水处理设施、危废暂存间防渗措施不到位出现渗漏；废水收集管沟破损等出现渗漏；污水处理设施在暴雨时段发生废水外溢，外溢废水进入未硬化地面入渗。</w:t>
      </w:r>
    </w:p>
    <w:p w14:paraId="368BFEE7">
      <w:pPr>
        <w:ind w:firstLine="480"/>
        <w:rPr>
          <w:color w:val="000000"/>
        </w:rPr>
      </w:pPr>
      <w:r>
        <w:rPr>
          <w:color w:val="000000"/>
        </w:rPr>
        <w:t>本项目运行期可能造成的地下水污染途径包括：</w:t>
      </w:r>
    </w:p>
    <w:p w14:paraId="4AC5BA6D">
      <w:pPr>
        <w:ind w:firstLine="480"/>
        <w:rPr>
          <w:color w:val="000000"/>
        </w:rPr>
      </w:pPr>
      <w:r>
        <w:rPr>
          <w:color w:val="000000"/>
        </w:rPr>
        <w:t>①正常状况下：生产废水处理池池体、危废暂存间均进行了防渗处理，因此泄漏损失很小。</w:t>
      </w:r>
    </w:p>
    <w:p w14:paraId="366BE658">
      <w:pPr>
        <w:ind w:firstLine="480"/>
        <w:rPr>
          <w:color w:val="000000"/>
        </w:rPr>
      </w:pPr>
      <w:r>
        <w:rPr>
          <w:color w:val="000000"/>
        </w:rPr>
        <w:t>②非正常状况下：生产废水处理池池体、危废暂存间防渗系统发生出现老化、腐蚀等情况，使得池体中的废水、地坪以上液体装置泄漏进入地下水系统；或生产废水处理池</w:t>
      </w:r>
      <w:r>
        <w:rPr>
          <w:color w:val="000000"/>
          <w:szCs w:val="24"/>
        </w:rPr>
        <w:t>在暴雨时段发生废水外溢下渗；废水</w:t>
      </w:r>
      <w:r>
        <w:rPr>
          <w:color w:val="000000"/>
        </w:rPr>
        <w:t>管道破裂造成污水下渗。</w:t>
      </w:r>
    </w:p>
    <w:p w14:paraId="5DF66949">
      <w:pPr>
        <w:ind w:firstLine="480"/>
        <w:rPr>
          <w:color w:val="000000"/>
        </w:rPr>
      </w:pPr>
      <w:r>
        <w:rPr>
          <w:color w:val="000000"/>
        </w:rPr>
        <w:t>本项目废水处理设施及危废暂存间均依托LNG现有厂区设施，LNG现有厂区已按照要求进行了重点防渗，因此，本次地下水评价的污染源情景设置为本项目生产废水管道输送至生产废水池发生渗漏对地下水影响分析。</w:t>
      </w:r>
    </w:p>
    <w:p w14:paraId="58BD857D">
      <w:pPr>
        <w:pStyle w:val="785"/>
        <w:rPr>
          <w:color w:val="000000"/>
        </w:rPr>
      </w:pPr>
      <w:r>
        <w:rPr>
          <w:color w:val="000000"/>
          <w:lang w:val="en-US"/>
        </w:rPr>
        <w:t>5</w:t>
      </w:r>
      <w:r>
        <w:rPr>
          <w:color w:val="000000"/>
        </w:rPr>
        <w:t>.2.5.</w:t>
      </w:r>
      <w:r>
        <w:rPr>
          <w:color w:val="000000"/>
          <w:lang w:val="en-US"/>
        </w:rPr>
        <w:t>2</w:t>
      </w:r>
      <w:r>
        <w:rPr>
          <w:color w:val="000000"/>
        </w:rPr>
        <w:t>地下水环境影响预测</w:t>
      </w:r>
    </w:p>
    <w:p w14:paraId="6A3E2CA4">
      <w:pPr>
        <w:ind w:firstLine="480" w:firstLineChars="200"/>
        <w:rPr>
          <w:bCs/>
          <w:color w:val="000000"/>
          <w:kern w:val="0"/>
        </w:rPr>
      </w:pPr>
      <w:r>
        <w:rPr>
          <w:bCs/>
          <w:color w:val="000000"/>
          <w:kern w:val="0"/>
        </w:rPr>
        <w:t>1、预测时段、因子、范围</w:t>
      </w:r>
    </w:p>
    <w:p w14:paraId="6743BDE1">
      <w:pPr>
        <w:ind w:firstLine="480"/>
        <w:rPr>
          <w:color w:val="000000"/>
          <w:szCs w:val="24"/>
        </w:rPr>
      </w:pPr>
      <w:r>
        <w:rPr>
          <w:color w:val="000000"/>
        </w:rPr>
        <w:t>预测时段：</w:t>
      </w:r>
      <w:r>
        <w:rPr>
          <w:color w:val="000000"/>
          <w:szCs w:val="24"/>
        </w:rPr>
        <w:t>根据《建设项目环境影响评价技术导则—地下水环境》（HJ610-2016），结合拟建项目特点，将运营期的地下水环境影响预测时段限定为100天、1000天和5年。</w:t>
      </w:r>
    </w:p>
    <w:p w14:paraId="2C4A26E9">
      <w:pPr>
        <w:ind w:firstLine="480"/>
        <w:rPr>
          <w:color w:val="000000"/>
          <w:szCs w:val="24"/>
        </w:rPr>
      </w:pPr>
      <w:r>
        <w:rPr>
          <w:color w:val="000000"/>
          <w:szCs w:val="24"/>
        </w:rPr>
        <w:t>预测范围：根据本项目区域地下水补径排特征，预测重点为本项目场址及下游区域。</w:t>
      </w:r>
    </w:p>
    <w:p w14:paraId="1DD2C174">
      <w:pPr>
        <w:ind w:firstLine="480"/>
        <w:rPr>
          <w:color w:val="000000"/>
          <w:szCs w:val="24"/>
        </w:rPr>
      </w:pPr>
      <w:r>
        <w:rPr>
          <w:color w:val="000000"/>
          <w:szCs w:val="24"/>
        </w:rPr>
        <w:t>预测因子：根据本项目特征污染物分析，本项目选取COD作为预测因子。</w:t>
      </w:r>
    </w:p>
    <w:p w14:paraId="23E9B4CA">
      <w:pPr>
        <w:ind w:firstLine="480"/>
        <w:rPr>
          <w:color w:val="000000"/>
          <w:szCs w:val="24"/>
        </w:rPr>
      </w:pPr>
      <w:r>
        <w:rPr>
          <w:color w:val="000000"/>
          <w:szCs w:val="24"/>
        </w:rPr>
        <w:t>2、污染源强</w:t>
      </w:r>
    </w:p>
    <w:p w14:paraId="689666F1">
      <w:pPr>
        <w:ind w:firstLine="480"/>
        <w:rPr>
          <w:color w:val="000000"/>
          <w:szCs w:val="24"/>
        </w:rPr>
      </w:pPr>
      <w:r>
        <w:rPr>
          <w:color w:val="000000"/>
          <w:szCs w:val="24"/>
        </w:rPr>
        <w:t>根据《给水排水管道工程施工及验收规范》（GB50268-2008）中管道正常允许渗漏量不得超过3.888m³/（km•d），假设非正常状况下的泄漏量是正常状况下泄漏量的20倍计算，渗漏长度为5m，污染源在泄漏2天内即可发现渗漏点并能够立即切断污染源，经计算渗漏量为0.778m³，通过计算可得各污染物的源强见下表。</w:t>
      </w:r>
    </w:p>
    <w:p w14:paraId="7AA7C03F">
      <w:pPr>
        <w:ind w:firstLine="480" w:firstLineChars="200"/>
        <w:jc w:val="center"/>
        <w:rPr>
          <w:color w:val="000000"/>
          <w:szCs w:val="24"/>
        </w:rPr>
      </w:pPr>
      <w:r>
        <w:rPr>
          <w:color w:val="000000"/>
          <w:szCs w:val="24"/>
        </w:rPr>
        <w:t>表5.4-2  地下水预测源强信息一览表</w:t>
      </w:r>
    </w:p>
    <w:tbl>
      <w:tblPr>
        <w:tblStyle w:val="7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2447"/>
        <w:gridCol w:w="2485"/>
        <w:gridCol w:w="2083"/>
      </w:tblGrid>
      <w:tr w14:paraId="3946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81" w:type="pct"/>
            <w:noWrap/>
            <w:vAlign w:val="center"/>
          </w:tcPr>
          <w:p w14:paraId="05A19F4B">
            <w:pPr>
              <w:ind w:firstLine="440"/>
              <w:jc w:val="center"/>
              <w:rPr>
                <w:color w:val="000000"/>
                <w:kern w:val="0"/>
                <w:szCs w:val="24"/>
              </w:rPr>
            </w:pPr>
            <w:r>
              <w:rPr>
                <w:color w:val="000000"/>
                <w:kern w:val="0"/>
                <w:szCs w:val="24"/>
              </w:rPr>
              <w:t>类别</w:t>
            </w:r>
          </w:p>
        </w:tc>
        <w:tc>
          <w:tcPr>
            <w:tcW w:w="1437" w:type="pct"/>
            <w:noWrap/>
            <w:vAlign w:val="center"/>
          </w:tcPr>
          <w:p w14:paraId="17EE6848">
            <w:pPr>
              <w:ind w:firstLine="440"/>
              <w:jc w:val="center"/>
              <w:rPr>
                <w:color w:val="000000"/>
                <w:kern w:val="0"/>
                <w:szCs w:val="24"/>
              </w:rPr>
            </w:pPr>
            <w:r>
              <w:rPr>
                <w:color w:val="000000"/>
                <w:kern w:val="0"/>
                <w:szCs w:val="24"/>
              </w:rPr>
              <w:t>污染浓度mg/m³</w:t>
            </w:r>
          </w:p>
        </w:tc>
        <w:tc>
          <w:tcPr>
            <w:tcW w:w="1459" w:type="pct"/>
            <w:noWrap/>
            <w:vAlign w:val="center"/>
          </w:tcPr>
          <w:p w14:paraId="052B309F">
            <w:pPr>
              <w:ind w:firstLine="440"/>
              <w:jc w:val="center"/>
              <w:rPr>
                <w:color w:val="000000"/>
                <w:kern w:val="0"/>
                <w:szCs w:val="24"/>
              </w:rPr>
            </w:pPr>
            <w:r>
              <w:rPr>
                <w:color w:val="000000"/>
                <w:kern w:val="0"/>
                <w:szCs w:val="24"/>
              </w:rPr>
              <w:t>渗漏体积/m³</w:t>
            </w:r>
          </w:p>
        </w:tc>
        <w:tc>
          <w:tcPr>
            <w:tcW w:w="1223" w:type="pct"/>
            <w:noWrap/>
            <w:vAlign w:val="center"/>
          </w:tcPr>
          <w:p w14:paraId="515BC27A">
            <w:pPr>
              <w:ind w:firstLine="440"/>
              <w:jc w:val="center"/>
              <w:rPr>
                <w:color w:val="000000"/>
                <w:kern w:val="0"/>
                <w:szCs w:val="24"/>
              </w:rPr>
            </w:pPr>
            <w:r>
              <w:rPr>
                <w:color w:val="000000"/>
                <w:kern w:val="0"/>
                <w:szCs w:val="24"/>
              </w:rPr>
              <w:t>源强/mg</w:t>
            </w:r>
          </w:p>
        </w:tc>
      </w:tr>
      <w:tr w14:paraId="7954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81" w:type="pct"/>
            <w:noWrap/>
            <w:vAlign w:val="center"/>
          </w:tcPr>
          <w:p w14:paraId="736C6446">
            <w:pPr>
              <w:ind w:firstLine="440"/>
              <w:jc w:val="center"/>
              <w:rPr>
                <w:color w:val="000000"/>
                <w:kern w:val="0"/>
                <w:szCs w:val="24"/>
              </w:rPr>
            </w:pPr>
            <w:r>
              <w:rPr>
                <w:color w:val="000000"/>
                <w:kern w:val="0"/>
                <w:szCs w:val="24"/>
              </w:rPr>
              <w:t>COD</w:t>
            </w:r>
          </w:p>
        </w:tc>
        <w:tc>
          <w:tcPr>
            <w:tcW w:w="1437" w:type="pct"/>
            <w:noWrap/>
            <w:vAlign w:val="center"/>
          </w:tcPr>
          <w:p w14:paraId="4E9DEE13">
            <w:pPr>
              <w:ind w:firstLine="440"/>
              <w:jc w:val="center"/>
              <w:rPr>
                <w:color w:val="000000"/>
                <w:kern w:val="0"/>
                <w:szCs w:val="24"/>
              </w:rPr>
            </w:pPr>
            <w:r>
              <w:rPr>
                <w:color w:val="000000"/>
                <w:kern w:val="0"/>
                <w:szCs w:val="24"/>
              </w:rPr>
              <w:t>500</w:t>
            </w:r>
          </w:p>
        </w:tc>
        <w:tc>
          <w:tcPr>
            <w:tcW w:w="1459" w:type="pct"/>
            <w:noWrap/>
            <w:vAlign w:val="center"/>
          </w:tcPr>
          <w:p w14:paraId="4F445875">
            <w:pPr>
              <w:ind w:firstLine="440"/>
              <w:jc w:val="center"/>
              <w:rPr>
                <w:color w:val="000000"/>
                <w:kern w:val="0"/>
                <w:szCs w:val="24"/>
              </w:rPr>
            </w:pPr>
            <w:r>
              <w:rPr>
                <w:color w:val="000000"/>
                <w:kern w:val="0"/>
                <w:szCs w:val="24"/>
              </w:rPr>
              <w:t>0.778</w:t>
            </w:r>
          </w:p>
        </w:tc>
        <w:tc>
          <w:tcPr>
            <w:tcW w:w="1223" w:type="pct"/>
            <w:noWrap/>
            <w:vAlign w:val="center"/>
          </w:tcPr>
          <w:p w14:paraId="07E8FE95">
            <w:pPr>
              <w:ind w:firstLine="440"/>
              <w:jc w:val="center"/>
              <w:rPr>
                <w:color w:val="000000"/>
                <w:kern w:val="0"/>
                <w:szCs w:val="24"/>
              </w:rPr>
            </w:pPr>
            <w:r>
              <w:rPr>
                <w:color w:val="000000"/>
                <w:kern w:val="0"/>
                <w:szCs w:val="24"/>
              </w:rPr>
              <w:t>389</w:t>
            </w:r>
          </w:p>
        </w:tc>
      </w:tr>
    </w:tbl>
    <w:p w14:paraId="261122CC">
      <w:pPr>
        <w:ind w:firstLine="480"/>
        <w:rPr>
          <w:color w:val="000000"/>
          <w:szCs w:val="24"/>
        </w:rPr>
      </w:pPr>
      <w:r>
        <w:rPr>
          <w:color w:val="000000"/>
          <w:szCs w:val="24"/>
        </w:rPr>
        <w:t>3、数学模型</w:t>
      </w:r>
    </w:p>
    <w:p w14:paraId="21C9787C">
      <w:pPr>
        <w:widowControl w:val="0"/>
        <w:ind w:firstLine="480" w:firstLineChars="200"/>
        <w:jc w:val="both"/>
        <w:rPr>
          <w:color w:val="000000"/>
          <w:szCs w:val="24"/>
        </w:rPr>
      </w:pPr>
      <w:r>
        <w:rPr>
          <w:color w:val="000000"/>
          <w:szCs w:val="24"/>
        </w:rPr>
        <w:t>通过对规划区污染物泄</w:t>
      </w:r>
      <w:r>
        <w:rPr>
          <w:color w:val="000000"/>
          <w:kern w:val="0"/>
          <w:szCs w:val="24"/>
        </w:rPr>
        <w:t>漏</w:t>
      </w:r>
      <w:r>
        <w:rPr>
          <w:color w:val="000000"/>
          <w:szCs w:val="24"/>
        </w:rPr>
        <w:t>情景的分析，规划区内的污水管道若发生泄</w:t>
      </w:r>
      <w:r>
        <w:rPr>
          <w:color w:val="000000"/>
          <w:kern w:val="0"/>
          <w:szCs w:val="24"/>
        </w:rPr>
        <w:t>漏</w:t>
      </w:r>
      <w:r>
        <w:rPr>
          <w:color w:val="000000"/>
          <w:szCs w:val="24"/>
        </w:rPr>
        <w:t>所产生的渗漏液废水对地下水环境具有一定的影响。通过污水管道所在地区的水文地质条件的分析，本次预测工作的预测方法适合采用解析法。</w:t>
      </w:r>
    </w:p>
    <w:p w14:paraId="0C810244">
      <w:pPr>
        <w:widowControl w:val="0"/>
        <w:ind w:firstLine="480" w:firstLineChars="200"/>
        <w:rPr>
          <w:color w:val="000000"/>
          <w:szCs w:val="24"/>
        </w:rPr>
      </w:pPr>
      <w:r>
        <w:rPr>
          <w:color w:val="000000"/>
          <w:szCs w:val="24"/>
        </w:rPr>
        <w:t>本次预测采用初始浓度（背景值）不为零时定浓度注入污染物的一维解析解法（参考《多孔介质污染物迁移动力学》，王洪涛，2008年3月）进行预测，预测公式为：</w:t>
      </w:r>
    </w:p>
    <w:p w14:paraId="02AD785F">
      <w:pPr>
        <w:jc w:val="center"/>
        <w:rPr>
          <w:color w:val="000000"/>
          <w:szCs w:val="24"/>
        </w:rPr>
      </w:pPr>
    </w:p>
    <w:p w14:paraId="0C86FF3C">
      <w:pPr>
        <w:jc w:val="center"/>
        <w:rPr>
          <w:color w:val="000000"/>
          <w:szCs w:val="24"/>
        </w:rPr>
      </w:pPr>
      <w:r>
        <w:rPr>
          <w:color w:val="000000"/>
          <w:szCs w:val="24"/>
        </w:rPr>
        <w:drawing>
          <wp:anchor distT="0" distB="0" distL="114300" distR="114300" simplePos="0" relativeHeight="251661312" behindDoc="0" locked="0" layoutInCell="1" allowOverlap="0">
            <wp:simplePos x="0" y="0"/>
            <wp:positionH relativeFrom="column">
              <wp:posOffset>309880</wp:posOffset>
            </wp:positionH>
            <wp:positionV relativeFrom="paragraph">
              <wp:posOffset>-147320</wp:posOffset>
            </wp:positionV>
            <wp:extent cx="3743325" cy="638175"/>
            <wp:effectExtent l="0" t="0" r="0" b="0"/>
            <wp:wrapSquare wrapText="bothSides"/>
            <wp:docPr id="7"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54"/>
                    <pic:cNvPicPr>
                      <a:picLocks noChangeAspect="1" noChangeArrowheads="1"/>
                    </pic:cNvPicPr>
                  </pic:nvPicPr>
                  <pic:blipFill>
                    <a:blip r:embed="rId38"/>
                    <a:srcRect/>
                    <a:stretch>
                      <a:fillRect/>
                    </a:stretch>
                  </pic:blipFill>
                  <pic:spPr>
                    <a:xfrm>
                      <a:off x="0" y="0"/>
                      <a:ext cx="3743325" cy="638175"/>
                    </a:xfrm>
                    <a:prstGeom prst="rect">
                      <a:avLst/>
                    </a:prstGeom>
                    <a:noFill/>
                    <a:ln w="9525">
                      <a:noFill/>
                      <a:miter lim="800000"/>
                      <a:headEnd/>
                      <a:tailEnd/>
                    </a:ln>
                  </pic:spPr>
                </pic:pic>
              </a:graphicData>
            </a:graphic>
          </wp:anchor>
        </w:drawing>
      </w:r>
    </w:p>
    <w:p w14:paraId="2255EE5D">
      <w:pPr>
        <w:jc w:val="center"/>
        <w:rPr>
          <w:color w:val="000000"/>
          <w:szCs w:val="24"/>
        </w:rPr>
      </w:pPr>
    </w:p>
    <w:p w14:paraId="7C7A4EBF">
      <w:pPr>
        <w:ind w:firstLine="480" w:firstLineChars="200"/>
        <w:rPr>
          <w:color w:val="000000"/>
          <w:szCs w:val="24"/>
        </w:rPr>
      </w:pPr>
      <w:r>
        <w:rPr>
          <w:color w:val="000000"/>
          <w:szCs w:val="24"/>
        </w:rPr>
        <w:t>式中：</w:t>
      </w:r>
    </w:p>
    <w:p w14:paraId="45A08FA0">
      <w:pPr>
        <w:ind w:firstLine="480" w:firstLineChars="200"/>
        <w:rPr>
          <w:color w:val="000000"/>
          <w:szCs w:val="24"/>
        </w:rPr>
      </w:pPr>
      <w:r>
        <w:rPr>
          <w:color w:val="000000"/>
          <w:szCs w:val="24"/>
        </w:rPr>
        <w:t>x—距注入点的距离，m；</w:t>
      </w:r>
    </w:p>
    <w:p w14:paraId="4F64C439">
      <w:pPr>
        <w:ind w:firstLine="480" w:firstLineChars="200"/>
        <w:rPr>
          <w:color w:val="000000"/>
          <w:szCs w:val="24"/>
        </w:rPr>
      </w:pPr>
      <w:r>
        <w:rPr>
          <w:color w:val="000000"/>
          <w:szCs w:val="24"/>
        </w:rPr>
        <w:t>t—时间，d；</w:t>
      </w:r>
    </w:p>
    <w:p w14:paraId="00D52CC0">
      <w:pPr>
        <w:ind w:firstLine="480" w:firstLineChars="200"/>
        <w:rPr>
          <w:color w:val="000000"/>
          <w:szCs w:val="24"/>
        </w:rPr>
      </w:pPr>
      <w:r>
        <w:rPr>
          <w:color w:val="000000"/>
          <w:szCs w:val="24"/>
        </w:rPr>
        <w:t>c—t时刻x处的污染物浓度，mg/L；</w:t>
      </w:r>
    </w:p>
    <w:p w14:paraId="58B17FD0">
      <w:pPr>
        <w:ind w:firstLine="480" w:firstLineChars="200"/>
        <w:rPr>
          <w:color w:val="000000"/>
          <w:szCs w:val="24"/>
        </w:rPr>
      </w:pPr>
      <w:r>
        <w:rPr>
          <w:color w:val="000000"/>
          <w:szCs w:val="24"/>
        </w:rPr>
        <w:t>c</w:t>
      </w:r>
      <w:r>
        <w:rPr>
          <w:color w:val="000000"/>
          <w:szCs w:val="24"/>
          <w:vertAlign w:val="subscript"/>
        </w:rPr>
        <w:t>0</w:t>
      </w:r>
      <w:r>
        <w:rPr>
          <w:color w:val="000000"/>
          <w:szCs w:val="24"/>
        </w:rPr>
        <w:t>—污染物注入浓度，mg/L；</w:t>
      </w:r>
    </w:p>
    <w:p w14:paraId="53FBC846">
      <w:pPr>
        <w:ind w:firstLine="480" w:firstLineChars="200"/>
        <w:rPr>
          <w:color w:val="000000"/>
          <w:szCs w:val="24"/>
        </w:rPr>
      </w:pPr>
      <w:r>
        <w:rPr>
          <w:color w:val="000000"/>
          <w:szCs w:val="24"/>
        </w:rPr>
        <w:t>c</w:t>
      </w:r>
      <w:r>
        <w:rPr>
          <w:color w:val="000000"/>
          <w:szCs w:val="24"/>
          <w:vertAlign w:val="subscript"/>
        </w:rPr>
        <w:t>i</w:t>
      </w:r>
      <w:r>
        <w:rPr>
          <w:color w:val="000000"/>
          <w:szCs w:val="24"/>
        </w:rPr>
        <w:t>—污染物背景浓度，mg/L；</w:t>
      </w:r>
    </w:p>
    <w:p w14:paraId="1455CFCC">
      <w:pPr>
        <w:ind w:firstLine="480" w:firstLineChars="200"/>
        <w:rPr>
          <w:color w:val="000000"/>
          <w:szCs w:val="24"/>
        </w:rPr>
      </w:pPr>
      <w:r>
        <w:rPr>
          <w:color w:val="000000"/>
          <w:szCs w:val="24"/>
        </w:rPr>
        <w:t>u—水流速度，m/d；</w:t>
      </w:r>
    </w:p>
    <w:p w14:paraId="7ED3B223">
      <w:pPr>
        <w:ind w:firstLine="480" w:firstLineChars="200"/>
        <w:rPr>
          <w:color w:val="000000"/>
          <w:szCs w:val="24"/>
        </w:rPr>
      </w:pPr>
      <w:r>
        <w:rPr>
          <w:color w:val="000000"/>
          <w:szCs w:val="24"/>
        </w:rPr>
        <w:t>D</w:t>
      </w:r>
      <w:r>
        <w:rPr>
          <w:color w:val="000000"/>
          <w:szCs w:val="24"/>
          <w:vertAlign w:val="subscript"/>
        </w:rPr>
        <w:t>L</w:t>
      </w:r>
      <w:r>
        <w:rPr>
          <w:color w:val="000000"/>
          <w:szCs w:val="24"/>
        </w:rPr>
        <w:t>—纵向弥散系数，m</w:t>
      </w:r>
      <w:r>
        <w:rPr>
          <w:color w:val="000000"/>
          <w:szCs w:val="24"/>
          <w:vertAlign w:val="superscript"/>
        </w:rPr>
        <w:t>2</w:t>
      </w:r>
      <w:r>
        <w:rPr>
          <w:color w:val="000000"/>
          <w:szCs w:val="24"/>
        </w:rPr>
        <w:t>/d；</w:t>
      </w:r>
    </w:p>
    <w:p w14:paraId="7D9C3FF6">
      <w:pPr>
        <w:pStyle w:val="785"/>
        <w:ind w:firstLine="480" w:firstLineChars="200"/>
        <w:outlineLvl w:val="9"/>
        <w:rPr>
          <w:color w:val="000000"/>
          <w:szCs w:val="24"/>
          <w:lang w:val="en-US"/>
        </w:rPr>
      </w:pPr>
      <w:r>
        <w:rPr>
          <w:color w:val="000000"/>
          <w:szCs w:val="24"/>
          <w:lang w:val="en-US"/>
        </w:rPr>
        <w:t>4、预测标准</w:t>
      </w:r>
    </w:p>
    <w:p w14:paraId="4F72690A">
      <w:pPr>
        <w:ind w:firstLine="480"/>
        <w:rPr>
          <w:color w:val="000000"/>
          <w:szCs w:val="24"/>
        </w:rPr>
      </w:pPr>
      <w:r>
        <w:rPr>
          <w:color w:val="000000"/>
          <w:szCs w:val="24"/>
        </w:rPr>
        <w:t>通过对评价区内水文地质条件的分析和水文地质参数的确定，运用解析解方法计算得出了污水管道在非正常工况下发生渗漏后在不同的时间内对地下水环境的影响变化情况。本次评价污染物影响与超标情况分别以各检测指标的检出限和地下水质量标准限值为判别依据，当预测结果小于标准限值时即可视为污染物不会对地下水产生污染，当预测结果小于检出限或背景值时即可视为对地下水环境没有影响。COD参照《地表水环境质量标准》（GB3838-2002）Ⅲ类标准值，具体见下表。</w:t>
      </w:r>
    </w:p>
    <w:p w14:paraId="7C3BCD66">
      <w:pPr>
        <w:ind w:firstLine="480" w:firstLineChars="200"/>
        <w:jc w:val="center"/>
        <w:rPr>
          <w:color w:val="000000"/>
          <w:kern w:val="0"/>
          <w:szCs w:val="24"/>
        </w:rPr>
      </w:pPr>
      <w:r>
        <w:rPr>
          <w:color w:val="000000"/>
          <w:kern w:val="0"/>
          <w:szCs w:val="24"/>
        </w:rPr>
        <w:t>表5.2.5.3-1  污染指标质量标准及检出限一览表</w:t>
      </w:r>
    </w:p>
    <w:tbl>
      <w:tblPr>
        <w:tblStyle w:val="7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7"/>
        <w:gridCol w:w="2776"/>
      </w:tblGrid>
      <w:tr w14:paraId="26D2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369" w:type="pct"/>
            <w:noWrap/>
            <w:vAlign w:val="center"/>
          </w:tcPr>
          <w:p w14:paraId="2BA1F240">
            <w:pPr>
              <w:jc w:val="center"/>
              <w:rPr>
                <w:color w:val="000000"/>
                <w:kern w:val="0"/>
                <w:sz w:val="22"/>
              </w:rPr>
            </w:pPr>
            <w:r>
              <w:rPr>
                <w:color w:val="000000"/>
                <w:kern w:val="0"/>
                <w:sz w:val="22"/>
              </w:rPr>
              <w:t>类别</w:t>
            </w:r>
          </w:p>
        </w:tc>
        <w:tc>
          <w:tcPr>
            <w:tcW w:w="1630" w:type="pct"/>
            <w:noWrap/>
            <w:vAlign w:val="center"/>
          </w:tcPr>
          <w:p w14:paraId="1A699D28">
            <w:pPr>
              <w:jc w:val="center"/>
              <w:rPr>
                <w:color w:val="000000"/>
                <w:kern w:val="0"/>
                <w:sz w:val="22"/>
              </w:rPr>
            </w:pPr>
            <w:r>
              <w:rPr>
                <w:color w:val="000000"/>
                <w:kern w:val="0"/>
                <w:sz w:val="22"/>
              </w:rPr>
              <w:t>COD</w:t>
            </w:r>
          </w:p>
        </w:tc>
      </w:tr>
      <w:tr w14:paraId="6DAB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369" w:type="pct"/>
            <w:noWrap/>
            <w:vAlign w:val="center"/>
          </w:tcPr>
          <w:p w14:paraId="36C0C2EF">
            <w:pPr>
              <w:jc w:val="center"/>
              <w:rPr>
                <w:color w:val="000000"/>
                <w:kern w:val="0"/>
                <w:sz w:val="22"/>
              </w:rPr>
            </w:pPr>
            <w:r>
              <w:rPr>
                <w:color w:val="000000"/>
                <w:kern w:val="0"/>
                <w:sz w:val="22"/>
              </w:rPr>
              <w:t>环境质量标准mg/L</w:t>
            </w:r>
          </w:p>
        </w:tc>
        <w:tc>
          <w:tcPr>
            <w:tcW w:w="1630" w:type="pct"/>
            <w:noWrap/>
            <w:vAlign w:val="center"/>
          </w:tcPr>
          <w:p w14:paraId="468D9EFB">
            <w:pPr>
              <w:jc w:val="center"/>
              <w:rPr>
                <w:color w:val="000000"/>
                <w:kern w:val="0"/>
                <w:sz w:val="22"/>
              </w:rPr>
            </w:pPr>
            <w:r>
              <w:rPr>
                <w:color w:val="000000"/>
                <w:kern w:val="0"/>
                <w:sz w:val="22"/>
              </w:rPr>
              <w:t>20</w:t>
            </w:r>
          </w:p>
        </w:tc>
      </w:tr>
      <w:tr w14:paraId="185F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369" w:type="pct"/>
            <w:noWrap/>
            <w:vAlign w:val="center"/>
          </w:tcPr>
          <w:p w14:paraId="4F76757D">
            <w:pPr>
              <w:jc w:val="center"/>
              <w:rPr>
                <w:color w:val="000000"/>
                <w:kern w:val="0"/>
                <w:sz w:val="22"/>
              </w:rPr>
            </w:pPr>
            <w:r>
              <w:rPr>
                <w:color w:val="000000"/>
                <w:kern w:val="0"/>
                <w:sz w:val="22"/>
              </w:rPr>
              <w:t>检出限mg/L</w:t>
            </w:r>
          </w:p>
        </w:tc>
        <w:tc>
          <w:tcPr>
            <w:tcW w:w="1630" w:type="pct"/>
            <w:noWrap/>
            <w:vAlign w:val="center"/>
          </w:tcPr>
          <w:p w14:paraId="64176D05">
            <w:pPr>
              <w:jc w:val="center"/>
              <w:rPr>
                <w:color w:val="000000"/>
                <w:kern w:val="0"/>
                <w:sz w:val="22"/>
              </w:rPr>
            </w:pPr>
            <w:r>
              <w:rPr>
                <w:color w:val="000000"/>
                <w:kern w:val="0"/>
                <w:sz w:val="22"/>
              </w:rPr>
              <w:t>4</w:t>
            </w:r>
          </w:p>
        </w:tc>
      </w:tr>
    </w:tbl>
    <w:p w14:paraId="329DEEF2">
      <w:pPr>
        <w:pStyle w:val="785"/>
        <w:ind w:firstLine="480" w:firstLineChars="200"/>
        <w:outlineLvl w:val="9"/>
        <w:rPr>
          <w:color w:val="000000"/>
          <w:szCs w:val="24"/>
          <w:lang w:val="en-US"/>
        </w:rPr>
      </w:pPr>
      <w:r>
        <w:rPr>
          <w:color w:val="000000"/>
          <w:szCs w:val="24"/>
          <w:lang w:val="en-US"/>
        </w:rPr>
        <w:t>5、预测结果</w:t>
      </w:r>
    </w:p>
    <w:p w14:paraId="3FF05F86">
      <w:pPr>
        <w:ind w:firstLine="480"/>
        <w:rPr>
          <w:color w:val="000000"/>
        </w:rPr>
      </w:pPr>
      <w:r>
        <w:rPr>
          <w:color w:val="000000"/>
        </w:rPr>
        <w:t>污染因子COD预测评价结果将表5.2.5.5-1。</w:t>
      </w:r>
    </w:p>
    <w:p w14:paraId="60959956">
      <w:pPr>
        <w:ind w:firstLine="1440" w:firstLineChars="600"/>
        <w:rPr>
          <w:color w:val="000000"/>
        </w:rPr>
      </w:pPr>
      <w:r>
        <w:rPr>
          <w:color w:val="000000"/>
        </w:rPr>
        <w:t>表5.2.5.5-1污染物浓度迁移预测结果（COD）</w:t>
      </w:r>
    </w:p>
    <w:tbl>
      <w:tblPr>
        <w:tblStyle w:val="7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4"/>
        <w:gridCol w:w="2874"/>
        <w:gridCol w:w="3024"/>
      </w:tblGrid>
      <w:tr w14:paraId="02D0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5" w:type="pct"/>
            <w:vAlign w:val="center"/>
          </w:tcPr>
          <w:p w14:paraId="798EC970">
            <w:pPr>
              <w:jc w:val="center"/>
              <w:rPr>
                <w:color w:val="000000"/>
                <w:kern w:val="0"/>
                <w:sz w:val="22"/>
              </w:rPr>
            </w:pPr>
            <w:r>
              <w:rPr>
                <w:color w:val="000000"/>
                <w:kern w:val="0"/>
                <w:sz w:val="22"/>
              </w:rPr>
              <w:t>预测时段</w:t>
            </w:r>
          </w:p>
        </w:tc>
        <w:tc>
          <w:tcPr>
            <w:tcW w:w="1688" w:type="pct"/>
            <w:vAlign w:val="center"/>
          </w:tcPr>
          <w:p w14:paraId="3B76C168">
            <w:pPr>
              <w:jc w:val="center"/>
              <w:rPr>
                <w:color w:val="000000"/>
                <w:kern w:val="0"/>
                <w:sz w:val="22"/>
              </w:rPr>
            </w:pPr>
            <w:r>
              <w:rPr>
                <w:color w:val="000000"/>
                <w:kern w:val="0"/>
                <w:sz w:val="22"/>
              </w:rPr>
              <w:t>影响距离</w:t>
            </w:r>
          </w:p>
        </w:tc>
        <w:tc>
          <w:tcPr>
            <w:tcW w:w="1776" w:type="pct"/>
            <w:vAlign w:val="center"/>
          </w:tcPr>
          <w:p w14:paraId="2A26D176">
            <w:pPr>
              <w:jc w:val="center"/>
              <w:rPr>
                <w:color w:val="000000"/>
                <w:kern w:val="0"/>
                <w:sz w:val="22"/>
              </w:rPr>
            </w:pPr>
            <w:r>
              <w:rPr>
                <w:color w:val="000000"/>
                <w:kern w:val="0"/>
                <w:sz w:val="22"/>
              </w:rPr>
              <w:t>超标距离</w:t>
            </w:r>
          </w:p>
        </w:tc>
      </w:tr>
      <w:tr w14:paraId="7C42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5" w:type="pct"/>
            <w:vAlign w:val="center"/>
          </w:tcPr>
          <w:p w14:paraId="52796C53">
            <w:pPr>
              <w:jc w:val="center"/>
              <w:rPr>
                <w:color w:val="000000"/>
                <w:kern w:val="0"/>
                <w:sz w:val="22"/>
              </w:rPr>
            </w:pPr>
            <w:r>
              <w:rPr>
                <w:color w:val="000000"/>
                <w:kern w:val="0"/>
                <w:sz w:val="22"/>
              </w:rPr>
              <w:t>100天</w:t>
            </w:r>
          </w:p>
        </w:tc>
        <w:tc>
          <w:tcPr>
            <w:tcW w:w="1688" w:type="pct"/>
            <w:vAlign w:val="center"/>
          </w:tcPr>
          <w:p w14:paraId="41A1FB98">
            <w:pPr>
              <w:jc w:val="center"/>
              <w:rPr>
                <w:color w:val="000000"/>
                <w:kern w:val="0"/>
                <w:sz w:val="22"/>
              </w:rPr>
            </w:pPr>
            <w:r>
              <w:rPr>
                <w:color w:val="000000"/>
                <w:kern w:val="0"/>
                <w:sz w:val="22"/>
              </w:rPr>
              <w:t>22m</w:t>
            </w:r>
          </w:p>
        </w:tc>
        <w:tc>
          <w:tcPr>
            <w:tcW w:w="1776" w:type="pct"/>
            <w:vAlign w:val="center"/>
          </w:tcPr>
          <w:p w14:paraId="04E9910B">
            <w:pPr>
              <w:jc w:val="center"/>
              <w:rPr>
                <w:color w:val="000000"/>
                <w:kern w:val="0"/>
                <w:sz w:val="22"/>
              </w:rPr>
            </w:pPr>
            <w:r>
              <w:rPr>
                <w:color w:val="000000"/>
                <w:kern w:val="0"/>
                <w:sz w:val="22"/>
              </w:rPr>
              <w:t>26m</w:t>
            </w:r>
          </w:p>
        </w:tc>
      </w:tr>
      <w:tr w14:paraId="16F2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5" w:type="pct"/>
            <w:vAlign w:val="center"/>
          </w:tcPr>
          <w:p w14:paraId="1CF80B87">
            <w:pPr>
              <w:jc w:val="center"/>
              <w:rPr>
                <w:color w:val="000000"/>
                <w:kern w:val="0"/>
                <w:sz w:val="22"/>
              </w:rPr>
            </w:pPr>
            <w:r>
              <w:rPr>
                <w:color w:val="000000"/>
                <w:kern w:val="0"/>
                <w:sz w:val="22"/>
              </w:rPr>
              <w:t>1000天</w:t>
            </w:r>
          </w:p>
        </w:tc>
        <w:tc>
          <w:tcPr>
            <w:tcW w:w="1688" w:type="pct"/>
            <w:vAlign w:val="center"/>
          </w:tcPr>
          <w:p w14:paraId="6DB74782">
            <w:pPr>
              <w:jc w:val="center"/>
              <w:rPr>
                <w:color w:val="000000"/>
                <w:kern w:val="0"/>
                <w:sz w:val="22"/>
              </w:rPr>
            </w:pPr>
            <w:r>
              <w:rPr>
                <w:color w:val="000000"/>
                <w:kern w:val="0"/>
                <w:sz w:val="22"/>
              </w:rPr>
              <w:t>139m</w:t>
            </w:r>
          </w:p>
        </w:tc>
        <w:tc>
          <w:tcPr>
            <w:tcW w:w="1776" w:type="pct"/>
            <w:vAlign w:val="center"/>
          </w:tcPr>
          <w:p w14:paraId="55306BAC">
            <w:pPr>
              <w:jc w:val="center"/>
              <w:rPr>
                <w:color w:val="000000"/>
                <w:kern w:val="0"/>
                <w:sz w:val="22"/>
              </w:rPr>
            </w:pPr>
            <w:r>
              <w:rPr>
                <w:color w:val="000000"/>
                <w:kern w:val="0"/>
                <w:sz w:val="22"/>
              </w:rPr>
              <w:t>152m</w:t>
            </w:r>
          </w:p>
        </w:tc>
      </w:tr>
      <w:tr w14:paraId="31CF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5" w:type="pct"/>
            <w:vAlign w:val="center"/>
          </w:tcPr>
          <w:p w14:paraId="7BA11837">
            <w:pPr>
              <w:jc w:val="center"/>
              <w:rPr>
                <w:color w:val="000000"/>
                <w:kern w:val="0"/>
                <w:sz w:val="22"/>
              </w:rPr>
            </w:pPr>
            <w:r>
              <w:rPr>
                <w:color w:val="000000"/>
                <w:kern w:val="0"/>
                <w:sz w:val="22"/>
              </w:rPr>
              <w:t>5年</w:t>
            </w:r>
          </w:p>
        </w:tc>
        <w:tc>
          <w:tcPr>
            <w:tcW w:w="1688" w:type="pct"/>
            <w:vAlign w:val="center"/>
          </w:tcPr>
          <w:p w14:paraId="618BC700">
            <w:pPr>
              <w:jc w:val="center"/>
              <w:rPr>
                <w:color w:val="000000"/>
                <w:kern w:val="0"/>
                <w:sz w:val="22"/>
              </w:rPr>
            </w:pPr>
            <w:r>
              <w:rPr>
                <w:color w:val="000000"/>
                <w:kern w:val="0"/>
                <w:sz w:val="22"/>
              </w:rPr>
              <w:t>237m</w:t>
            </w:r>
          </w:p>
        </w:tc>
        <w:tc>
          <w:tcPr>
            <w:tcW w:w="1776" w:type="pct"/>
            <w:vAlign w:val="center"/>
          </w:tcPr>
          <w:p w14:paraId="2AFB73D2">
            <w:pPr>
              <w:jc w:val="center"/>
              <w:rPr>
                <w:color w:val="000000"/>
                <w:kern w:val="0"/>
                <w:sz w:val="22"/>
              </w:rPr>
            </w:pPr>
            <w:r>
              <w:rPr>
                <w:color w:val="000000"/>
                <w:kern w:val="0"/>
                <w:sz w:val="22"/>
              </w:rPr>
              <w:t>254m</w:t>
            </w:r>
          </w:p>
        </w:tc>
      </w:tr>
    </w:tbl>
    <w:p w14:paraId="524B6603">
      <w:pPr>
        <w:ind w:firstLine="480" w:firstLineChars="200"/>
        <w:rPr>
          <w:color w:val="000000"/>
        </w:rPr>
      </w:pPr>
      <w:r>
        <w:rPr>
          <w:color w:val="000000"/>
        </w:rPr>
        <w:t>通过对预测结果分析可知，在非正常状况下污水管道发生渗漏，废水中的主要污染物COD在地下水含水层的迁移速度比较缓慢并且随着时间推移下游污染物影响距离先逐渐变大，污染晕浓度逐渐降低，最终对地下水没有影响.</w:t>
      </w:r>
    </w:p>
    <w:p w14:paraId="39949941">
      <w:pPr>
        <w:ind w:firstLine="480" w:firstLineChars="200"/>
        <w:rPr>
          <w:color w:val="000000"/>
        </w:rPr>
      </w:pPr>
      <w:r>
        <w:rPr>
          <w:color w:val="000000"/>
        </w:rPr>
        <w:t>各阶段污染扩散情况分述如下：泄漏发生100天时，COD污染物向下游迁移距离为22m，其浓度达到20mg/L的最远距离为泄漏点下游26m处；在第1000天时，COD污染物向下游迁移距离分别为139m，COD污染物浓度达到20mg/L的最远距离为泄漏点下游152m处；在第5年时，COD污染物向下游迁移距离为237m，COD污染物浓度达到20mg/L的最远距离为泄漏点下游254m处。</w:t>
      </w:r>
    </w:p>
    <w:p w14:paraId="30802905">
      <w:pPr>
        <w:ind w:firstLine="480" w:firstLineChars="200"/>
        <w:rPr>
          <w:color w:val="000000"/>
        </w:rPr>
      </w:pPr>
      <w:r>
        <w:rPr>
          <w:color w:val="000000"/>
        </w:rPr>
        <w:t>根据预测结果，污染物泄漏会对区域地下水造成一定污染。规划区通过严格规范管网管理，通过建立日常巡查制度等，确保管网系统能尽快查出，通过相关环节管理制度和措施，可确保不会出现持续性非正常排放的现象，对地下水的环境影响总体可控，环境影响可以接受。</w:t>
      </w:r>
    </w:p>
    <w:p w14:paraId="50FBE7FC">
      <w:pPr>
        <w:pStyle w:val="771"/>
        <w:rPr>
          <w:color w:val="000000"/>
        </w:rPr>
      </w:pPr>
      <w:bookmarkStart w:id="641" w:name="_Toc13662320"/>
      <w:bookmarkStart w:id="642" w:name="_Toc25736_WPSOffice_Level3"/>
      <w:r>
        <w:rPr>
          <w:color w:val="000000"/>
        </w:rPr>
        <w:t>5.2.6 土壤环境影响分析</w:t>
      </w:r>
      <w:bookmarkEnd w:id="641"/>
      <w:bookmarkEnd w:id="642"/>
    </w:p>
    <w:p w14:paraId="740E6769">
      <w:pPr>
        <w:pStyle w:val="785"/>
        <w:rPr>
          <w:color w:val="000000"/>
          <w:szCs w:val="24"/>
        </w:rPr>
      </w:pPr>
      <w:bookmarkStart w:id="643" w:name="_Toc15499599"/>
      <w:bookmarkStart w:id="644" w:name="_Toc15499359"/>
      <w:bookmarkStart w:id="645" w:name="_Toc21961478"/>
      <w:bookmarkStart w:id="646" w:name="_Toc6005_WPSOffice_Level3"/>
      <w:bookmarkStart w:id="647" w:name="_Toc500376044"/>
      <w:r>
        <w:rPr>
          <w:color w:val="000000"/>
          <w:szCs w:val="24"/>
          <w:lang w:val="en-US"/>
        </w:rPr>
        <w:t>5.2</w:t>
      </w:r>
      <w:r>
        <w:rPr>
          <w:color w:val="000000"/>
          <w:szCs w:val="24"/>
        </w:rPr>
        <w:t>.6.1 土壤环境污染影响识别</w:t>
      </w:r>
    </w:p>
    <w:p w14:paraId="7979C8D8">
      <w:pPr>
        <w:ind w:firstLine="480"/>
        <w:rPr>
          <w:color w:val="000000"/>
        </w:rPr>
      </w:pPr>
      <w:r>
        <w:rPr>
          <w:color w:val="000000"/>
        </w:rPr>
        <w:t>本项目属于污染影响型建设项目，重点对运营期的环境影响进行识别，详见表5.2.6.1-1、表5.2.6.1-2。</w:t>
      </w:r>
    </w:p>
    <w:p w14:paraId="674D2C02">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5</w:t>
      </w:r>
      <w:r>
        <w:rPr>
          <w:rFonts w:ascii="Times New Roman" w:hAnsi="Times New Roman"/>
          <w:color w:val="000000"/>
        </w:rPr>
        <w:t>.2.6.1-1</w:t>
      </w:r>
      <w:r>
        <w:rPr>
          <w:rFonts w:ascii="Times New Roman" w:hAnsi="Times New Roman"/>
          <w:color w:val="000000"/>
          <w:lang w:val="en-US"/>
        </w:rPr>
        <w:t xml:space="preserve">  </w:t>
      </w:r>
      <w:r>
        <w:rPr>
          <w:rFonts w:ascii="Times New Roman" w:hAnsi="Times New Roman"/>
          <w:color w:val="000000"/>
        </w:rPr>
        <w:t>土壤环境影响类型与影响途径表</w:t>
      </w:r>
    </w:p>
    <w:tbl>
      <w:tblPr>
        <w:tblStyle w:val="73"/>
        <w:tblW w:w="5004"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81"/>
        <w:gridCol w:w="1151"/>
        <w:gridCol w:w="1151"/>
        <w:gridCol w:w="1151"/>
        <w:gridCol w:w="700"/>
        <w:gridCol w:w="695"/>
        <w:gridCol w:w="695"/>
        <w:gridCol w:w="696"/>
        <w:gridCol w:w="696"/>
      </w:tblGrid>
      <w:tr w14:paraId="412BA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30" w:type="pct"/>
            <w:vMerge w:val="restart"/>
            <w:vAlign w:val="center"/>
          </w:tcPr>
          <w:p w14:paraId="31AAAAA3">
            <w:pPr>
              <w:spacing w:line="240" w:lineRule="auto"/>
              <w:jc w:val="center"/>
              <w:rPr>
                <w:color w:val="000000"/>
                <w:sz w:val="21"/>
              </w:rPr>
            </w:pPr>
            <w:r>
              <w:rPr>
                <w:color w:val="000000"/>
                <w:sz w:val="21"/>
              </w:rPr>
              <w:t>不同时段</w:t>
            </w:r>
          </w:p>
        </w:tc>
        <w:tc>
          <w:tcPr>
            <w:tcW w:w="2497" w:type="pct"/>
            <w:gridSpan w:val="4"/>
          </w:tcPr>
          <w:p w14:paraId="5E93BD92">
            <w:pPr>
              <w:spacing w:line="240" w:lineRule="auto"/>
              <w:jc w:val="center"/>
              <w:rPr>
                <w:color w:val="000000"/>
                <w:sz w:val="21"/>
              </w:rPr>
            </w:pPr>
            <w:r>
              <w:rPr>
                <w:color w:val="000000"/>
                <w:sz w:val="21"/>
              </w:rPr>
              <w:t>污染影响型</w:t>
            </w:r>
          </w:p>
        </w:tc>
        <w:tc>
          <w:tcPr>
            <w:tcW w:w="1672" w:type="pct"/>
            <w:gridSpan w:val="4"/>
          </w:tcPr>
          <w:p w14:paraId="2BC36DBD">
            <w:pPr>
              <w:spacing w:line="240" w:lineRule="auto"/>
              <w:jc w:val="center"/>
              <w:rPr>
                <w:color w:val="000000"/>
                <w:sz w:val="21"/>
              </w:rPr>
            </w:pPr>
            <w:r>
              <w:rPr>
                <w:color w:val="000000"/>
                <w:sz w:val="21"/>
              </w:rPr>
              <w:t>生态影响型</w:t>
            </w:r>
          </w:p>
        </w:tc>
      </w:tr>
      <w:tr w14:paraId="2EE72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30" w:type="pct"/>
            <w:vMerge w:val="continue"/>
            <w:tcBorders>
              <w:top w:val="nil"/>
            </w:tcBorders>
          </w:tcPr>
          <w:p w14:paraId="1ED1C545">
            <w:pPr>
              <w:spacing w:line="240" w:lineRule="auto"/>
              <w:jc w:val="center"/>
              <w:rPr>
                <w:color w:val="000000"/>
                <w:sz w:val="21"/>
              </w:rPr>
            </w:pPr>
          </w:p>
        </w:tc>
        <w:tc>
          <w:tcPr>
            <w:tcW w:w="692" w:type="pct"/>
          </w:tcPr>
          <w:p w14:paraId="76943C58">
            <w:pPr>
              <w:spacing w:line="240" w:lineRule="auto"/>
              <w:jc w:val="center"/>
              <w:rPr>
                <w:color w:val="000000"/>
                <w:sz w:val="21"/>
              </w:rPr>
            </w:pPr>
            <w:r>
              <w:rPr>
                <w:color w:val="000000"/>
                <w:sz w:val="21"/>
              </w:rPr>
              <w:t>大气沉降</w:t>
            </w:r>
          </w:p>
        </w:tc>
        <w:tc>
          <w:tcPr>
            <w:tcW w:w="692" w:type="pct"/>
          </w:tcPr>
          <w:p w14:paraId="263D3ACA">
            <w:pPr>
              <w:spacing w:line="240" w:lineRule="auto"/>
              <w:jc w:val="center"/>
              <w:rPr>
                <w:color w:val="000000"/>
                <w:sz w:val="21"/>
              </w:rPr>
            </w:pPr>
            <w:r>
              <w:rPr>
                <w:color w:val="000000"/>
                <w:sz w:val="21"/>
              </w:rPr>
              <w:t>地面漫流</w:t>
            </w:r>
          </w:p>
        </w:tc>
        <w:tc>
          <w:tcPr>
            <w:tcW w:w="692" w:type="pct"/>
          </w:tcPr>
          <w:p w14:paraId="6F4D9534">
            <w:pPr>
              <w:spacing w:line="240" w:lineRule="auto"/>
              <w:jc w:val="center"/>
              <w:rPr>
                <w:color w:val="000000"/>
                <w:sz w:val="21"/>
              </w:rPr>
            </w:pPr>
            <w:r>
              <w:rPr>
                <w:color w:val="000000"/>
                <w:sz w:val="21"/>
              </w:rPr>
              <w:t>垂直入渗</w:t>
            </w:r>
          </w:p>
        </w:tc>
        <w:tc>
          <w:tcPr>
            <w:tcW w:w="421" w:type="pct"/>
          </w:tcPr>
          <w:p w14:paraId="43D821E8">
            <w:pPr>
              <w:spacing w:line="240" w:lineRule="auto"/>
              <w:jc w:val="center"/>
              <w:rPr>
                <w:color w:val="000000"/>
                <w:sz w:val="21"/>
              </w:rPr>
            </w:pPr>
            <w:r>
              <w:rPr>
                <w:color w:val="000000"/>
                <w:sz w:val="21"/>
              </w:rPr>
              <w:t>其它</w:t>
            </w:r>
          </w:p>
        </w:tc>
        <w:tc>
          <w:tcPr>
            <w:tcW w:w="418" w:type="pct"/>
          </w:tcPr>
          <w:p w14:paraId="72DCFB0E">
            <w:pPr>
              <w:spacing w:line="240" w:lineRule="auto"/>
              <w:jc w:val="center"/>
              <w:rPr>
                <w:color w:val="000000"/>
                <w:sz w:val="21"/>
              </w:rPr>
            </w:pPr>
            <w:r>
              <w:rPr>
                <w:color w:val="000000"/>
                <w:sz w:val="21"/>
              </w:rPr>
              <w:t>盐化</w:t>
            </w:r>
          </w:p>
        </w:tc>
        <w:tc>
          <w:tcPr>
            <w:tcW w:w="418" w:type="pct"/>
          </w:tcPr>
          <w:p w14:paraId="4C6FAB0F">
            <w:pPr>
              <w:spacing w:line="240" w:lineRule="auto"/>
              <w:jc w:val="center"/>
              <w:rPr>
                <w:color w:val="000000"/>
                <w:sz w:val="21"/>
              </w:rPr>
            </w:pPr>
            <w:r>
              <w:rPr>
                <w:color w:val="000000"/>
                <w:sz w:val="21"/>
              </w:rPr>
              <w:t>碱化</w:t>
            </w:r>
          </w:p>
        </w:tc>
        <w:tc>
          <w:tcPr>
            <w:tcW w:w="418" w:type="pct"/>
          </w:tcPr>
          <w:p w14:paraId="3EBF9AD5">
            <w:pPr>
              <w:spacing w:line="240" w:lineRule="auto"/>
              <w:jc w:val="center"/>
              <w:rPr>
                <w:color w:val="000000"/>
                <w:sz w:val="21"/>
              </w:rPr>
            </w:pPr>
            <w:r>
              <w:rPr>
                <w:color w:val="000000"/>
                <w:sz w:val="21"/>
              </w:rPr>
              <w:t>酸化</w:t>
            </w:r>
          </w:p>
        </w:tc>
        <w:tc>
          <w:tcPr>
            <w:tcW w:w="417" w:type="pct"/>
          </w:tcPr>
          <w:p w14:paraId="345106C3">
            <w:pPr>
              <w:spacing w:line="240" w:lineRule="auto"/>
              <w:jc w:val="center"/>
              <w:rPr>
                <w:color w:val="000000"/>
                <w:sz w:val="21"/>
              </w:rPr>
            </w:pPr>
            <w:r>
              <w:rPr>
                <w:color w:val="000000"/>
                <w:sz w:val="21"/>
              </w:rPr>
              <w:t>其它</w:t>
            </w:r>
          </w:p>
        </w:tc>
      </w:tr>
      <w:tr w14:paraId="3738B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30" w:type="pct"/>
          </w:tcPr>
          <w:p w14:paraId="09ADE477">
            <w:pPr>
              <w:spacing w:line="240" w:lineRule="auto"/>
              <w:jc w:val="center"/>
              <w:rPr>
                <w:color w:val="000000"/>
                <w:sz w:val="21"/>
              </w:rPr>
            </w:pPr>
            <w:r>
              <w:rPr>
                <w:color w:val="000000"/>
                <w:sz w:val="21"/>
              </w:rPr>
              <w:t>施工期</w:t>
            </w:r>
          </w:p>
        </w:tc>
        <w:tc>
          <w:tcPr>
            <w:tcW w:w="692" w:type="pct"/>
          </w:tcPr>
          <w:p w14:paraId="4D35EB0B">
            <w:pPr>
              <w:spacing w:line="240" w:lineRule="auto"/>
              <w:jc w:val="center"/>
              <w:rPr>
                <w:color w:val="000000"/>
                <w:sz w:val="21"/>
              </w:rPr>
            </w:pPr>
            <w:r>
              <w:rPr>
                <w:color w:val="000000"/>
                <w:sz w:val="21"/>
              </w:rPr>
              <w:t>/</w:t>
            </w:r>
          </w:p>
        </w:tc>
        <w:tc>
          <w:tcPr>
            <w:tcW w:w="692" w:type="pct"/>
          </w:tcPr>
          <w:p w14:paraId="14B60EF7">
            <w:pPr>
              <w:spacing w:line="240" w:lineRule="auto"/>
              <w:jc w:val="center"/>
              <w:rPr>
                <w:color w:val="000000"/>
                <w:sz w:val="21"/>
              </w:rPr>
            </w:pPr>
            <w:r>
              <w:rPr>
                <w:color w:val="000000"/>
                <w:sz w:val="21"/>
              </w:rPr>
              <w:t>/</w:t>
            </w:r>
          </w:p>
        </w:tc>
        <w:tc>
          <w:tcPr>
            <w:tcW w:w="692" w:type="pct"/>
          </w:tcPr>
          <w:p w14:paraId="4B26170B">
            <w:pPr>
              <w:spacing w:line="240" w:lineRule="auto"/>
              <w:jc w:val="center"/>
              <w:rPr>
                <w:color w:val="000000"/>
                <w:sz w:val="21"/>
              </w:rPr>
            </w:pPr>
            <w:r>
              <w:rPr>
                <w:color w:val="000000"/>
                <w:sz w:val="21"/>
              </w:rPr>
              <w:t>/</w:t>
            </w:r>
          </w:p>
        </w:tc>
        <w:tc>
          <w:tcPr>
            <w:tcW w:w="421" w:type="pct"/>
          </w:tcPr>
          <w:p w14:paraId="537714A4">
            <w:pPr>
              <w:spacing w:line="240" w:lineRule="auto"/>
              <w:jc w:val="center"/>
              <w:rPr>
                <w:color w:val="000000"/>
                <w:sz w:val="21"/>
              </w:rPr>
            </w:pPr>
            <w:r>
              <w:rPr>
                <w:color w:val="000000"/>
                <w:sz w:val="21"/>
              </w:rPr>
              <w:t>/</w:t>
            </w:r>
          </w:p>
        </w:tc>
        <w:tc>
          <w:tcPr>
            <w:tcW w:w="418" w:type="pct"/>
          </w:tcPr>
          <w:p w14:paraId="68388550">
            <w:pPr>
              <w:spacing w:line="240" w:lineRule="auto"/>
              <w:jc w:val="center"/>
              <w:rPr>
                <w:color w:val="000000"/>
                <w:sz w:val="21"/>
              </w:rPr>
            </w:pPr>
            <w:r>
              <w:rPr>
                <w:color w:val="000000"/>
                <w:sz w:val="21"/>
              </w:rPr>
              <w:t>/</w:t>
            </w:r>
          </w:p>
        </w:tc>
        <w:tc>
          <w:tcPr>
            <w:tcW w:w="418" w:type="pct"/>
          </w:tcPr>
          <w:p w14:paraId="44C4EDD6">
            <w:pPr>
              <w:spacing w:line="240" w:lineRule="auto"/>
              <w:jc w:val="center"/>
              <w:rPr>
                <w:color w:val="000000"/>
                <w:sz w:val="21"/>
              </w:rPr>
            </w:pPr>
            <w:r>
              <w:rPr>
                <w:color w:val="000000"/>
                <w:sz w:val="21"/>
              </w:rPr>
              <w:t>/</w:t>
            </w:r>
          </w:p>
        </w:tc>
        <w:tc>
          <w:tcPr>
            <w:tcW w:w="418" w:type="pct"/>
          </w:tcPr>
          <w:p w14:paraId="7587371E">
            <w:pPr>
              <w:spacing w:line="240" w:lineRule="auto"/>
              <w:jc w:val="center"/>
              <w:rPr>
                <w:color w:val="000000"/>
                <w:sz w:val="21"/>
              </w:rPr>
            </w:pPr>
            <w:r>
              <w:rPr>
                <w:color w:val="000000"/>
                <w:sz w:val="21"/>
              </w:rPr>
              <w:t>/</w:t>
            </w:r>
          </w:p>
        </w:tc>
        <w:tc>
          <w:tcPr>
            <w:tcW w:w="417" w:type="pct"/>
          </w:tcPr>
          <w:p w14:paraId="014857B5">
            <w:pPr>
              <w:spacing w:line="240" w:lineRule="auto"/>
              <w:jc w:val="center"/>
              <w:rPr>
                <w:color w:val="000000"/>
                <w:sz w:val="21"/>
              </w:rPr>
            </w:pPr>
            <w:r>
              <w:rPr>
                <w:color w:val="000000"/>
                <w:sz w:val="21"/>
              </w:rPr>
              <w:t>/</w:t>
            </w:r>
          </w:p>
        </w:tc>
      </w:tr>
      <w:tr w14:paraId="4F718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30" w:type="pct"/>
          </w:tcPr>
          <w:p w14:paraId="3E4B29A2">
            <w:pPr>
              <w:spacing w:line="240" w:lineRule="auto"/>
              <w:jc w:val="center"/>
              <w:rPr>
                <w:color w:val="000000"/>
                <w:sz w:val="21"/>
              </w:rPr>
            </w:pPr>
            <w:r>
              <w:rPr>
                <w:color w:val="000000"/>
                <w:sz w:val="21"/>
              </w:rPr>
              <w:t>运营期</w:t>
            </w:r>
          </w:p>
        </w:tc>
        <w:tc>
          <w:tcPr>
            <w:tcW w:w="692" w:type="pct"/>
          </w:tcPr>
          <w:p w14:paraId="426821E3">
            <w:pPr>
              <w:spacing w:line="240" w:lineRule="auto"/>
              <w:jc w:val="center"/>
              <w:rPr>
                <w:color w:val="000000"/>
                <w:sz w:val="21"/>
              </w:rPr>
            </w:pPr>
            <w:r>
              <w:rPr>
                <w:color w:val="000000"/>
                <w:sz w:val="21"/>
              </w:rPr>
              <w:t>√</w:t>
            </w:r>
          </w:p>
        </w:tc>
        <w:tc>
          <w:tcPr>
            <w:tcW w:w="692" w:type="pct"/>
          </w:tcPr>
          <w:p w14:paraId="494CF1E8">
            <w:pPr>
              <w:spacing w:line="240" w:lineRule="auto"/>
              <w:jc w:val="center"/>
              <w:rPr>
                <w:color w:val="000000"/>
                <w:sz w:val="21"/>
              </w:rPr>
            </w:pPr>
            <w:r>
              <w:rPr>
                <w:color w:val="000000"/>
                <w:sz w:val="21"/>
              </w:rPr>
              <w:t>√</w:t>
            </w:r>
          </w:p>
        </w:tc>
        <w:tc>
          <w:tcPr>
            <w:tcW w:w="692" w:type="pct"/>
          </w:tcPr>
          <w:p w14:paraId="356B28AA">
            <w:pPr>
              <w:spacing w:line="240" w:lineRule="auto"/>
              <w:jc w:val="center"/>
              <w:rPr>
                <w:color w:val="000000"/>
                <w:sz w:val="21"/>
              </w:rPr>
            </w:pPr>
            <w:r>
              <w:rPr>
                <w:color w:val="000000"/>
                <w:sz w:val="21"/>
              </w:rPr>
              <w:t>√</w:t>
            </w:r>
          </w:p>
        </w:tc>
        <w:tc>
          <w:tcPr>
            <w:tcW w:w="421" w:type="pct"/>
          </w:tcPr>
          <w:p w14:paraId="3359C219">
            <w:pPr>
              <w:spacing w:line="240" w:lineRule="auto"/>
              <w:jc w:val="center"/>
              <w:rPr>
                <w:color w:val="000000"/>
                <w:sz w:val="21"/>
              </w:rPr>
            </w:pPr>
            <w:r>
              <w:rPr>
                <w:color w:val="000000"/>
                <w:sz w:val="21"/>
              </w:rPr>
              <w:t>/</w:t>
            </w:r>
          </w:p>
        </w:tc>
        <w:tc>
          <w:tcPr>
            <w:tcW w:w="418" w:type="pct"/>
          </w:tcPr>
          <w:p w14:paraId="24B37B90">
            <w:pPr>
              <w:spacing w:line="240" w:lineRule="auto"/>
              <w:jc w:val="center"/>
              <w:rPr>
                <w:color w:val="000000"/>
                <w:sz w:val="21"/>
              </w:rPr>
            </w:pPr>
            <w:r>
              <w:rPr>
                <w:color w:val="000000"/>
                <w:sz w:val="21"/>
              </w:rPr>
              <w:t>/</w:t>
            </w:r>
          </w:p>
        </w:tc>
        <w:tc>
          <w:tcPr>
            <w:tcW w:w="418" w:type="pct"/>
          </w:tcPr>
          <w:p w14:paraId="1CE73FBF">
            <w:pPr>
              <w:spacing w:line="240" w:lineRule="auto"/>
              <w:jc w:val="center"/>
              <w:rPr>
                <w:color w:val="000000"/>
                <w:sz w:val="21"/>
              </w:rPr>
            </w:pPr>
            <w:r>
              <w:rPr>
                <w:color w:val="000000"/>
                <w:sz w:val="21"/>
              </w:rPr>
              <w:t>/</w:t>
            </w:r>
          </w:p>
        </w:tc>
        <w:tc>
          <w:tcPr>
            <w:tcW w:w="418" w:type="pct"/>
          </w:tcPr>
          <w:p w14:paraId="125DF562">
            <w:pPr>
              <w:spacing w:line="240" w:lineRule="auto"/>
              <w:jc w:val="center"/>
              <w:rPr>
                <w:color w:val="000000"/>
                <w:sz w:val="21"/>
              </w:rPr>
            </w:pPr>
            <w:r>
              <w:rPr>
                <w:color w:val="000000"/>
                <w:sz w:val="21"/>
              </w:rPr>
              <w:t>/</w:t>
            </w:r>
          </w:p>
        </w:tc>
        <w:tc>
          <w:tcPr>
            <w:tcW w:w="417" w:type="pct"/>
          </w:tcPr>
          <w:p w14:paraId="5A81583E">
            <w:pPr>
              <w:spacing w:line="240" w:lineRule="auto"/>
              <w:jc w:val="center"/>
              <w:rPr>
                <w:color w:val="000000"/>
                <w:sz w:val="21"/>
              </w:rPr>
            </w:pPr>
            <w:r>
              <w:rPr>
                <w:color w:val="000000"/>
                <w:sz w:val="21"/>
              </w:rPr>
              <w:t>/</w:t>
            </w:r>
          </w:p>
        </w:tc>
      </w:tr>
    </w:tbl>
    <w:p w14:paraId="15CD57AD">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5</w:t>
      </w:r>
      <w:r>
        <w:rPr>
          <w:rFonts w:ascii="Times New Roman" w:hAnsi="Times New Roman"/>
          <w:color w:val="000000"/>
        </w:rPr>
        <w:t>.2.6.1-2</w:t>
      </w:r>
      <w:r>
        <w:rPr>
          <w:rFonts w:ascii="Times New Roman" w:hAnsi="Times New Roman"/>
          <w:color w:val="000000"/>
        </w:rPr>
        <w:tab/>
      </w:r>
      <w:r>
        <w:rPr>
          <w:rFonts w:ascii="Times New Roman" w:hAnsi="Times New Roman"/>
          <w:color w:val="000000"/>
          <w:lang w:val="en-US"/>
        </w:rPr>
        <w:t xml:space="preserve"> </w:t>
      </w:r>
      <w:r>
        <w:rPr>
          <w:rFonts w:ascii="Times New Roman" w:hAnsi="Times New Roman"/>
          <w:color w:val="000000"/>
        </w:rPr>
        <w:t>土壤环境影响源及影响因子识别表</w:t>
      </w:r>
    </w:p>
    <w:tbl>
      <w:tblPr>
        <w:tblStyle w:val="73"/>
        <w:tblW w:w="5028"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74"/>
        <w:gridCol w:w="1174"/>
        <w:gridCol w:w="2715"/>
        <w:gridCol w:w="1590"/>
        <w:gridCol w:w="1103"/>
      </w:tblGrid>
      <w:tr w14:paraId="0FB36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61" w:type="pct"/>
          </w:tcPr>
          <w:p w14:paraId="551A9FE3">
            <w:pPr>
              <w:spacing w:line="240" w:lineRule="auto"/>
              <w:jc w:val="center"/>
              <w:rPr>
                <w:color w:val="000000"/>
                <w:sz w:val="21"/>
              </w:rPr>
            </w:pPr>
            <w:r>
              <w:rPr>
                <w:color w:val="000000"/>
                <w:sz w:val="21"/>
              </w:rPr>
              <w:t>污染源</w:t>
            </w:r>
          </w:p>
        </w:tc>
        <w:tc>
          <w:tcPr>
            <w:tcW w:w="702" w:type="pct"/>
          </w:tcPr>
          <w:p w14:paraId="29EBE409">
            <w:pPr>
              <w:spacing w:line="240" w:lineRule="auto"/>
              <w:jc w:val="center"/>
              <w:rPr>
                <w:color w:val="000000"/>
                <w:sz w:val="21"/>
              </w:rPr>
            </w:pPr>
            <w:r>
              <w:rPr>
                <w:color w:val="000000"/>
                <w:sz w:val="21"/>
              </w:rPr>
              <w:t>污染途径</w:t>
            </w:r>
          </w:p>
        </w:tc>
        <w:tc>
          <w:tcPr>
            <w:tcW w:w="1624" w:type="pct"/>
          </w:tcPr>
          <w:p w14:paraId="77F3190F">
            <w:pPr>
              <w:spacing w:line="240" w:lineRule="auto"/>
              <w:jc w:val="center"/>
              <w:rPr>
                <w:color w:val="000000"/>
                <w:sz w:val="21"/>
              </w:rPr>
            </w:pPr>
            <w:r>
              <w:rPr>
                <w:color w:val="000000"/>
                <w:sz w:val="21"/>
              </w:rPr>
              <w:t>污染物指标</w:t>
            </w:r>
          </w:p>
        </w:tc>
        <w:tc>
          <w:tcPr>
            <w:tcW w:w="951" w:type="pct"/>
          </w:tcPr>
          <w:p w14:paraId="01B43EEF">
            <w:pPr>
              <w:spacing w:line="240" w:lineRule="auto"/>
              <w:jc w:val="center"/>
              <w:rPr>
                <w:color w:val="000000"/>
                <w:sz w:val="21"/>
              </w:rPr>
            </w:pPr>
            <w:r>
              <w:rPr>
                <w:color w:val="000000"/>
                <w:sz w:val="21"/>
              </w:rPr>
              <w:t>土壤特征因子</w:t>
            </w:r>
          </w:p>
        </w:tc>
        <w:tc>
          <w:tcPr>
            <w:tcW w:w="660" w:type="pct"/>
          </w:tcPr>
          <w:p w14:paraId="4056923E">
            <w:pPr>
              <w:spacing w:line="240" w:lineRule="auto"/>
              <w:jc w:val="center"/>
              <w:rPr>
                <w:color w:val="000000"/>
                <w:sz w:val="21"/>
              </w:rPr>
            </w:pPr>
            <w:r>
              <w:rPr>
                <w:color w:val="000000"/>
                <w:sz w:val="21"/>
              </w:rPr>
              <w:t>备注</w:t>
            </w:r>
          </w:p>
        </w:tc>
      </w:tr>
      <w:tr w14:paraId="4E989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061" w:type="pct"/>
            <w:vAlign w:val="center"/>
          </w:tcPr>
          <w:p w14:paraId="67E0F661">
            <w:pPr>
              <w:spacing w:line="240" w:lineRule="auto"/>
              <w:jc w:val="center"/>
              <w:rPr>
                <w:color w:val="000000"/>
                <w:sz w:val="21"/>
              </w:rPr>
            </w:pPr>
            <w:r>
              <w:rPr>
                <w:color w:val="000000"/>
                <w:sz w:val="21"/>
              </w:rPr>
              <w:t>工艺废气</w:t>
            </w:r>
          </w:p>
        </w:tc>
        <w:tc>
          <w:tcPr>
            <w:tcW w:w="702" w:type="pct"/>
            <w:vAlign w:val="center"/>
          </w:tcPr>
          <w:p w14:paraId="7760D868">
            <w:pPr>
              <w:spacing w:line="240" w:lineRule="auto"/>
              <w:jc w:val="center"/>
              <w:rPr>
                <w:color w:val="000000"/>
                <w:sz w:val="21"/>
              </w:rPr>
            </w:pPr>
            <w:r>
              <w:rPr>
                <w:color w:val="000000"/>
                <w:sz w:val="21"/>
              </w:rPr>
              <w:t>大气沉降</w:t>
            </w:r>
          </w:p>
        </w:tc>
        <w:tc>
          <w:tcPr>
            <w:tcW w:w="1624" w:type="pct"/>
          </w:tcPr>
          <w:p w14:paraId="3674C475">
            <w:pPr>
              <w:spacing w:line="240" w:lineRule="auto"/>
              <w:jc w:val="center"/>
              <w:rPr>
                <w:color w:val="000000"/>
                <w:sz w:val="21"/>
              </w:rPr>
            </w:pPr>
            <w:r>
              <w:rPr>
                <w:color w:val="000000"/>
                <w:sz w:val="21"/>
              </w:rPr>
              <w:t>SO</w:t>
            </w:r>
            <w:r>
              <w:rPr>
                <w:color w:val="000000"/>
                <w:sz w:val="21"/>
                <w:vertAlign w:val="subscript"/>
              </w:rPr>
              <w:t>2</w:t>
            </w:r>
            <w:r>
              <w:rPr>
                <w:color w:val="000000"/>
                <w:sz w:val="21"/>
              </w:rPr>
              <w:t>、NOx、颗粒物</w:t>
            </w:r>
          </w:p>
        </w:tc>
        <w:tc>
          <w:tcPr>
            <w:tcW w:w="951" w:type="pct"/>
          </w:tcPr>
          <w:p w14:paraId="0EB75CCC">
            <w:pPr>
              <w:spacing w:line="240" w:lineRule="auto"/>
              <w:jc w:val="center"/>
              <w:rPr>
                <w:color w:val="000000"/>
                <w:sz w:val="21"/>
              </w:rPr>
            </w:pPr>
            <w:r>
              <w:rPr>
                <w:color w:val="000000"/>
                <w:sz w:val="21"/>
              </w:rPr>
              <w:t>/</w:t>
            </w:r>
          </w:p>
        </w:tc>
        <w:tc>
          <w:tcPr>
            <w:tcW w:w="660" w:type="pct"/>
          </w:tcPr>
          <w:p w14:paraId="113E9FE4">
            <w:pPr>
              <w:spacing w:line="240" w:lineRule="auto"/>
              <w:jc w:val="center"/>
              <w:rPr>
                <w:color w:val="000000"/>
                <w:sz w:val="21"/>
              </w:rPr>
            </w:pPr>
            <w:r>
              <w:rPr>
                <w:color w:val="000000"/>
                <w:sz w:val="21"/>
              </w:rPr>
              <w:t>连续排放</w:t>
            </w:r>
          </w:p>
        </w:tc>
      </w:tr>
      <w:tr w14:paraId="1BCCB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61" w:type="pct"/>
          </w:tcPr>
          <w:p w14:paraId="66D474E6">
            <w:pPr>
              <w:spacing w:line="240" w:lineRule="auto"/>
              <w:jc w:val="center"/>
              <w:rPr>
                <w:color w:val="000000"/>
                <w:sz w:val="21"/>
              </w:rPr>
            </w:pPr>
            <w:r>
              <w:rPr>
                <w:color w:val="000000"/>
                <w:sz w:val="21"/>
              </w:rPr>
              <w:t>事故水池</w:t>
            </w:r>
          </w:p>
        </w:tc>
        <w:tc>
          <w:tcPr>
            <w:tcW w:w="702" w:type="pct"/>
          </w:tcPr>
          <w:p w14:paraId="356EA68D">
            <w:pPr>
              <w:spacing w:line="240" w:lineRule="auto"/>
              <w:jc w:val="center"/>
              <w:rPr>
                <w:color w:val="000000"/>
                <w:sz w:val="21"/>
              </w:rPr>
            </w:pPr>
            <w:r>
              <w:rPr>
                <w:color w:val="000000"/>
                <w:sz w:val="21"/>
              </w:rPr>
              <w:t>地面漫流</w:t>
            </w:r>
          </w:p>
        </w:tc>
        <w:tc>
          <w:tcPr>
            <w:tcW w:w="1624" w:type="pct"/>
          </w:tcPr>
          <w:p w14:paraId="74B2D901">
            <w:pPr>
              <w:spacing w:line="240" w:lineRule="auto"/>
              <w:jc w:val="center"/>
              <w:rPr>
                <w:color w:val="000000"/>
                <w:sz w:val="21"/>
              </w:rPr>
            </w:pPr>
            <w:r>
              <w:rPr>
                <w:color w:val="000000"/>
                <w:sz w:val="21"/>
              </w:rPr>
              <w:t>COD、SS、石油类</w:t>
            </w:r>
          </w:p>
        </w:tc>
        <w:tc>
          <w:tcPr>
            <w:tcW w:w="951" w:type="pct"/>
          </w:tcPr>
          <w:p w14:paraId="4E88D9CE">
            <w:pPr>
              <w:spacing w:line="240" w:lineRule="auto"/>
              <w:jc w:val="center"/>
              <w:rPr>
                <w:color w:val="000000"/>
                <w:sz w:val="21"/>
              </w:rPr>
            </w:pPr>
            <w:r>
              <w:rPr>
                <w:color w:val="000000"/>
                <w:sz w:val="21"/>
              </w:rPr>
              <w:t>石油类</w:t>
            </w:r>
          </w:p>
        </w:tc>
        <w:tc>
          <w:tcPr>
            <w:tcW w:w="660" w:type="pct"/>
          </w:tcPr>
          <w:p w14:paraId="1F2C3955">
            <w:pPr>
              <w:spacing w:line="240" w:lineRule="auto"/>
              <w:jc w:val="center"/>
              <w:rPr>
                <w:color w:val="000000"/>
                <w:sz w:val="21"/>
              </w:rPr>
            </w:pPr>
            <w:r>
              <w:rPr>
                <w:color w:val="000000"/>
                <w:sz w:val="21"/>
              </w:rPr>
              <w:t>事故状态</w:t>
            </w:r>
          </w:p>
        </w:tc>
      </w:tr>
      <w:bookmarkEnd w:id="643"/>
      <w:bookmarkEnd w:id="644"/>
      <w:bookmarkEnd w:id="645"/>
    </w:tbl>
    <w:p w14:paraId="5D4AAEFB">
      <w:pPr>
        <w:pStyle w:val="785"/>
        <w:rPr>
          <w:color w:val="000000"/>
          <w:szCs w:val="24"/>
          <w:lang w:val="en-US"/>
        </w:rPr>
      </w:pPr>
      <w:r>
        <w:rPr>
          <w:color w:val="000000"/>
          <w:szCs w:val="24"/>
          <w:lang w:val="en-US"/>
        </w:rPr>
        <w:t>5.2.6.2土壤环境现状调查</w:t>
      </w:r>
    </w:p>
    <w:p w14:paraId="68B34706">
      <w:pPr>
        <w:pStyle w:val="897"/>
        <w:rPr>
          <w:color w:val="000000"/>
          <w:sz w:val="24"/>
          <w:szCs w:val="24"/>
        </w:rPr>
      </w:pPr>
      <w:r>
        <w:rPr>
          <w:color w:val="000000"/>
          <w:sz w:val="24"/>
          <w:szCs w:val="24"/>
          <w:lang w:val="en-US"/>
        </w:rPr>
        <w:t>5.2.6.2.1</w:t>
      </w:r>
      <w:r>
        <w:rPr>
          <w:color w:val="000000"/>
          <w:sz w:val="24"/>
          <w:szCs w:val="24"/>
        </w:rPr>
        <w:t>土壤类型及理化性质</w:t>
      </w:r>
    </w:p>
    <w:p w14:paraId="16EDEDD9">
      <w:pPr>
        <w:ind w:firstLine="480"/>
        <w:rPr>
          <w:color w:val="000000"/>
          <w:szCs w:val="24"/>
        </w:rPr>
      </w:pPr>
      <w:r>
        <w:rPr>
          <w:color w:val="000000"/>
          <w:szCs w:val="24"/>
        </w:rPr>
        <w:t>根据国家土壤信息平台（http://www.soilinfo.cn/MAP/index.aspx）查询及现场调查，拟建项目调查评价范围内分布有一种土壤类型：石灰黄泥土。</w:t>
      </w:r>
    </w:p>
    <w:p w14:paraId="2D40CAC9">
      <w:pPr>
        <w:ind w:firstLine="480"/>
        <w:rPr>
          <w:color w:val="000000"/>
          <w:szCs w:val="24"/>
        </w:rPr>
      </w:pPr>
      <w:r>
        <w:rPr>
          <w:color w:val="000000"/>
          <w:szCs w:val="24"/>
        </w:rPr>
        <w:t>石灰黄泥土土种母质为石灰岩风化残坡积物。剖面为 A11--AC--C 型。土体厚度 100cm左右，呈黄棕或灰黄色。质地多为壤质粘土和粘土。心土层有少量铁锰和粘粘胶膜 淀积。土壤pH6.9--8.1，呈中性至微碱性反应。阳离子交换量12--23me/100g土。据88个 剖面样分析结果统计：A11层有机质含量2.26％，全氮0.138％，碱解氮101ppm，速效磷 3ppm，速效钾127ppm。有效微量元素含量（n=25）：锌0.9ppm，铜1.0ppm，硼0.2ppm，钼0.2ppm，铁9ppm，锰15ppm．</w:t>
      </w:r>
    </w:p>
    <w:p w14:paraId="5EF35C93">
      <w:pPr>
        <w:ind w:firstLine="480"/>
        <w:rPr>
          <w:color w:val="000000"/>
          <w:szCs w:val="24"/>
        </w:rPr>
      </w:pPr>
      <w:r>
        <w:rPr>
          <w:color w:val="000000"/>
          <w:szCs w:val="24"/>
        </w:rPr>
        <w:t>该土种质地粘重，物理性状不良，耕性差，多处于峰丛低洼处，通 风透光差，久雨积水，作物易感病，农业利用多以小麦--玉米套甘薯为主。粮食亩产250-- 300kg。川南一些地方发展烤烟有一定优势，具有云烟鲜黄色泽和贵烟的香味，产量亦高。低海拔光热条件好的地方可发展甘蔗，产量比较高。改良利用上应整治坡面水系，减少冲刷，深耕炕土，多施有机肥和土杂肥，增施氮、磷肥和微肥，坡度大的可退耕发展棕榈、 油桐、核桃、乌柏等经济林木。</w:t>
      </w:r>
    </w:p>
    <w:p w14:paraId="2EB47626">
      <w:pPr>
        <w:ind w:firstLine="480"/>
        <w:rPr>
          <w:color w:val="000000"/>
          <w:szCs w:val="24"/>
        </w:rPr>
      </w:pPr>
      <w:r>
        <w:rPr>
          <w:color w:val="000000"/>
          <w:szCs w:val="24"/>
        </w:rPr>
        <w:t>本次评价委托</w:t>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fldChar w:fldCharType="begin"/>
      </w:r>
      <w:r>
        <w:rPr>
          <w:color w:val="000000"/>
          <w:szCs w:val="24"/>
        </w:rPr>
        <w:fldChar w:fldCharType="end"/>
      </w:r>
      <w:r>
        <w:rPr>
          <w:color w:val="000000"/>
          <w:szCs w:val="24"/>
        </w:rPr>
        <w:t>重庆智海科技有限责任公司于2022年3月14日对土壤评价范围内的土壤理化性质进行了调查，调查结果见表5.2.6-3。</w:t>
      </w:r>
    </w:p>
    <w:p w14:paraId="4BCCF39D">
      <w:pPr>
        <w:pStyle w:val="133"/>
        <w:outlineLvl w:val="9"/>
        <w:rPr>
          <w:rFonts w:ascii="Times New Roman" w:hAnsi="Times New Roman"/>
          <w:color w:val="000000"/>
        </w:rPr>
      </w:pPr>
      <w:r>
        <w:rPr>
          <w:rFonts w:ascii="Times New Roman" w:hAnsi="Times New Roman"/>
          <w:color w:val="000000"/>
        </w:rPr>
        <w:t>表5.2.6-3  土壤理化性质调查表</w:t>
      </w:r>
    </w:p>
    <w:tbl>
      <w:tblPr>
        <w:tblStyle w:val="73"/>
        <w:tblW w:w="5189" w:type="pct"/>
        <w:tblInd w:w="8" w:type="dxa"/>
        <w:tblLayout w:type="autofit"/>
        <w:tblCellMar>
          <w:top w:w="0" w:type="dxa"/>
          <w:left w:w="0" w:type="dxa"/>
          <w:bottom w:w="0" w:type="dxa"/>
          <w:right w:w="0" w:type="dxa"/>
        </w:tblCellMar>
      </w:tblPr>
      <w:tblGrid>
        <w:gridCol w:w="256"/>
        <w:gridCol w:w="1447"/>
        <w:gridCol w:w="542"/>
        <w:gridCol w:w="801"/>
        <w:gridCol w:w="815"/>
        <w:gridCol w:w="798"/>
        <w:gridCol w:w="789"/>
        <w:gridCol w:w="796"/>
        <w:gridCol w:w="792"/>
        <w:gridCol w:w="792"/>
        <w:gridCol w:w="801"/>
      </w:tblGrid>
      <w:tr w14:paraId="0C648CAB">
        <w:tblPrEx>
          <w:tblCellMar>
            <w:top w:w="0" w:type="dxa"/>
            <w:left w:w="0" w:type="dxa"/>
            <w:bottom w:w="0" w:type="dxa"/>
            <w:right w:w="0" w:type="dxa"/>
          </w:tblCellMar>
        </w:tblPrEx>
        <w:trPr>
          <w:trHeight w:val="414" w:hRule="exact"/>
        </w:trPr>
        <w:tc>
          <w:tcPr>
            <w:tcW w:w="986" w:type="pct"/>
            <w:gridSpan w:val="2"/>
            <w:tcBorders>
              <w:top w:val="single" w:color="000000" w:sz="6" w:space="0"/>
              <w:left w:val="single" w:color="000000" w:sz="6" w:space="0"/>
              <w:bottom w:val="single" w:color="000000" w:sz="4" w:space="0"/>
              <w:right w:val="single" w:color="000000" w:sz="4" w:space="0"/>
            </w:tcBorders>
            <w:vAlign w:val="center"/>
          </w:tcPr>
          <w:p w14:paraId="11E89B94">
            <w:pPr>
              <w:widowControl w:val="0"/>
              <w:tabs>
                <w:tab w:val="left" w:pos="1693"/>
              </w:tabs>
              <w:spacing w:line="240" w:lineRule="auto"/>
              <w:jc w:val="center"/>
              <w:rPr>
                <w:color w:val="000000"/>
                <w:sz w:val="20"/>
                <w:szCs w:val="20"/>
              </w:rPr>
            </w:pPr>
            <w:r>
              <w:rPr>
                <w:color w:val="000000"/>
                <w:sz w:val="20"/>
                <w:szCs w:val="20"/>
              </w:rPr>
              <w:t>点位</w:t>
            </w:r>
          </w:p>
        </w:tc>
        <w:tc>
          <w:tcPr>
            <w:tcW w:w="1250" w:type="pct"/>
            <w:gridSpan w:val="3"/>
            <w:tcBorders>
              <w:top w:val="single" w:color="000000" w:sz="6" w:space="0"/>
              <w:left w:val="single" w:color="000000" w:sz="4" w:space="0"/>
              <w:bottom w:val="single" w:color="000000" w:sz="4" w:space="0"/>
              <w:right w:val="single" w:color="000000" w:sz="4" w:space="0"/>
            </w:tcBorders>
            <w:vAlign w:val="center"/>
          </w:tcPr>
          <w:p w14:paraId="18C960BE">
            <w:pPr>
              <w:widowControl w:val="0"/>
              <w:tabs>
                <w:tab w:val="left" w:pos="1693"/>
              </w:tabs>
              <w:spacing w:line="240" w:lineRule="auto"/>
              <w:jc w:val="center"/>
              <w:rPr>
                <w:color w:val="000000"/>
                <w:sz w:val="20"/>
                <w:szCs w:val="20"/>
              </w:rPr>
            </w:pPr>
            <w:r>
              <w:rPr>
                <w:color w:val="000000"/>
                <w:sz w:val="20"/>
                <w:szCs w:val="20"/>
              </w:rPr>
              <w:t>1#</w:t>
            </w:r>
          </w:p>
        </w:tc>
        <w:tc>
          <w:tcPr>
            <w:tcW w:w="1380" w:type="pct"/>
            <w:gridSpan w:val="3"/>
            <w:tcBorders>
              <w:top w:val="single" w:color="000000" w:sz="6" w:space="0"/>
              <w:left w:val="single" w:color="000000" w:sz="4" w:space="0"/>
              <w:bottom w:val="single" w:color="000000" w:sz="4" w:space="0"/>
              <w:right w:val="single" w:color="000000" w:sz="6" w:space="0"/>
            </w:tcBorders>
            <w:vAlign w:val="center"/>
          </w:tcPr>
          <w:p w14:paraId="1BC9F70F">
            <w:pPr>
              <w:widowControl w:val="0"/>
              <w:tabs>
                <w:tab w:val="left" w:pos="1693"/>
              </w:tabs>
              <w:spacing w:line="240" w:lineRule="auto"/>
              <w:jc w:val="center"/>
              <w:rPr>
                <w:color w:val="000000"/>
                <w:sz w:val="20"/>
                <w:szCs w:val="20"/>
                <w:lang w:eastAsia="en-US"/>
              </w:rPr>
            </w:pPr>
            <w:r>
              <w:rPr>
                <w:color w:val="000000"/>
                <w:sz w:val="20"/>
                <w:szCs w:val="20"/>
              </w:rPr>
              <w:t>2#</w:t>
            </w:r>
          </w:p>
        </w:tc>
        <w:tc>
          <w:tcPr>
            <w:tcW w:w="1382" w:type="pct"/>
            <w:gridSpan w:val="3"/>
            <w:tcBorders>
              <w:top w:val="single" w:color="000000" w:sz="6" w:space="0"/>
              <w:left w:val="single" w:color="000000" w:sz="4" w:space="0"/>
              <w:bottom w:val="single" w:color="000000" w:sz="4" w:space="0"/>
              <w:right w:val="single" w:color="000000" w:sz="6" w:space="0"/>
            </w:tcBorders>
            <w:vAlign w:val="center"/>
          </w:tcPr>
          <w:p w14:paraId="396D96DF">
            <w:pPr>
              <w:widowControl w:val="0"/>
              <w:tabs>
                <w:tab w:val="left" w:pos="1693"/>
              </w:tabs>
              <w:spacing w:line="240" w:lineRule="auto"/>
              <w:jc w:val="center"/>
              <w:rPr>
                <w:color w:val="000000"/>
                <w:sz w:val="20"/>
                <w:szCs w:val="20"/>
                <w:lang w:eastAsia="en-US"/>
              </w:rPr>
            </w:pPr>
            <w:r>
              <w:rPr>
                <w:color w:val="000000"/>
                <w:sz w:val="20"/>
                <w:szCs w:val="20"/>
              </w:rPr>
              <w:t>3#</w:t>
            </w:r>
          </w:p>
        </w:tc>
      </w:tr>
      <w:tr w14:paraId="7F1A8548">
        <w:tblPrEx>
          <w:tblCellMar>
            <w:top w:w="0" w:type="dxa"/>
            <w:left w:w="0" w:type="dxa"/>
            <w:bottom w:w="0" w:type="dxa"/>
            <w:right w:w="0" w:type="dxa"/>
          </w:tblCellMar>
        </w:tblPrEx>
        <w:trPr>
          <w:trHeight w:val="414" w:hRule="exact"/>
        </w:trPr>
        <w:tc>
          <w:tcPr>
            <w:tcW w:w="986" w:type="pct"/>
            <w:gridSpan w:val="2"/>
            <w:tcBorders>
              <w:top w:val="single" w:color="000000" w:sz="6" w:space="0"/>
              <w:left w:val="single" w:color="000000" w:sz="6" w:space="0"/>
              <w:bottom w:val="single" w:color="000000" w:sz="4" w:space="0"/>
              <w:right w:val="single" w:color="000000" w:sz="4" w:space="0"/>
            </w:tcBorders>
            <w:vAlign w:val="center"/>
          </w:tcPr>
          <w:p w14:paraId="37CCFAA3">
            <w:pPr>
              <w:widowControl w:val="0"/>
              <w:tabs>
                <w:tab w:val="left" w:pos="1693"/>
              </w:tabs>
              <w:spacing w:line="240" w:lineRule="auto"/>
              <w:jc w:val="center"/>
              <w:rPr>
                <w:color w:val="000000"/>
                <w:sz w:val="20"/>
                <w:szCs w:val="20"/>
                <w:lang w:eastAsia="en-US"/>
              </w:rPr>
            </w:pPr>
            <w:r>
              <w:rPr>
                <w:color w:val="000000"/>
                <w:sz w:val="20"/>
                <w:szCs w:val="20"/>
                <w:lang w:eastAsia="en-US"/>
              </w:rPr>
              <w:t>层次</w:t>
            </w:r>
          </w:p>
        </w:tc>
        <w:tc>
          <w:tcPr>
            <w:tcW w:w="314" w:type="pct"/>
            <w:tcBorders>
              <w:top w:val="single" w:color="000000" w:sz="6" w:space="0"/>
              <w:left w:val="single" w:color="000000" w:sz="4" w:space="0"/>
              <w:bottom w:val="single" w:color="000000" w:sz="4" w:space="0"/>
              <w:right w:val="single" w:color="000000" w:sz="4" w:space="0"/>
            </w:tcBorders>
            <w:vAlign w:val="center"/>
          </w:tcPr>
          <w:p w14:paraId="7DF28CF0">
            <w:pPr>
              <w:widowControl w:val="0"/>
              <w:tabs>
                <w:tab w:val="left" w:pos="1693"/>
              </w:tabs>
              <w:spacing w:line="240" w:lineRule="auto"/>
              <w:jc w:val="center"/>
              <w:rPr>
                <w:color w:val="000000"/>
                <w:sz w:val="20"/>
                <w:szCs w:val="20"/>
                <w:lang w:eastAsia="en-US"/>
              </w:rPr>
            </w:pPr>
            <w:r>
              <w:rPr>
                <w:color w:val="000000"/>
                <w:sz w:val="20"/>
                <w:szCs w:val="20"/>
              </w:rPr>
              <w:t xml:space="preserve">0.5m                                                                                                                                                                                                                                                                                                                                                                                                                                                                                                                                                                                         </w:t>
            </w:r>
          </w:p>
        </w:tc>
        <w:tc>
          <w:tcPr>
            <w:tcW w:w="464" w:type="pct"/>
            <w:tcBorders>
              <w:top w:val="single" w:color="000000" w:sz="6" w:space="0"/>
              <w:left w:val="single" w:color="000000" w:sz="4" w:space="0"/>
              <w:bottom w:val="single" w:color="000000" w:sz="4" w:space="0"/>
              <w:right w:val="single" w:color="000000" w:sz="4" w:space="0"/>
            </w:tcBorders>
            <w:vAlign w:val="center"/>
          </w:tcPr>
          <w:p w14:paraId="140BD57E">
            <w:pPr>
              <w:widowControl w:val="0"/>
              <w:tabs>
                <w:tab w:val="left" w:pos="1693"/>
              </w:tabs>
              <w:spacing w:line="240" w:lineRule="auto"/>
              <w:jc w:val="center"/>
              <w:rPr>
                <w:color w:val="000000"/>
                <w:sz w:val="20"/>
                <w:szCs w:val="20"/>
                <w:lang w:eastAsia="en-US"/>
              </w:rPr>
            </w:pPr>
            <w:r>
              <w:rPr>
                <w:color w:val="000000"/>
                <w:sz w:val="20"/>
                <w:szCs w:val="20"/>
              </w:rPr>
              <w:t>1.5m</w:t>
            </w:r>
          </w:p>
        </w:tc>
        <w:tc>
          <w:tcPr>
            <w:tcW w:w="471" w:type="pct"/>
            <w:tcBorders>
              <w:top w:val="single" w:color="000000" w:sz="6" w:space="0"/>
              <w:left w:val="single" w:color="000000" w:sz="4" w:space="0"/>
              <w:bottom w:val="single" w:color="000000" w:sz="4" w:space="0"/>
              <w:right w:val="single" w:color="000000" w:sz="4" w:space="0"/>
            </w:tcBorders>
            <w:vAlign w:val="center"/>
          </w:tcPr>
          <w:p w14:paraId="4FD0170E">
            <w:pPr>
              <w:widowControl w:val="0"/>
              <w:tabs>
                <w:tab w:val="left" w:pos="1693"/>
              </w:tabs>
              <w:spacing w:line="240" w:lineRule="auto"/>
              <w:jc w:val="center"/>
              <w:rPr>
                <w:color w:val="000000"/>
                <w:sz w:val="20"/>
                <w:szCs w:val="20"/>
                <w:lang w:eastAsia="en-US"/>
              </w:rPr>
            </w:pPr>
            <w:r>
              <w:rPr>
                <w:color w:val="000000"/>
                <w:sz w:val="20"/>
                <w:szCs w:val="20"/>
              </w:rPr>
              <w:t>3.0m</w:t>
            </w:r>
          </w:p>
        </w:tc>
        <w:tc>
          <w:tcPr>
            <w:tcW w:w="462" w:type="pct"/>
            <w:tcBorders>
              <w:top w:val="single" w:color="000000" w:sz="6" w:space="0"/>
              <w:left w:val="single" w:color="000000" w:sz="4" w:space="0"/>
              <w:bottom w:val="single" w:color="000000" w:sz="4" w:space="0"/>
              <w:right w:val="single" w:color="000000" w:sz="4" w:space="0"/>
            </w:tcBorders>
            <w:vAlign w:val="center"/>
          </w:tcPr>
          <w:p w14:paraId="7BC00275">
            <w:pPr>
              <w:widowControl w:val="0"/>
              <w:tabs>
                <w:tab w:val="left" w:pos="1693"/>
              </w:tabs>
              <w:spacing w:line="240" w:lineRule="auto"/>
              <w:jc w:val="center"/>
              <w:rPr>
                <w:color w:val="000000"/>
                <w:sz w:val="20"/>
                <w:szCs w:val="20"/>
                <w:lang w:eastAsia="en-US"/>
              </w:rPr>
            </w:pPr>
            <w:r>
              <w:rPr>
                <w:color w:val="000000"/>
                <w:sz w:val="20"/>
                <w:szCs w:val="20"/>
              </w:rPr>
              <w:t xml:space="preserve">0.5m                                                                                                                                                                                                                                                                                                                                                                                                                                                                                                                                                                                         </w:t>
            </w:r>
          </w:p>
        </w:tc>
        <w:tc>
          <w:tcPr>
            <w:tcW w:w="457" w:type="pct"/>
            <w:tcBorders>
              <w:top w:val="single" w:color="000000" w:sz="6" w:space="0"/>
              <w:left w:val="single" w:color="000000" w:sz="4" w:space="0"/>
              <w:bottom w:val="single" w:color="000000" w:sz="4" w:space="0"/>
              <w:right w:val="single" w:color="000000" w:sz="6" w:space="0"/>
            </w:tcBorders>
            <w:vAlign w:val="center"/>
          </w:tcPr>
          <w:p w14:paraId="26597015">
            <w:pPr>
              <w:widowControl w:val="0"/>
              <w:tabs>
                <w:tab w:val="left" w:pos="1693"/>
              </w:tabs>
              <w:spacing w:line="240" w:lineRule="auto"/>
              <w:jc w:val="center"/>
              <w:rPr>
                <w:color w:val="000000"/>
                <w:sz w:val="20"/>
                <w:szCs w:val="20"/>
                <w:lang w:eastAsia="en-US"/>
              </w:rPr>
            </w:pPr>
            <w:r>
              <w:rPr>
                <w:color w:val="000000"/>
                <w:sz w:val="20"/>
                <w:szCs w:val="20"/>
              </w:rPr>
              <w:t>1.5m</w:t>
            </w:r>
          </w:p>
        </w:tc>
        <w:tc>
          <w:tcPr>
            <w:tcW w:w="460" w:type="pct"/>
            <w:tcBorders>
              <w:top w:val="single" w:color="000000" w:sz="6" w:space="0"/>
              <w:left w:val="single" w:color="000000" w:sz="4" w:space="0"/>
              <w:bottom w:val="single" w:color="000000" w:sz="4" w:space="0"/>
              <w:right w:val="single" w:color="000000" w:sz="6" w:space="0"/>
            </w:tcBorders>
            <w:vAlign w:val="center"/>
          </w:tcPr>
          <w:p w14:paraId="04F3B5DA">
            <w:pPr>
              <w:widowControl w:val="0"/>
              <w:tabs>
                <w:tab w:val="left" w:pos="1693"/>
              </w:tabs>
              <w:spacing w:line="240" w:lineRule="auto"/>
              <w:jc w:val="center"/>
              <w:rPr>
                <w:color w:val="000000"/>
                <w:sz w:val="20"/>
                <w:szCs w:val="20"/>
                <w:lang w:eastAsia="en-US"/>
              </w:rPr>
            </w:pPr>
            <w:r>
              <w:rPr>
                <w:color w:val="000000"/>
                <w:sz w:val="20"/>
                <w:szCs w:val="20"/>
              </w:rPr>
              <w:t>3.0m</w:t>
            </w:r>
          </w:p>
        </w:tc>
        <w:tc>
          <w:tcPr>
            <w:tcW w:w="459" w:type="pct"/>
            <w:tcBorders>
              <w:top w:val="single" w:color="000000" w:sz="6" w:space="0"/>
              <w:left w:val="single" w:color="000000" w:sz="4" w:space="0"/>
              <w:bottom w:val="single" w:color="000000" w:sz="4" w:space="0"/>
              <w:right w:val="single" w:color="000000" w:sz="6" w:space="0"/>
            </w:tcBorders>
            <w:vAlign w:val="center"/>
          </w:tcPr>
          <w:p w14:paraId="691A5F02">
            <w:pPr>
              <w:widowControl w:val="0"/>
              <w:tabs>
                <w:tab w:val="left" w:pos="1693"/>
              </w:tabs>
              <w:spacing w:line="240" w:lineRule="auto"/>
              <w:jc w:val="center"/>
              <w:rPr>
                <w:color w:val="000000"/>
                <w:sz w:val="20"/>
                <w:szCs w:val="20"/>
                <w:lang w:eastAsia="en-US"/>
              </w:rPr>
            </w:pPr>
            <w:r>
              <w:rPr>
                <w:color w:val="000000"/>
                <w:sz w:val="20"/>
                <w:szCs w:val="20"/>
              </w:rPr>
              <w:t xml:space="preserve">0.5m                                                                                                                                                                                                                                                                                                                                                                                                                                                                                                                                                                                         </w:t>
            </w:r>
          </w:p>
        </w:tc>
        <w:tc>
          <w:tcPr>
            <w:tcW w:w="459" w:type="pct"/>
            <w:tcBorders>
              <w:top w:val="single" w:color="000000" w:sz="6" w:space="0"/>
              <w:left w:val="single" w:color="000000" w:sz="4" w:space="0"/>
              <w:bottom w:val="single" w:color="000000" w:sz="4" w:space="0"/>
              <w:right w:val="single" w:color="000000" w:sz="6" w:space="0"/>
            </w:tcBorders>
            <w:vAlign w:val="center"/>
          </w:tcPr>
          <w:p w14:paraId="545403DB">
            <w:pPr>
              <w:widowControl w:val="0"/>
              <w:tabs>
                <w:tab w:val="left" w:pos="1693"/>
              </w:tabs>
              <w:spacing w:line="240" w:lineRule="auto"/>
              <w:jc w:val="center"/>
              <w:rPr>
                <w:color w:val="000000"/>
                <w:sz w:val="20"/>
                <w:szCs w:val="20"/>
                <w:lang w:eastAsia="en-US"/>
              </w:rPr>
            </w:pPr>
            <w:r>
              <w:rPr>
                <w:color w:val="000000"/>
                <w:sz w:val="20"/>
                <w:szCs w:val="20"/>
              </w:rPr>
              <w:t>1.5m</w:t>
            </w:r>
          </w:p>
        </w:tc>
        <w:tc>
          <w:tcPr>
            <w:tcW w:w="463" w:type="pct"/>
            <w:tcBorders>
              <w:top w:val="single" w:color="000000" w:sz="6" w:space="0"/>
              <w:left w:val="single" w:color="000000" w:sz="4" w:space="0"/>
              <w:bottom w:val="single" w:color="000000" w:sz="4" w:space="0"/>
              <w:right w:val="single" w:color="000000" w:sz="6" w:space="0"/>
            </w:tcBorders>
            <w:vAlign w:val="center"/>
          </w:tcPr>
          <w:p w14:paraId="7BFCC7F1">
            <w:pPr>
              <w:widowControl w:val="0"/>
              <w:tabs>
                <w:tab w:val="left" w:pos="1693"/>
              </w:tabs>
              <w:spacing w:line="240" w:lineRule="auto"/>
              <w:jc w:val="center"/>
              <w:rPr>
                <w:color w:val="000000"/>
                <w:sz w:val="20"/>
                <w:szCs w:val="20"/>
                <w:lang w:eastAsia="en-US"/>
              </w:rPr>
            </w:pPr>
            <w:r>
              <w:rPr>
                <w:color w:val="000000"/>
                <w:sz w:val="20"/>
                <w:szCs w:val="20"/>
              </w:rPr>
              <w:t>3.0m</w:t>
            </w:r>
          </w:p>
        </w:tc>
      </w:tr>
      <w:tr w14:paraId="4D2DBFA6">
        <w:tblPrEx>
          <w:tblCellMar>
            <w:top w:w="0" w:type="dxa"/>
            <w:left w:w="0" w:type="dxa"/>
            <w:bottom w:w="0" w:type="dxa"/>
            <w:right w:w="0" w:type="dxa"/>
          </w:tblCellMar>
        </w:tblPrEx>
        <w:trPr>
          <w:trHeight w:val="565" w:hRule="exact"/>
        </w:trPr>
        <w:tc>
          <w:tcPr>
            <w:tcW w:w="148" w:type="pct"/>
            <w:vMerge w:val="restart"/>
            <w:tcBorders>
              <w:top w:val="single" w:color="000000" w:sz="4" w:space="0"/>
              <w:left w:val="single" w:color="000000" w:sz="6" w:space="0"/>
              <w:right w:val="single" w:color="000000" w:sz="4" w:space="0"/>
            </w:tcBorders>
            <w:vAlign w:val="center"/>
          </w:tcPr>
          <w:p w14:paraId="256269AA">
            <w:pPr>
              <w:widowControl w:val="0"/>
              <w:tabs>
                <w:tab w:val="left" w:pos="1693"/>
              </w:tabs>
              <w:spacing w:line="240" w:lineRule="auto"/>
              <w:jc w:val="center"/>
              <w:rPr>
                <w:color w:val="000000"/>
                <w:sz w:val="20"/>
                <w:szCs w:val="20"/>
                <w:lang w:eastAsia="en-US"/>
              </w:rPr>
            </w:pPr>
            <w:r>
              <w:rPr>
                <w:color w:val="000000"/>
                <w:sz w:val="20"/>
                <w:szCs w:val="20"/>
                <w:lang w:eastAsia="en-US"/>
              </w:rPr>
              <w:t>现 场 记 录</w:t>
            </w:r>
          </w:p>
        </w:tc>
        <w:tc>
          <w:tcPr>
            <w:tcW w:w="838" w:type="pct"/>
            <w:tcBorders>
              <w:top w:val="single" w:color="000000" w:sz="4" w:space="0"/>
              <w:left w:val="single" w:color="000000" w:sz="4" w:space="0"/>
              <w:bottom w:val="single" w:color="000000" w:sz="4" w:space="0"/>
              <w:right w:val="single" w:color="000000" w:sz="4" w:space="0"/>
            </w:tcBorders>
            <w:vAlign w:val="center"/>
          </w:tcPr>
          <w:p w14:paraId="61C8AB58">
            <w:pPr>
              <w:widowControl w:val="0"/>
              <w:tabs>
                <w:tab w:val="left" w:pos="1693"/>
              </w:tabs>
              <w:spacing w:line="240" w:lineRule="auto"/>
              <w:jc w:val="center"/>
              <w:rPr>
                <w:color w:val="000000"/>
                <w:sz w:val="20"/>
                <w:szCs w:val="20"/>
                <w:lang w:eastAsia="en-US"/>
              </w:rPr>
            </w:pPr>
            <w:r>
              <w:rPr>
                <w:color w:val="000000"/>
                <w:sz w:val="20"/>
                <w:szCs w:val="20"/>
                <w:lang w:eastAsia="en-US"/>
              </w:rPr>
              <w:t>颜色</w:t>
            </w:r>
          </w:p>
        </w:tc>
        <w:tc>
          <w:tcPr>
            <w:tcW w:w="314" w:type="pct"/>
            <w:tcBorders>
              <w:top w:val="single" w:color="000000" w:sz="4" w:space="0"/>
              <w:left w:val="single" w:color="000000" w:sz="4" w:space="0"/>
              <w:bottom w:val="single" w:color="000000" w:sz="4" w:space="0"/>
              <w:right w:val="single" w:color="000000" w:sz="4" w:space="0"/>
            </w:tcBorders>
            <w:vAlign w:val="center"/>
          </w:tcPr>
          <w:p w14:paraId="336D5572">
            <w:pPr>
              <w:widowControl w:val="0"/>
              <w:tabs>
                <w:tab w:val="left" w:pos="1693"/>
              </w:tabs>
              <w:spacing w:line="240" w:lineRule="auto"/>
              <w:jc w:val="center"/>
              <w:rPr>
                <w:color w:val="000000"/>
                <w:sz w:val="20"/>
                <w:szCs w:val="20"/>
                <w:lang w:eastAsia="en-US"/>
              </w:rPr>
            </w:pPr>
            <w:r>
              <w:rPr>
                <w:color w:val="000000"/>
                <w:sz w:val="20"/>
                <w:szCs w:val="20"/>
              </w:rPr>
              <w:t>黄棕色</w:t>
            </w:r>
          </w:p>
        </w:tc>
        <w:tc>
          <w:tcPr>
            <w:tcW w:w="464" w:type="pct"/>
            <w:tcBorders>
              <w:top w:val="single" w:color="000000" w:sz="4" w:space="0"/>
              <w:left w:val="single" w:color="000000" w:sz="4" w:space="0"/>
              <w:bottom w:val="single" w:color="000000" w:sz="4" w:space="0"/>
              <w:right w:val="single" w:color="000000" w:sz="4" w:space="0"/>
            </w:tcBorders>
            <w:vAlign w:val="center"/>
          </w:tcPr>
          <w:p w14:paraId="1A71F6E1">
            <w:pPr>
              <w:widowControl w:val="0"/>
              <w:tabs>
                <w:tab w:val="left" w:pos="1693"/>
              </w:tabs>
              <w:spacing w:line="240" w:lineRule="auto"/>
              <w:jc w:val="center"/>
              <w:rPr>
                <w:color w:val="000000"/>
                <w:sz w:val="20"/>
                <w:szCs w:val="20"/>
                <w:lang w:eastAsia="en-US"/>
              </w:rPr>
            </w:pPr>
            <w:r>
              <w:rPr>
                <w:color w:val="000000"/>
                <w:sz w:val="20"/>
                <w:szCs w:val="20"/>
              </w:rPr>
              <w:t>黄棕色</w:t>
            </w:r>
          </w:p>
        </w:tc>
        <w:tc>
          <w:tcPr>
            <w:tcW w:w="471" w:type="pct"/>
            <w:tcBorders>
              <w:top w:val="single" w:color="000000" w:sz="4" w:space="0"/>
              <w:left w:val="single" w:color="000000" w:sz="4" w:space="0"/>
              <w:bottom w:val="single" w:color="000000" w:sz="4" w:space="0"/>
              <w:right w:val="single" w:color="000000" w:sz="4" w:space="0"/>
            </w:tcBorders>
            <w:vAlign w:val="center"/>
          </w:tcPr>
          <w:p w14:paraId="7C77548B">
            <w:pPr>
              <w:widowControl w:val="0"/>
              <w:tabs>
                <w:tab w:val="left" w:pos="1693"/>
              </w:tabs>
              <w:spacing w:line="240" w:lineRule="auto"/>
              <w:jc w:val="center"/>
              <w:rPr>
                <w:color w:val="000000"/>
                <w:sz w:val="20"/>
                <w:szCs w:val="20"/>
                <w:lang w:eastAsia="en-US"/>
              </w:rPr>
            </w:pPr>
            <w:r>
              <w:rPr>
                <w:color w:val="000000"/>
                <w:sz w:val="20"/>
                <w:szCs w:val="20"/>
              </w:rPr>
              <w:t>黄棕色</w:t>
            </w:r>
          </w:p>
        </w:tc>
        <w:tc>
          <w:tcPr>
            <w:tcW w:w="462" w:type="pct"/>
            <w:tcBorders>
              <w:top w:val="single" w:color="000000" w:sz="4" w:space="0"/>
              <w:left w:val="single" w:color="000000" w:sz="4" w:space="0"/>
              <w:bottom w:val="single" w:color="000000" w:sz="4" w:space="0"/>
              <w:right w:val="single" w:color="000000" w:sz="4" w:space="0"/>
            </w:tcBorders>
            <w:vAlign w:val="center"/>
          </w:tcPr>
          <w:p w14:paraId="06B8AB37">
            <w:pPr>
              <w:widowControl w:val="0"/>
              <w:tabs>
                <w:tab w:val="left" w:pos="1693"/>
              </w:tabs>
              <w:spacing w:line="240" w:lineRule="auto"/>
              <w:jc w:val="center"/>
              <w:rPr>
                <w:color w:val="000000"/>
                <w:sz w:val="20"/>
                <w:szCs w:val="20"/>
                <w:lang w:eastAsia="en-US"/>
              </w:rPr>
            </w:pPr>
            <w:r>
              <w:rPr>
                <w:color w:val="000000"/>
                <w:sz w:val="20"/>
                <w:szCs w:val="20"/>
              </w:rPr>
              <w:t>黄棕色</w:t>
            </w:r>
          </w:p>
        </w:tc>
        <w:tc>
          <w:tcPr>
            <w:tcW w:w="457" w:type="pct"/>
            <w:tcBorders>
              <w:top w:val="single" w:color="000000" w:sz="4" w:space="0"/>
              <w:left w:val="single" w:color="000000" w:sz="4" w:space="0"/>
              <w:bottom w:val="single" w:color="000000" w:sz="4" w:space="0"/>
              <w:right w:val="single" w:color="000000" w:sz="6" w:space="0"/>
            </w:tcBorders>
            <w:vAlign w:val="center"/>
          </w:tcPr>
          <w:p w14:paraId="7FB30887">
            <w:pPr>
              <w:widowControl w:val="0"/>
              <w:tabs>
                <w:tab w:val="left" w:pos="1693"/>
              </w:tabs>
              <w:spacing w:line="240" w:lineRule="auto"/>
              <w:jc w:val="center"/>
              <w:rPr>
                <w:color w:val="000000"/>
                <w:sz w:val="20"/>
                <w:szCs w:val="20"/>
                <w:lang w:eastAsia="en-US"/>
              </w:rPr>
            </w:pPr>
            <w:r>
              <w:rPr>
                <w:color w:val="000000"/>
                <w:sz w:val="20"/>
                <w:szCs w:val="20"/>
              </w:rPr>
              <w:t>黄棕色</w:t>
            </w:r>
          </w:p>
        </w:tc>
        <w:tc>
          <w:tcPr>
            <w:tcW w:w="460" w:type="pct"/>
            <w:tcBorders>
              <w:top w:val="single" w:color="000000" w:sz="4" w:space="0"/>
              <w:left w:val="single" w:color="000000" w:sz="4" w:space="0"/>
              <w:bottom w:val="single" w:color="000000" w:sz="4" w:space="0"/>
              <w:right w:val="single" w:color="000000" w:sz="6" w:space="0"/>
            </w:tcBorders>
            <w:vAlign w:val="center"/>
          </w:tcPr>
          <w:p w14:paraId="28267758">
            <w:pPr>
              <w:widowControl w:val="0"/>
              <w:tabs>
                <w:tab w:val="left" w:pos="1693"/>
              </w:tabs>
              <w:spacing w:line="240" w:lineRule="auto"/>
              <w:jc w:val="center"/>
              <w:rPr>
                <w:color w:val="000000"/>
                <w:sz w:val="20"/>
                <w:szCs w:val="20"/>
                <w:lang w:eastAsia="en-US"/>
              </w:rPr>
            </w:pPr>
            <w:r>
              <w:rPr>
                <w:color w:val="000000"/>
                <w:sz w:val="20"/>
                <w:szCs w:val="20"/>
              </w:rPr>
              <w:t>黄棕色</w:t>
            </w:r>
          </w:p>
        </w:tc>
        <w:tc>
          <w:tcPr>
            <w:tcW w:w="459" w:type="pct"/>
            <w:tcBorders>
              <w:top w:val="single" w:color="000000" w:sz="4" w:space="0"/>
              <w:left w:val="single" w:color="000000" w:sz="4" w:space="0"/>
              <w:bottom w:val="single" w:color="000000" w:sz="4" w:space="0"/>
              <w:right w:val="single" w:color="000000" w:sz="6" w:space="0"/>
            </w:tcBorders>
            <w:vAlign w:val="center"/>
          </w:tcPr>
          <w:p w14:paraId="556C04EF">
            <w:pPr>
              <w:widowControl w:val="0"/>
              <w:tabs>
                <w:tab w:val="left" w:pos="1693"/>
              </w:tabs>
              <w:spacing w:line="240" w:lineRule="auto"/>
              <w:jc w:val="center"/>
              <w:rPr>
                <w:color w:val="000000"/>
                <w:sz w:val="20"/>
                <w:szCs w:val="20"/>
                <w:lang w:eastAsia="en-US"/>
              </w:rPr>
            </w:pPr>
            <w:r>
              <w:rPr>
                <w:color w:val="000000"/>
                <w:sz w:val="20"/>
                <w:szCs w:val="20"/>
              </w:rPr>
              <w:t>黄棕色</w:t>
            </w:r>
          </w:p>
        </w:tc>
        <w:tc>
          <w:tcPr>
            <w:tcW w:w="459" w:type="pct"/>
            <w:tcBorders>
              <w:top w:val="single" w:color="000000" w:sz="4" w:space="0"/>
              <w:left w:val="single" w:color="000000" w:sz="4" w:space="0"/>
              <w:bottom w:val="single" w:color="000000" w:sz="4" w:space="0"/>
              <w:right w:val="single" w:color="000000" w:sz="6" w:space="0"/>
            </w:tcBorders>
            <w:vAlign w:val="center"/>
          </w:tcPr>
          <w:p w14:paraId="12B376A0">
            <w:pPr>
              <w:widowControl w:val="0"/>
              <w:tabs>
                <w:tab w:val="left" w:pos="1693"/>
              </w:tabs>
              <w:spacing w:line="240" w:lineRule="auto"/>
              <w:jc w:val="center"/>
              <w:rPr>
                <w:color w:val="000000"/>
                <w:sz w:val="20"/>
                <w:szCs w:val="20"/>
                <w:lang w:eastAsia="en-US"/>
              </w:rPr>
            </w:pPr>
            <w:r>
              <w:rPr>
                <w:color w:val="000000"/>
                <w:sz w:val="20"/>
                <w:szCs w:val="20"/>
              </w:rPr>
              <w:t>黄棕色</w:t>
            </w:r>
          </w:p>
        </w:tc>
        <w:tc>
          <w:tcPr>
            <w:tcW w:w="463" w:type="pct"/>
            <w:tcBorders>
              <w:top w:val="single" w:color="000000" w:sz="4" w:space="0"/>
              <w:left w:val="single" w:color="000000" w:sz="4" w:space="0"/>
              <w:bottom w:val="single" w:color="000000" w:sz="4" w:space="0"/>
              <w:right w:val="single" w:color="000000" w:sz="6" w:space="0"/>
            </w:tcBorders>
            <w:vAlign w:val="center"/>
          </w:tcPr>
          <w:p w14:paraId="2C9C38BE">
            <w:pPr>
              <w:widowControl w:val="0"/>
              <w:tabs>
                <w:tab w:val="left" w:pos="1693"/>
              </w:tabs>
              <w:spacing w:line="240" w:lineRule="auto"/>
              <w:jc w:val="center"/>
              <w:rPr>
                <w:color w:val="000000"/>
                <w:sz w:val="20"/>
                <w:szCs w:val="20"/>
                <w:lang w:eastAsia="en-US"/>
              </w:rPr>
            </w:pPr>
            <w:r>
              <w:rPr>
                <w:color w:val="000000"/>
                <w:sz w:val="20"/>
                <w:szCs w:val="20"/>
              </w:rPr>
              <w:t>黄棕色</w:t>
            </w:r>
          </w:p>
        </w:tc>
      </w:tr>
      <w:tr w14:paraId="6C713152">
        <w:tblPrEx>
          <w:tblCellMar>
            <w:top w:w="0" w:type="dxa"/>
            <w:left w:w="0" w:type="dxa"/>
            <w:bottom w:w="0" w:type="dxa"/>
            <w:right w:w="0" w:type="dxa"/>
          </w:tblCellMar>
        </w:tblPrEx>
        <w:trPr>
          <w:trHeight w:val="411" w:hRule="exact"/>
        </w:trPr>
        <w:tc>
          <w:tcPr>
            <w:tcW w:w="148" w:type="pct"/>
            <w:vMerge w:val="continue"/>
            <w:tcBorders>
              <w:left w:val="single" w:color="000000" w:sz="6" w:space="0"/>
              <w:right w:val="single" w:color="000000" w:sz="4" w:space="0"/>
            </w:tcBorders>
            <w:vAlign w:val="center"/>
          </w:tcPr>
          <w:p w14:paraId="0CFB7D64">
            <w:pPr>
              <w:widowControl w:val="0"/>
              <w:tabs>
                <w:tab w:val="left" w:pos="1693"/>
              </w:tabs>
              <w:spacing w:line="240" w:lineRule="auto"/>
              <w:jc w:val="center"/>
              <w:rPr>
                <w:color w:val="000000"/>
                <w:sz w:val="20"/>
                <w:szCs w:val="20"/>
                <w:lang w:eastAsia="en-US"/>
              </w:rPr>
            </w:pPr>
          </w:p>
        </w:tc>
        <w:tc>
          <w:tcPr>
            <w:tcW w:w="838" w:type="pct"/>
            <w:tcBorders>
              <w:top w:val="single" w:color="000000" w:sz="4" w:space="0"/>
              <w:left w:val="single" w:color="000000" w:sz="4" w:space="0"/>
              <w:bottom w:val="single" w:color="000000" w:sz="4" w:space="0"/>
              <w:right w:val="single" w:color="000000" w:sz="4" w:space="0"/>
            </w:tcBorders>
            <w:vAlign w:val="center"/>
          </w:tcPr>
          <w:p w14:paraId="6E592E48">
            <w:pPr>
              <w:widowControl w:val="0"/>
              <w:tabs>
                <w:tab w:val="left" w:pos="1693"/>
              </w:tabs>
              <w:spacing w:line="240" w:lineRule="auto"/>
              <w:jc w:val="center"/>
              <w:rPr>
                <w:color w:val="000000"/>
                <w:sz w:val="20"/>
                <w:szCs w:val="20"/>
                <w:lang w:eastAsia="en-US"/>
              </w:rPr>
            </w:pPr>
            <w:r>
              <w:rPr>
                <w:color w:val="000000"/>
                <w:sz w:val="20"/>
                <w:szCs w:val="20"/>
                <w:lang w:eastAsia="en-US"/>
              </w:rPr>
              <w:t>结构</w:t>
            </w:r>
          </w:p>
        </w:tc>
        <w:tc>
          <w:tcPr>
            <w:tcW w:w="314" w:type="pct"/>
            <w:tcBorders>
              <w:top w:val="single" w:color="000000" w:sz="4" w:space="0"/>
              <w:left w:val="single" w:color="000000" w:sz="4" w:space="0"/>
              <w:bottom w:val="single" w:color="000000" w:sz="4" w:space="0"/>
              <w:right w:val="single" w:color="000000" w:sz="4" w:space="0"/>
            </w:tcBorders>
            <w:vAlign w:val="center"/>
          </w:tcPr>
          <w:p w14:paraId="4BF5AE98">
            <w:pPr>
              <w:widowControl w:val="0"/>
              <w:tabs>
                <w:tab w:val="left" w:pos="1693"/>
              </w:tabs>
              <w:spacing w:line="240" w:lineRule="auto"/>
              <w:jc w:val="center"/>
              <w:rPr>
                <w:color w:val="000000"/>
                <w:sz w:val="20"/>
                <w:szCs w:val="20"/>
                <w:lang w:eastAsia="en-US"/>
              </w:rPr>
            </w:pPr>
            <w:r>
              <w:rPr>
                <w:color w:val="000000"/>
                <w:sz w:val="20"/>
                <w:szCs w:val="20"/>
              </w:rPr>
              <w:t>团粒</w:t>
            </w:r>
          </w:p>
        </w:tc>
        <w:tc>
          <w:tcPr>
            <w:tcW w:w="464" w:type="pct"/>
            <w:tcBorders>
              <w:top w:val="single" w:color="000000" w:sz="4" w:space="0"/>
              <w:left w:val="single" w:color="000000" w:sz="4" w:space="0"/>
              <w:bottom w:val="single" w:color="000000" w:sz="4" w:space="0"/>
              <w:right w:val="single" w:color="000000" w:sz="4" w:space="0"/>
            </w:tcBorders>
            <w:vAlign w:val="center"/>
          </w:tcPr>
          <w:p w14:paraId="2EBDDB42">
            <w:pPr>
              <w:widowControl w:val="0"/>
              <w:tabs>
                <w:tab w:val="left" w:pos="1693"/>
              </w:tabs>
              <w:spacing w:line="240" w:lineRule="auto"/>
              <w:jc w:val="center"/>
              <w:rPr>
                <w:color w:val="000000"/>
                <w:sz w:val="20"/>
                <w:szCs w:val="20"/>
                <w:lang w:eastAsia="en-US"/>
              </w:rPr>
            </w:pPr>
            <w:r>
              <w:rPr>
                <w:color w:val="000000"/>
                <w:sz w:val="20"/>
                <w:szCs w:val="20"/>
              </w:rPr>
              <w:t>团粒</w:t>
            </w:r>
          </w:p>
        </w:tc>
        <w:tc>
          <w:tcPr>
            <w:tcW w:w="471" w:type="pct"/>
            <w:tcBorders>
              <w:top w:val="single" w:color="000000" w:sz="4" w:space="0"/>
              <w:left w:val="single" w:color="000000" w:sz="4" w:space="0"/>
              <w:bottom w:val="single" w:color="000000" w:sz="4" w:space="0"/>
              <w:right w:val="single" w:color="000000" w:sz="4" w:space="0"/>
            </w:tcBorders>
            <w:vAlign w:val="center"/>
          </w:tcPr>
          <w:p w14:paraId="1D4B9CD3">
            <w:pPr>
              <w:widowControl w:val="0"/>
              <w:tabs>
                <w:tab w:val="left" w:pos="1693"/>
              </w:tabs>
              <w:spacing w:line="240" w:lineRule="auto"/>
              <w:jc w:val="center"/>
              <w:rPr>
                <w:color w:val="000000"/>
                <w:sz w:val="20"/>
                <w:szCs w:val="20"/>
                <w:lang w:eastAsia="en-US"/>
              </w:rPr>
            </w:pPr>
            <w:r>
              <w:rPr>
                <w:color w:val="000000"/>
                <w:sz w:val="20"/>
                <w:szCs w:val="20"/>
              </w:rPr>
              <w:t>团粒</w:t>
            </w:r>
          </w:p>
        </w:tc>
        <w:tc>
          <w:tcPr>
            <w:tcW w:w="462" w:type="pct"/>
            <w:tcBorders>
              <w:top w:val="single" w:color="000000" w:sz="4" w:space="0"/>
              <w:left w:val="single" w:color="000000" w:sz="4" w:space="0"/>
              <w:bottom w:val="single" w:color="000000" w:sz="4" w:space="0"/>
              <w:right w:val="single" w:color="000000" w:sz="4" w:space="0"/>
            </w:tcBorders>
            <w:vAlign w:val="center"/>
          </w:tcPr>
          <w:p w14:paraId="5C637AB0">
            <w:pPr>
              <w:widowControl w:val="0"/>
              <w:tabs>
                <w:tab w:val="left" w:pos="1693"/>
              </w:tabs>
              <w:spacing w:line="240" w:lineRule="auto"/>
              <w:jc w:val="center"/>
              <w:rPr>
                <w:color w:val="000000"/>
                <w:sz w:val="20"/>
                <w:szCs w:val="20"/>
                <w:lang w:eastAsia="en-US"/>
              </w:rPr>
            </w:pPr>
            <w:r>
              <w:rPr>
                <w:color w:val="000000"/>
                <w:sz w:val="20"/>
                <w:szCs w:val="20"/>
              </w:rPr>
              <w:t>团粒</w:t>
            </w:r>
          </w:p>
        </w:tc>
        <w:tc>
          <w:tcPr>
            <w:tcW w:w="457" w:type="pct"/>
            <w:tcBorders>
              <w:top w:val="single" w:color="000000" w:sz="4" w:space="0"/>
              <w:left w:val="single" w:color="000000" w:sz="4" w:space="0"/>
              <w:bottom w:val="single" w:color="000000" w:sz="4" w:space="0"/>
              <w:right w:val="single" w:color="000000" w:sz="6" w:space="0"/>
            </w:tcBorders>
            <w:vAlign w:val="center"/>
          </w:tcPr>
          <w:p w14:paraId="47859FD4">
            <w:pPr>
              <w:widowControl w:val="0"/>
              <w:tabs>
                <w:tab w:val="left" w:pos="1693"/>
              </w:tabs>
              <w:spacing w:line="240" w:lineRule="auto"/>
              <w:jc w:val="center"/>
              <w:rPr>
                <w:color w:val="000000"/>
                <w:sz w:val="20"/>
                <w:szCs w:val="20"/>
                <w:lang w:eastAsia="en-US"/>
              </w:rPr>
            </w:pPr>
            <w:r>
              <w:rPr>
                <w:color w:val="000000"/>
                <w:sz w:val="20"/>
                <w:szCs w:val="20"/>
              </w:rPr>
              <w:t>团粒</w:t>
            </w:r>
          </w:p>
        </w:tc>
        <w:tc>
          <w:tcPr>
            <w:tcW w:w="460" w:type="pct"/>
            <w:tcBorders>
              <w:top w:val="single" w:color="000000" w:sz="4" w:space="0"/>
              <w:left w:val="single" w:color="000000" w:sz="4" w:space="0"/>
              <w:bottom w:val="single" w:color="000000" w:sz="4" w:space="0"/>
              <w:right w:val="single" w:color="000000" w:sz="6" w:space="0"/>
            </w:tcBorders>
            <w:vAlign w:val="center"/>
          </w:tcPr>
          <w:p w14:paraId="7A806171">
            <w:pPr>
              <w:widowControl w:val="0"/>
              <w:tabs>
                <w:tab w:val="left" w:pos="1693"/>
              </w:tabs>
              <w:spacing w:line="240" w:lineRule="auto"/>
              <w:jc w:val="center"/>
              <w:rPr>
                <w:color w:val="000000"/>
                <w:sz w:val="20"/>
                <w:szCs w:val="20"/>
                <w:lang w:eastAsia="en-US"/>
              </w:rPr>
            </w:pPr>
            <w:r>
              <w:rPr>
                <w:color w:val="000000"/>
                <w:sz w:val="20"/>
                <w:szCs w:val="20"/>
              </w:rPr>
              <w:t>团粒</w:t>
            </w:r>
          </w:p>
        </w:tc>
        <w:tc>
          <w:tcPr>
            <w:tcW w:w="459" w:type="pct"/>
            <w:tcBorders>
              <w:top w:val="single" w:color="000000" w:sz="4" w:space="0"/>
              <w:left w:val="single" w:color="000000" w:sz="4" w:space="0"/>
              <w:bottom w:val="single" w:color="000000" w:sz="4" w:space="0"/>
              <w:right w:val="single" w:color="000000" w:sz="6" w:space="0"/>
            </w:tcBorders>
            <w:vAlign w:val="center"/>
          </w:tcPr>
          <w:p w14:paraId="29D56816">
            <w:pPr>
              <w:widowControl w:val="0"/>
              <w:tabs>
                <w:tab w:val="left" w:pos="1693"/>
              </w:tabs>
              <w:spacing w:line="240" w:lineRule="auto"/>
              <w:jc w:val="center"/>
              <w:rPr>
                <w:color w:val="000000"/>
                <w:sz w:val="20"/>
                <w:szCs w:val="20"/>
                <w:lang w:eastAsia="en-US"/>
              </w:rPr>
            </w:pPr>
            <w:r>
              <w:rPr>
                <w:color w:val="000000"/>
                <w:sz w:val="20"/>
                <w:szCs w:val="20"/>
              </w:rPr>
              <w:t>团粒</w:t>
            </w:r>
          </w:p>
        </w:tc>
        <w:tc>
          <w:tcPr>
            <w:tcW w:w="459" w:type="pct"/>
            <w:tcBorders>
              <w:top w:val="single" w:color="000000" w:sz="4" w:space="0"/>
              <w:left w:val="single" w:color="000000" w:sz="4" w:space="0"/>
              <w:bottom w:val="single" w:color="000000" w:sz="4" w:space="0"/>
              <w:right w:val="single" w:color="000000" w:sz="6" w:space="0"/>
            </w:tcBorders>
            <w:vAlign w:val="center"/>
          </w:tcPr>
          <w:p w14:paraId="51AF4805">
            <w:pPr>
              <w:widowControl w:val="0"/>
              <w:tabs>
                <w:tab w:val="left" w:pos="1693"/>
              </w:tabs>
              <w:spacing w:line="240" w:lineRule="auto"/>
              <w:jc w:val="center"/>
              <w:rPr>
                <w:color w:val="000000"/>
                <w:sz w:val="20"/>
                <w:szCs w:val="20"/>
                <w:lang w:eastAsia="en-US"/>
              </w:rPr>
            </w:pPr>
            <w:r>
              <w:rPr>
                <w:color w:val="000000"/>
                <w:sz w:val="20"/>
                <w:szCs w:val="20"/>
              </w:rPr>
              <w:t>团粒</w:t>
            </w:r>
          </w:p>
        </w:tc>
        <w:tc>
          <w:tcPr>
            <w:tcW w:w="463" w:type="pct"/>
            <w:tcBorders>
              <w:top w:val="single" w:color="000000" w:sz="4" w:space="0"/>
              <w:left w:val="single" w:color="000000" w:sz="4" w:space="0"/>
              <w:bottom w:val="single" w:color="000000" w:sz="4" w:space="0"/>
              <w:right w:val="single" w:color="000000" w:sz="6" w:space="0"/>
            </w:tcBorders>
            <w:vAlign w:val="center"/>
          </w:tcPr>
          <w:p w14:paraId="1576DC55">
            <w:pPr>
              <w:widowControl w:val="0"/>
              <w:tabs>
                <w:tab w:val="left" w:pos="1693"/>
              </w:tabs>
              <w:spacing w:line="240" w:lineRule="auto"/>
              <w:jc w:val="center"/>
              <w:rPr>
                <w:color w:val="000000"/>
                <w:sz w:val="20"/>
                <w:szCs w:val="20"/>
                <w:lang w:eastAsia="en-US"/>
              </w:rPr>
            </w:pPr>
            <w:r>
              <w:rPr>
                <w:color w:val="000000"/>
                <w:sz w:val="20"/>
                <w:szCs w:val="20"/>
              </w:rPr>
              <w:t>团粒</w:t>
            </w:r>
          </w:p>
        </w:tc>
      </w:tr>
      <w:tr w14:paraId="3A6D499B">
        <w:tblPrEx>
          <w:tblCellMar>
            <w:top w:w="0" w:type="dxa"/>
            <w:left w:w="0" w:type="dxa"/>
            <w:bottom w:w="0" w:type="dxa"/>
            <w:right w:w="0" w:type="dxa"/>
          </w:tblCellMar>
        </w:tblPrEx>
        <w:trPr>
          <w:trHeight w:val="411" w:hRule="exact"/>
        </w:trPr>
        <w:tc>
          <w:tcPr>
            <w:tcW w:w="148" w:type="pct"/>
            <w:vMerge w:val="continue"/>
            <w:tcBorders>
              <w:left w:val="single" w:color="000000" w:sz="6" w:space="0"/>
              <w:right w:val="single" w:color="000000" w:sz="4" w:space="0"/>
            </w:tcBorders>
            <w:vAlign w:val="center"/>
          </w:tcPr>
          <w:p w14:paraId="1C8A94CB">
            <w:pPr>
              <w:widowControl w:val="0"/>
              <w:tabs>
                <w:tab w:val="left" w:pos="1693"/>
              </w:tabs>
              <w:spacing w:line="240" w:lineRule="auto"/>
              <w:jc w:val="center"/>
              <w:rPr>
                <w:color w:val="000000"/>
                <w:sz w:val="20"/>
                <w:szCs w:val="20"/>
                <w:lang w:eastAsia="en-US"/>
              </w:rPr>
            </w:pPr>
          </w:p>
        </w:tc>
        <w:tc>
          <w:tcPr>
            <w:tcW w:w="838" w:type="pct"/>
            <w:tcBorders>
              <w:top w:val="single" w:color="000000" w:sz="4" w:space="0"/>
              <w:left w:val="single" w:color="000000" w:sz="4" w:space="0"/>
              <w:bottom w:val="single" w:color="000000" w:sz="4" w:space="0"/>
              <w:right w:val="single" w:color="000000" w:sz="4" w:space="0"/>
            </w:tcBorders>
            <w:vAlign w:val="center"/>
          </w:tcPr>
          <w:p w14:paraId="114A8E5D">
            <w:pPr>
              <w:widowControl w:val="0"/>
              <w:tabs>
                <w:tab w:val="left" w:pos="1693"/>
              </w:tabs>
              <w:spacing w:line="240" w:lineRule="auto"/>
              <w:jc w:val="center"/>
              <w:rPr>
                <w:color w:val="000000"/>
                <w:sz w:val="20"/>
                <w:szCs w:val="20"/>
                <w:lang w:eastAsia="en-US"/>
              </w:rPr>
            </w:pPr>
            <w:r>
              <w:rPr>
                <w:color w:val="000000"/>
                <w:sz w:val="20"/>
                <w:szCs w:val="20"/>
                <w:lang w:eastAsia="en-US"/>
              </w:rPr>
              <w:t>质地</w:t>
            </w:r>
          </w:p>
        </w:tc>
        <w:tc>
          <w:tcPr>
            <w:tcW w:w="314" w:type="pct"/>
            <w:tcBorders>
              <w:top w:val="single" w:color="000000" w:sz="4" w:space="0"/>
              <w:left w:val="single" w:color="000000" w:sz="4" w:space="0"/>
              <w:bottom w:val="single" w:color="000000" w:sz="4" w:space="0"/>
              <w:right w:val="single" w:color="000000" w:sz="4" w:space="0"/>
            </w:tcBorders>
            <w:vAlign w:val="center"/>
          </w:tcPr>
          <w:p w14:paraId="290574DF">
            <w:pPr>
              <w:widowControl w:val="0"/>
              <w:tabs>
                <w:tab w:val="left" w:pos="1693"/>
              </w:tabs>
              <w:spacing w:line="240" w:lineRule="auto"/>
              <w:jc w:val="center"/>
              <w:rPr>
                <w:color w:val="000000"/>
                <w:sz w:val="20"/>
                <w:szCs w:val="20"/>
                <w:lang w:eastAsia="en-US"/>
              </w:rPr>
            </w:pPr>
            <w:r>
              <w:rPr>
                <w:color w:val="000000"/>
                <w:sz w:val="20"/>
                <w:szCs w:val="20"/>
              </w:rPr>
              <w:t>砂土</w:t>
            </w:r>
          </w:p>
        </w:tc>
        <w:tc>
          <w:tcPr>
            <w:tcW w:w="464" w:type="pct"/>
            <w:tcBorders>
              <w:top w:val="single" w:color="000000" w:sz="4" w:space="0"/>
              <w:left w:val="single" w:color="000000" w:sz="4" w:space="0"/>
              <w:bottom w:val="single" w:color="000000" w:sz="4" w:space="0"/>
              <w:right w:val="single" w:color="000000" w:sz="4" w:space="0"/>
            </w:tcBorders>
            <w:vAlign w:val="center"/>
          </w:tcPr>
          <w:p w14:paraId="3DE2DCD6">
            <w:pPr>
              <w:widowControl w:val="0"/>
              <w:tabs>
                <w:tab w:val="left" w:pos="1693"/>
              </w:tabs>
              <w:spacing w:line="240" w:lineRule="auto"/>
              <w:jc w:val="center"/>
              <w:rPr>
                <w:color w:val="000000"/>
                <w:sz w:val="20"/>
                <w:szCs w:val="20"/>
                <w:lang w:eastAsia="en-US"/>
              </w:rPr>
            </w:pPr>
            <w:r>
              <w:rPr>
                <w:color w:val="000000"/>
                <w:sz w:val="20"/>
                <w:szCs w:val="20"/>
              </w:rPr>
              <w:t>砂土</w:t>
            </w:r>
          </w:p>
        </w:tc>
        <w:tc>
          <w:tcPr>
            <w:tcW w:w="471" w:type="pct"/>
            <w:tcBorders>
              <w:top w:val="single" w:color="000000" w:sz="4" w:space="0"/>
              <w:left w:val="single" w:color="000000" w:sz="4" w:space="0"/>
              <w:bottom w:val="single" w:color="000000" w:sz="4" w:space="0"/>
              <w:right w:val="single" w:color="000000" w:sz="4" w:space="0"/>
            </w:tcBorders>
            <w:vAlign w:val="center"/>
          </w:tcPr>
          <w:p w14:paraId="2B72E5CC">
            <w:pPr>
              <w:widowControl w:val="0"/>
              <w:tabs>
                <w:tab w:val="left" w:pos="1693"/>
              </w:tabs>
              <w:spacing w:line="240" w:lineRule="auto"/>
              <w:jc w:val="center"/>
              <w:rPr>
                <w:color w:val="000000"/>
                <w:sz w:val="20"/>
                <w:szCs w:val="20"/>
                <w:lang w:eastAsia="en-US"/>
              </w:rPr>
            </w:pPr>
            <w:r>
              <w:rPr>
                <w:color w:val="000000"/>
                <w:sz w:val="20"/>
                <w:szCs w:val="20"/>
              </w:rPr>
              <w:t>砂土</w:t>
            </w:r>
          </w:p>
        </w:tc>
        <w:tc>
          <w:tcPr>
            <w:tcW w:w="462" w:type="pct"/>
            <w:tcBorders>
              <w:top w:val="single" w:color="000000" w:sz="4" w:space="0"/>
              <w:left w:val="single" w:color="000000" w:sz="4" w:space="0"/>
              <w:bottom w:val="single" w:color="000000" w:sz="4" w:space="0"/>
              <w:right w:val="single" w:color="000000" w:sz="4" w:space="0"/>
            </w:tcBorders>
            <w:vAlign w:val="center"/>
          </w:tcPr>
          <w:p w14:paraId="527A31A7">
            <w:pPr>
              <w:widowControl w:val="0"/>
              <w:tabs>
                <w:tab w:val="left" w:pos="1693"/>
              </w:tabs>
              <w:spacing w:line="240" w:lineRule="auto"/>
              <w:jc w:val="center"/>
              <w:rPr>
                <w:color w:val="000000"/>
                <w:sz w:val="20"/>
                <w:szCs w:val="20"/>
                <w:lang w:eastAsia="en-US"/>
              </w:rPr>
            </w:pPr>
            <w:r>
              <w:rPr>
                <w:color w:val="000000"/>
                <w:sz w:val="20"/>
                <w:szCs w:val="20"/>
              </w:rPr>
              <w:t>壤土</w:t>
            </w:r>
          </w:p>
        </w:tc>
        <w:tc>
          <w:tcPr>
            <w:tcW w:w="457" w:type="pct"/>
            <w:tcBorders>
              <w:top w:val="single" w:color="000000" w:sz="4" w:space="0"/>
              <w:left w:val="single" w:color="000000" w:sz="4" w:space="0"/>
              <w:bottom w:val="single" w:color="000000" w:sz="4" w:space="0"/>
              <w:right w:val="single" w:color="000000" w:sz="6" w:space="0"/>
            </w:tcBorders>
            <w:vAlign w:val="center"/>
          </w:tcPr>
          <w:p w14:paraId="0E38C314">
            <w:pPr>
              <w:widowControl w:val="0"/>
              <w:tabs>
                <w:tab w:val="left" w:pos="1693"/>
              </w:tabs>
              <w:spacing w:line="240" w:lineRule="auto"/>
              <w:jc w:val="center"/>
              <w:rPr>
                <w:color w:val="000000"/>
                <w:sz w:val="20"/>
                <w:szCs w:val="20"/>
                <w:lang w:eastAsia="en-US"/>
              </w:rPr>
            </w:pPr>
            <w:r>
              <w:rPr>
                <w:color w:val="000000"/>
                <w:sz w:val="20"/>
                <w:szCs w:val="20"/>
              </w:rPr>
              <w:t>壤土</w:t>
            </w:r>
          </w:p>
        </w:tc>
        <w:tc>
          <w:tcPr>
            <w:tcW w:w="460" w:type="pct"/>
            <w:tcBorders>
              <w:top w:val="single" w:color="000000" w:sz="4" w:space="0"/>
              <w:left w:val="single" w:color="000000" w:sz="4" w:space="0"/>
              <w:bottom w:val="single" w:color="000000" w:sz="4" w:space="0"/>
              <w:right w:val="single" w:color="000000" w:sz="6" w:space="0"/>
            </w:tcBorders>
            <w:vAlign w:val="center"/>
          </w:tcPr>
          <w:p w14:paraId="3A135D42">
            <w:pPr>
              <w:widowControl w:val="0"/>
              <w:tabs>
                <w:tab w:val="left" w:pos="1693"/>
              </w:tabs>
              <w:spacing w:line="240" w:lineRule="auto"/>
              <w:jc w:val="center"/>
              <w:rPr>
                <w:color w:val="000000"/>
                <w:sz w:val="20"/>
                <w:szCs w:val="20"/>
                <w:lang w:eastAsia="en-US"/>
              </w:rPr>
            </w:pPr>
            <w:r>
              <w:rPr>
                <w:color w:val="000000"/>
                <w:sz w:val="20"/>
                <w:szCs w:val="20"/>
              </w:rPr>
              <w:t>壤土</w:t>
            </w:r>
          </w:p>
        </w:tc>
        <w:tc>
          <w:tcPr>
            <w:tcW w:w="459" w:type="pct"/>
            <w:tcBorders>
              <w:top w:val="single" w:color="000000" w:sz="4" w:space="0"/>
              <w:left w:val="single" w:color="000000" w:sz="4" w:space="0"/>
              <w:bottom w:val="single" w:color="000000" w:sz="4" w:space="0"/>
              <w:right w:val="single" w:color="000000" w:sz="6" w:space="0"/>
            </w:tcBorders>
            <w:vAlign w:val="center"/>
          </w:tcPr>
          <w:p w14:paraId="71ADA946">
            <w:pPr>
              <w:widowControl w:val="0"/>
              <w:tabs>
                <w:tab w:val="left" w:pos="1693"/>
              </w:tabs>
              <w:spacing w:line="240" w:lineRule="auto"/>
              <w:jc w:val="center"/>
              <w:rPr>
                <w:color w:val="000000"/>
                <w:sz w:val="20"/>
                <w:szCs w:val="20"/>
                <w:lang w:eastAsia="en-US"/>
              </w:rPr>
            </w:pPr>
            <w:r>
              <w:rPr>
                <w:color w:val="000000"/>
                <w:sz w:val="20"/>
                <w:szCs w:val="20"/>
              </w:rPr>
              <w:t>砂土</w:t>
            </w:r>
          </w:p>
        </w:tc>
        <w:tc>
          <w:tcPr>
            <w:tcW w:w="459" w:type="pct"/>
            <w:tcBorders>
              <w:top w:val="single" w:color="000000" w:sz="4" w:space="0"/>
              <w:left w:val="single" w:color="000000" w:sz="4" w:space="0"/>
              <w:bottom w:val="single" w:color="000000" w:sz="4" w:space="0"/>
              <w:right w:val="single" w:color="000000" w:sz="6" w:space="0"/>
            </w:tcBorders>
            <w:vAlign w:val="center"/>
          </w:tcPr>
          <w:p w14:paraId="3E2C4CDF">
            <w:pPr>
              <w:widowControl w:val="0"/>
              <w:tabs>
                <w:tab w:val="left" w:pos="1693"/>
              </w:tabs>
              <w:spacing w:line="240" w:lineRule="auto"/>
              <w:jc w:val="center"/>
              <w:rPr>
                <w:color w:val="000000"/>
                <w:sz w:val="20"/>
                <w:szCs w:val="20"/>
                <w:lang w:eastAsia="en-US"/>
              </w:rPr>
            </w:pPr>
            <w:r>
              <w:rPr>
                <w:color w:val="000000"/>
                <w:sz w:val="20"/>
                <w:szCs w:val="20"/>
              </w:rPr>
              <w:t>砂土</w:t>
            </w:r>
          </w:p>
        </w:tc>
        <w:tc>
          <w:tcPr>
            <w:tcW w:w="463" w:type="pct"/>
            <w:tcBorders>
              <w:top w:val="single" w:color="000000" w:sz="4" w:space="0"/>
              <w:left w:val="single" w:color="000000" w:sz="4" w:space="0"/>
              <w:bottom w:val="single" w:color="000000" w:sz="4" w:space="0"/>
              <w:right w:val="single" w:color="000000" w:sz="6" w:space="0"/>
            </w:tcBorders>
            <w:vAlign w:val="center"/>
          </w:tcPr>
          <w:p w14:paraId="535F0927">
            <w:pPr>
              <w:widowControl w:val="0"/>
              <w:tabs>
                <w:tab w:val="left" w:pos="1693"/>
              </w:tabs>
              <w:spacing w:line="240" w:lineRule="auto"/>
              <w:jc w:val="center"/>
              <w:rPr>
                <w:color w:val="000000"/>
                <w:sz w:val="20"/>
                <w:szCs w:val="20"/>
                <w:lang w:eastAsia="en-US"/>
              </w:rPr>
            </w:pPr>
            <w:r>
              <w:rPr>
                <w:color w:val="000000"/>
                <w:sz w:val="20"/>
                <w:szCs w:val="20"/>
              </w:rPr>
              <w:t>砂土</w:t>
            </w:r>
          </w:p>
        </w:tc>
      </w:tr>
      <w:tr w14:paraId="373F2426">
        <w:tblPrEx>
          <w:tblCellMar>
            <w:top w:w="0" w:type="dxa"/>
            <w:left w:w="0" w:type="dxa"/>
            <w:bottom w:w="0" w:type="dxa"/>
            <w:right w:w="0" w:type="dxa"/>
          </w:tblCellMar>
        </w:tblPrEx>
        <w:trPr>
          <w:trHeight w:val="725" w:hRule="exact"/>
        </w:trPr>
        <w:tc>
          <w:tcPr>
            <w:tcW w:w="148" w:type="pct"/>
            <w:vMerge w:val="continue"/>
            <w:tcBorders>
              <w:left w:val="single" w:color="000000" w:sz="6" w:space="0"/>
              <w:right w:val="single" w:color="000000" w:sz="4" w:space="0"/>
            </w:tcBorders>
            <w:vAlign w:val="center"/>
          </w:tcPr>
          <w:p w14:paraId="7A3A16C5">
            <w:pPr>
              <w:widowControl w:val="0"/>
              <w:tabs>
                <w:tab w:val="left" w:pos="1693"/>
              </w:tabs>
              <w:spacing w:line="240" w:lineRule="auto"/>
              <w:jc w:val="center"/>
              <w:rPr>
                <w:color w:val="000000"/>
                <w:sz w:val="20"/>
                <w:szCs w:val="20"/>
                <w:lang w:eastAsia="en-US"/>
              </w:rPr>
            </w:pPr>
          </w:p>
        </w:tc>
        <w:tc>
          <w:tcPr>
            <w:tcW w:w="838" w:type="pct"/>
            <w:tcBorders>
              <w:top w:val="single" w:color="000000" w:sz="4" w:space="0"/>
              <w:left w:val="single" w:color="000000" w:sz="4" w:space="0"/>
              <w:bottom w:val="single" w:color="000000" w:sz="4" w:space="0"/>
              <w:right w:val="single" w:color="000000" w:sz="4" w:space="0"/>
            </w:tcBorders>
            <w:vAlign w:val="center"/>
          </w:tcPr>
          <w:p w14:paraId="1547DE62">
            <w:pPr>
              <w:widowControl w:val="0"/>
              <w:tabs>
                <w:tab w:val="left" w:pos="1693"/>
              </w:tabs>
              <w:spacing w:line="240" w:lineRule="auto"/>
              <w:jc w:val="center"/>
              <w:rPr>
                <w:color w:val="000000"/>
                <w:sz w:val="20"/>
                <w:szCs w:val="20"/>
                <w:lang w:eastAsia="en-US"/>
              </w:rPr>
            </w:pPr>
            <w:r>
              <w:rPr>
                <w:color w:val="000000"/>
                <w:sz w:val="20"/>
                <w:szCs w:val="20"/>
                <w:lang w:eastAsia="en-US"/>
              </w:rPr>
              <w:t>砂砾含量</w:t>
            </w:r>
          </w:p>
        </w:tc>
        <w:tc>
          <w:tcPr>
            <w:tcW w:w="314" w:type="pct"/>
            <w:tcBorders>
              <w:top w:val="single" w:color="000000" w:sz="4" w:space="0"/>
              <w:left w:val="single" w:color="000000" w:sz="4" w:space="0"/>
              <w:bottom w:val="single" w:color="000000" w:sz="4" w:space="0"/>
              <w:right w:val="single" w:color="000000" w:sz="4" w:space="0"/>
            </w:tcBorders>
            <w:vAlign w:val="center"/>
          </w:tcPr>
          <w:p w14:paraId="726B7BE3">
            <w:pPr>
              <w:widowControl w:val="0"/>
              <w:tabs>
                <w:tab w:val="left" w:pos="1693"/>
              </w:tabs>
              <w:spacing w:line="240" w:lineRule="auto"/>
              <w:jc w:val="center"/>
              <w:rPr>
                <w:color w:val="000000"/>
                <w:sz w:val="20"/>
                <w:szCs w:val="20"/>
                <w:lang w:eastAsia="en-US"/>
              </w:rPr>
            </w:pPr>
            <w:r>
              <w:rPr>
                <w:color w:val="000000"/>
                <w:sz w:val="20"/>
                <w:szCs w:val="20"/>
              </w:rPr>
              <w:t>少量砂砾</w:t>
            </w:r>
          </w:p>
        </w:tc>
        <w:tc>
          <w:tcPr>
            <w:tcW w:w="464" w:type="pct"/>
            <w:tcBorders>
              <w:top w:val="single" w:color="000000" w:sz="4" w:space="0"/>
              <w:left w:val="single" w:color="000000" w:sz="4" w:space="0"/>
              <w:bottom w:val="single" w:color="000000" w:sz="4" w:space="0"/>
              <w:right w:val="single" w:color="000000" w:sz="4" w:space="0"/>
            </w:tcBorders>
            <w:vAlign w:val="center"/>
          </w:tcPr>
          <w:p w14:paraId="2F2A6F29">
            <w:pPr>
              <w:widowControl w:val="0"/>
              <w:tabs>
                <w:tab w:val="left" w:pos="1693"/>
              </w:tabs>
              <w:spacing w:line="240" w:lineRule="auto"/>
              <w:jc w:val="center"/>
              <w:rPr>
                <w:color w:val="000000"/>
                <w:sz w:val="20"/>
                <w:szCs w:val="20"/>
                <w:lang w:eastAsia="en-US"/>
              </w:rPr>
            </w:pPr>
            <w:r>
              <w:rPr>
                <w:color w:val="000000"/>
                <w:sz w:val="20"/>
                <w:szCs w:val="20"/>
              </w:rPr>
              <w:t>少量砂砾</w:t>
            </w:r>
          </w:p>
        </w:tc>
        <w:tc>
          <w:tcPr>
            <w:tcW w:w="471" w:type="pct"/>
            <w:tcBorders>
              <w:top w:val="single" w:color="000000" w:sz="4" w:space="0"/>
              <w:left w:val="single" w:color="000000" w:sz="4" w:space="0"/>
              <w:bottom w:val="single" w:color="000000" w:sz="4" w:space="0"/>
              <w:right w:val="single" w:color="000000" w:sz="4" w:space="0"/>
            </w:tcBorders>
            <w:vAlign w:val="center"/>
          </w:tcPr>
          <w:p w14:paraId="5C0A4656">
            <w:pPr>
              <w:widowControl w:val="0"/>
              <w:tabs>
                <w:tab w:val="left" w:pos="1693"/>
              </w:tabs>
              <w:spacing w:line="240" w:lineRule="auto"/>
              <w:jc w:val="center"/>
              <w:rPr>
                <w:color w:val="000000"/>
                <w:sz w:val="20"/>
                <w:szCs w:val="20"/>
                <w:lang w:eastAsia="en-US"/>
              </w:rPr>
            </w:pPr>
            <w:r>
              <w:rPr>
                <w:color w:val="000000"/>
                <w:sz w:val="20"/>
                <w:szCs w:val="20"/>
              </w:rPr>
              <w:t>少量砂砾</w:t>
            </w:r>
          </w:p>
        </w:tc>
        <w:tc>
          <w:tcPr>
            <w:tcW w:w="462" w:type="pct"/>
            <w:tcBorders>
              <w:top w:val="single" w:color="000000" w:sz="4" w:space="0"/>
              <w:left w:val="single" w:color="000000" w:sz="4" w:space="0"/>
              <w:bottom w:val="single" w:color="000000" w:sz="4" w:space="0"/>
              <w:right w:val="single" w:color="000000" w:sz="4" w:space="0"/>
            </w:tcBorders>
            <w:vAlign w:val="center"/>
          </w:tcPr>
          <w:p w14:paraId="2EE57791">
            <w:pPr>
              <w:widowControl w:val="0"/>
              <w:tabs>
                <w:tab w:val="left" w:pos="1693"/>
              </w:tabs>
              <w:spacing w:line="240" w:lineRule="auto"/>
              <w:jc w:val="center"/>
              <w:rPr>
                <w:color w:val="000000"/>
                <w:sz w:val="20"/>
                <w:szCs w:val="20"/>
                <w:lang w:eastAsia="en-US"/>
              </w:rPr>
            </w:pPr>
            <w:r>
              <w:rPr>
                <w:color w:val="000000"/>
                <w:sz w:val="20"/>
                <w:szCs w:val="20"/>
              </w:rPr>
              <w:t>少量砂砾</w:t>
            </w:r>
          </w:p>
        </w:tc>
        <w:tc>
          <w:tcPr>
            <w:tcW w:w="457" w:type="pct"/>
            <w:tcBorders>
              <w:top w:val="single" w:color="000000" w:sz="4" w:space="0"/>
              <w:left w:val="single" w:color="000000" w:sz="4" w:space="0"/>
              <w:bottom w:val="single" w:color="000000" w:sz="4" w:space="0"/>
              <w:right w:val="single" w:color="000000" w:sz="6" w:space="0"/>
            </w:tcBorders>
            <w:vAlign w:val="center"/>
          </w:tcPr>
          <w:p w14:paraId="1A583926">
            <w:pPr>
              <w:widowControl w:val="0"/>
              <w:tabs>
                <w:tab w:val="left" w:pos="1693"/>
              </w:tabs>
              <w:spacing w:line="240" w:lineRule="auto"/>
              <w:jc w:val="center"/>
              <w:rPr>
                <w:color w:val="000000"/>
                <w:sz w:val="20"/>
                <w:szCs w:val="20"/>
                <w:lang w:eastAsia="en-US"/>
              </w:rPr>
            </w:pPr>
            <w:r>
              <w:rPr>
                <w:color w:val="000000"/>
                <w:sz w:val="20"/>
                <w:szCs w:val="20"/>
              </w:rPr>
              <w:t>少量砂砾</w:t>
            </w:r>
          </w:p>
        </w:tc>
        <w:tc>
          <w:tcPr>
            <w:tcW w:w="460" w:type="pct"/>
            <w:tcBorders>
              <w:top w:val="single" w:color="000000" w:sz="4" w:space="0"/>
              <w:left w:val="single" w:color="000000" w:sz="4" w:space="0"/>
              <w:bottom w:val="single" w:color="000000" w:sz="4" w:space="0"/>
              <w:right w:val="single" w:color="000000" w:sz="6" w:space="0"/>
            </w:tcBorders>
            <w:vAlign w:val="center"/>
          </w:tcPr>
          <w:p w14:paraId="0BAEC59A">
            <w:pPr>
              <w:widowControl w:val="0"/>
              <w:tabs>
                <w:tab w:val="left" w:pos="1693"/>
              </w:tabs>
              <w:spacing w:line="240" w:lineRule="auto"/>
              <w:jc w:val="center"/>
              <w:rPr>
                <w:color w:val="000000"/>
                <w:sz w:val="20"/>
                <w:szCs w:val="20"/>
                <w:lang w:eastAsia="en-US"/>
              </w:rPr>
            </w:pPr>
            <w:r>
              <w:rPr>
                <w:color w:val="000000"/>
                <w:sz w:val="20"/>
                <w:szCs w:val="20"/>
              </w:rPr>
              <w:t>少量砂砾</w:t>
            </w:r>
          </w:p>
        </w:tc>
        <w:tc>
          <w:tcPr>
            <w:tcW w:w="459" w:type="pct"/>
            <w:tcBorders>
              <w:top w:val="single" w:color="000000" w:sz="4" w:space="0"/>
              <w:left w:val="single" w:color="000000" w:sz="4" w:space="0"/>
              <w:bottom w:val="single" w:color="000000" w:sz="4" w:space="0"/>
              <w:right w:val="single" w:color="000000" w:sz="6" w:space="0"/>
            </w:tcBorders>
            <w:vAlign w:val="center"/>
          </w:tcPr>
          <w:p w14:paraId="4383AE8B">
            <w:pPr>
              <w:widowControl w:val="0"/>
              <w:tabs>
                <w:tab w:val="left" w:pos="1693"/>
              </w:tabs>
              <w:spacing w:line="240" w:lineRule="auto"/>
              <w:jc w:val="center"/>
              <w:rPr>
                <w:color w:val="000000"/>
                <w:sz w:val="20"/>
                <w:szCs w:val="20"/>
                <w:lang w:eastAsia="en-US"/>
              </w:rPr>
            </w:pPr>
            <w:r>
              <w:rPr>
                <w:color w:val="000000"/>
                <w:sz w:val="20"/>
                <w:szCs w:val="20"/>
              </w:rPr>
              <w:t>少量砂砾</w:t>
            </w:r>
          </w:p>
        </w:tc>
        <w:tc>
          <w:tcPr>
            <w:tcW w:w="459" w:type="pct"/>
            <w:tcBorders>
              <w:top w:val="single" w:color="000000" w:sz="4" w:space="0"/>
              <w:left w:val="single" w:color="000000" w:sz="4" w:space="0"/>
              <w:bottom w:val="single" w:color="000000" w:sz="4" w:space="0"/>
              <w:right w:val="single" w:color="000000" w:sz="6" w:space="0"/>
            </w:tcBorders>
            <w:vAlign w:val="center"/>
          </w:tcPr>
          <w:p w14:paraId="1A878FF0">
            <w:pPr>
              <w:widowControl w:val="0"/>
              <w:tabs>
                <w:tab w:val="left" w:pos="1693"/>
              </w:tabs>
              <w:spacing w:line="240" w:lineRule="auto"/>
              <w:jc w:val="center"/>
              <w:rPr>
                <w:color w:val="000000"/>
                <w:sz w:val="20"/>
                <w:szCs w:val="20"/>
                <w:lang w:eastAsia="en-US"/>
              </w:rPr>
            </w:pPr>
            <w:r>
              <w:rPr>
                <w:color w:val="000000"/>
                <w:sz w:val="20"/>
                <w:szCs w:val="20"/>
              </w:rPr>
              <w:t>少量砂砾</w:t>
            </w:r>
          </w:p>
        </w:tc>
        <w:tc>
          <w:tcPr>
            <w:tcW w:w="463" w:type="pct"/>
            <w:tcBorders>
              <w:top w:val="single" w:color="000000" w:sz="4" w:space="0"/>
              <w:left w:val="single" w:color="000000" w:sz="4" w:space="0"/>
              <w:bottom w:val="single" w:color="000000" w:sz="4" w:space="0"/>
              <w:right w:val="single" w:color="000000" w:sz="6" w:space="0"/>
            </w:tcBorders>
            <w:vAlign w:val="center"/>
          </w:tcPr>
          <w:p w14:paraId="6C27A560">
            <w:pPr>
              <w:widowControl w:val="0"/>
              <w:tabs>
                <w:tab w:val="left" w:pos="1693"/>
              </w:tabs>
              <w:spacing w:line="240" w:lineRule="auto"/>
              <w:jc w:val="center"/>
              <w:rPr>
                <w:color w:val="000000"/>
                <w:sz w:val="20"/>
                <w:szCs w:val="20"/>
                <w:lang w:eastAsia="en-US"/>
              </w:rPr>
            </w:pPr>
            <w:r>
              <w:rPr>
                <w:color w:val="000000"/>
                <w:sz w:val="20"/>
                <w:szCs w:val="20"/>
              </w:rPr>
              <w:t>少量砂砾</w:t>
            </w:r>
          </w:p>
        </w:tc>
      </w:tr>
      <w:tr w14:paraId="164C592F">
        <w:tblPrEx>
          <w:tblCellMar>
            <w:top w:w="0" w:type="dxa"/>
            <w:left w:w="0" w:type="dxa"/>
            <w:bottom w:w="0" w:type="dxa"/>
            <w:right w:w="0" w:type="dxa"/>
          </w:tblCellMar>
        </w:tblPrEx>
        <w:trPr>
          <w:trHeight w:val="650" w:hRule="exact"/>
        </w:trPr>
        <w:tc>
          <w:tcPr>
            <w:tcW w:w="148" w:type="pct"/>
            <w:vMerge w:val="continue"/>
            <w:tcBorders>
              <w:left w:val="single" w:color="000000" w:sz="6" w:space="0"/>
              <w:bottom w:val="single" w:color="000000" w:sz="4" w:space="0"/>
              <w:right w:val="single" w:color="000000" w:sz="4" w:space="0"/>
            </w:tcBorders>
            <w:vAlign w:val="center"/>
          </w:tcPr>
          <w:p w14:paraId="286D6C3A">
            <w:pPr>
              <w:widowControl w:val="0"/>
              <w:tabs>
                <w:tab w:val="left" w:pos="1693"/>
              </w:tabs>
              <w:spacing w:line="240" w:lineRule="auto"/>
              <w:jc w:val="center"/>
              <w:rPr>
                <w:color w:val="000000"/>
                <w:sz w:val="20"/>
                <w:szCs w:val="20"/>
                <w:lang w:eastAsia="en-US"/>
              </w:rPr>
            </w:pPr>
          </w:p>
        </w:tc>
        <w:tc>
          <w:tcPr>
            <w:tcW w:w="838" w:type="pct"/>
            <w:tcBorders>
              <w:top w:val="single" w:color="000000" w:sz="4" w:space="0"/>
              <w:left w:val="single" w:color="000000" w:sz="4" w:space="0"/>
              <w:bottom w:val="single" w:color="000000" w:sz="4" w:space="0"/>
              <w:right w:val="single" w:color="000000" w:sz="4" w:space="0"/>
            </w:tcBorders>
            <w:vAlign w:val="center"/>
          </w:tcPr>
          <w:p w14:paraId="67AAED81">
            <w:pPr>
              <w:widowControl w:val="0"/>
              <w:tabs>
                <w:tab w:val="left" w:pos="1693"/>
              </w:tabs>
              <w:spacing w:line="240" w:lineRule="auto"/>
              <w:jc w:val="center"/>
              <w:rPr>
                <w:color w:val="000000"/>
                <w:sz w:val="20"/>
                <w:szCs w:val="20"/>
                <w:lang w:eastAsia="en-US"/>
              </w:rPr>
            </w:pPr>
            <w:r>
              <w:rPr>
                <w:color w:val="000000"/>
                <w:sz w:val="20"/>
                <w:szCs w:val="20"/>
                <w:lang w:eastAsia="en-US"/>
              </w:rPr>
              <w:t>其他异物</w:t>
            </w:r>
          </w:p>
        </w:tc>
        <w:tc>
          <w:tcPr>
            <w:tcW w:w="314" w:type="pct"/>
            <w:tcBorders>
              <w:top w:val="single" w:color="000000" w:sz="4" w:space="0"/>
              <w:left w:val="single" w:color="000000" w:sz="4" w:space="0"/>
              <w:bottom w:val="single" w:color="000000" w:sz="4" w:space="0"/>
              <w:right w:val="single" w:color="000000" w:sz="4" w:space="0"/>
            </w:tcBorders>
            <w:vAlign w:val="center"/>
          </w:tcPr>
          <w:p w14:paraId="6AFC6AA4">
            <w:pPr>
              <w:widowControl w:val="0"/>
              <w:tabs>
                <w:tab w:val="left" w:pos="1693"/>
              </w:tabs>
              <w:spacing w:line="240" w:lineRule="auto"/>
              <w:jc w:val="center"/>
              <w:rPr>
                <w:color w:val="000000"/>
                <w:sz w:val="20"/>
                <w:szCs w:val="20"/>
                <w:lang w:eastAsia="en-US"/>
              </w:rPr>
            </w:pPr>
            <w:r>
              <w:rPr>
                <w:color w:val="000000"/>
                <w:sz w:val="20"/>
                <w:szCs w:val="20"/>
              </w:rPr>
              <w:t>少量</w:t>
            </w:r>
          </w:p>
        </w:tc>
        <w:tc>
          <w:tcPr>
            <w:tcW w:w="464" w:type="pct"/>
            <w:tcBorders>
              <w:top w:val="single" w:color="000000" w:sz="4" w:space="0"/>
              <w:left w:val="single" w:color="000000" w:sz="4" w:space="0"/>
              <w:bottom w:val="single" w:color="000000" w:sz="4" w:space="0"/>
              <w:right w:val="single" w:color="000000" w:sz="4" w:space="0"/>
            </w:tcBorders>
            <w:vAlign w:val="center"/>
          </w:tcPr>
          <w:p w14:paraId="7CE2BB12">
            <w:pPr>
              <w:widowControl w:val="0"/>
              <w:tabs>
                <w:tab w:val="left" w:pos="1693"/>
              </w:tabs>
              <w:spacing w:line="240" w:lineRule="auto"/>
              <w:jc w:val="center"/>
              <w:rPr>
                <w:color w:val="000000"/>
                <w:sz w:val="20"/>
                <w:szCs w:val="20"/>
                <w:lang w:eastAsia="en-US"/>
              </w:rPr>
            </w:pPr>
            <w:r>
              <w:rPr>
                <w:color w:val="000000"/>
                <w:sz w:val="20"/>
                <w:szCs w:val="20"/>
              </w:rPr>
              <w:t>少量</w:t>
            </w:r>
          </w:p>
        </w:tc>
        <w:tc>
          <w:tcPr>
            <w:tcW w:w="471" w:type="pct"/>
            <w:tcBorders>
              <w:top w:val="single" w:color="000000" w:sz="4" w:space="0"/>
              <w:left w:val="single" w:color="000000" w:sz="4" w:space="0"/>
              <w:bottom w:val="single" w:color="000000" w:sz="4" w:space="0"/>
              <w:right w:val="single" w:color="000000" w:sz="4" w:space="0"/>
            </w:tcBorders>
            <w:vAlign w:val="center"/>
          </w:tcPr>
          <w:p w14:paraId="624F065B">
            <w:pPr>
              <w:widowControl w:val="0"/>
              <w:tabs>
                <w:tab w:val="left" w:pos="1693"/>
              </w:tabs>
              <w:spacing w:line="240" w:lineRule="auto"/>
              <w:jc w:val="center"/>
              <w:rPr>
                <w:color w:val="000000"/>
                <w:sz w:val="20"/>
                <w:szCs w:val="20"/>
                <w:lang w:eastAsia="en-US"/>
              </w:rPr>
            </w:pPr>
            <w:r>
              <w:rPr>
                <w:color w:val="000000"/>
                <w:sz w:val="20"/>
                <w:szCs w:val="20"/>
              </w:rPr>
              <w:t>少量</w:t>
            </w:r>
          </w:p>
        </w:tc>
        <w:tc>
          <w:tcPr>
            <w:tcW w:w="462" w:type="pct"/>
            <w:tcBorders>
              <w:top w:val="single" w:color="000000" w:sz="4" w:space="0"/>
              <w:left w:val="single" w:color="000000" w:sz="4" w:space="0"/>
              <w:bottom w:val="single" w:color="000000" w:sz="4" w:space="0"/>
              <w:right w:val="single" w:color="000000" w:sz="4" w:space="0"/>
            </w:tcBorders>
            <w:vAlign w:val="center"/>
          </w:tcPr>
          <w:p w14:paraId="01548312">
            <w:pPr>
              <w:widowControl w:val="0"/>
              <w:tabs>
                <w:tab w:val="left" w:pos="1693"/>
              </w:tabs>
              <w:spacing w:line="240" w:lineRule="auto"/>
              <w:jc w:val="center"/>
              <w:rPr>
                <w:color w:val="000000"/>
                <w:sz w:val="20"/>
                <w:szCs w:val="20"/>
                <w:lang w:eastAsia="en-US"/>
              </w:rPr>
            </w:pPr>
            <w:r>
              <w:rPr>
                <w:color w:val="000000"/>
                <w:sz w:val="20"/>
                <w:szCs w:val="20"/>
              </w:rPr>
              <w:t>少量</w:t>
            </w:r>
          </w:p>
        </w:tc>
        <w:tc>
          <w:tcPr>
            <w:tcW w:w="457" w:type="pct"/>
            <w:tcBorders>
              <w:top w:val="single" w:color="000000" w:sz="4" w:space="0"/>
              <w:left w:val="single" w:color="000000" w:sz="4" w:space="0"/>
              <w:bottom w:val="single" w:color="000000" w:sz="4" w:space="0"/>
              <w:right w:val="single" w:color="000000" w:sz="6" w:space="0"/>
            </w:tcBorders>
            <w:vAlign w:val="center"/>
          </w:tcPr>
          <w:p w14:paraId="6AA84DF1">
            <w:pPr>
              <w:widowControl w:val="0"/>
              <w:tabs>
                <w:tab w:val="left" w:pos="1693"/>
              </w:tabs>
              <w:spacing w:line="240" w:lineRule="auto"/>
              <w:jc w:val="center"/>
              <w:rPr>
                <w:color w:val="000000"/>
                <w:sz w:val="20"/>
                <w:szCs w:val="20"/>
                <w:lang w:eastAsia="en-US"/>
              </w:rPr>
            </w:pPr>
            <w:r>
              <w:rPr>
                <w:color w:val="000000"/>
                <w:sz w:val="20"/>
                <w:szCs w:val="20"/>
              </w:rPr>
              <w:t>少量</w:t>
            </w:r>
          </w:p>
        </w:tc>
        <w:tc>
          <w:tcPr>
            <w:tcW w:w="460" w:type="pct"/>
            <w:tcBorders>
              <w:top w:val="single" w:color="000000" w:sz="4" w:space="0"/>
              <w:left w:val="single" w:color="000000" w:sz="4" w:space="0"/>
              <w:bottom w:val="single" w:color="000000" w:sz="4" w:space="0"/>
              <w:right w:val="single" w:color="000000" w:sz="6" w:space="0"/>
            </w:tcBorders>
            <w:vAlign w:val="center"/>
          </w:tcPr>
          <w:p w14:paraId="49ABE1BF">
            <w:pPr>
              <w:widowControl w:val="0"/>
              <w:tabs>
                <w:tab w:val="left" w:pos="1693"/>
              </w:tabs>
              <w:spacing w:line="240" w:lineRule="auto"/>
              <w:jc w:val="center"/>
              <w:rPr>
                <w:color w:val="000000"/>
                <w:sz w:val="20"/>
                <w:szCs w:val="20"/>
                <w:lang w:eastAsia="en-US"/>
              </w:rPr>
            </w:pPr>
            <w:r>
              <w:rPr>
                <w:color w:val="000000"/>
                <w:sz w:val="20"/>
                <w:szCs w:val="20"/>
              </w:rPr>
              <w:t>少量</w:t>
            </w:r>
          </w:p>
        </w:tc>
        <w:tc>
          <w:tcPr>
            <w:tcW w:w="459" w:type="pct"/>
            <w:tcBorders>
              <w:top w:val="single" w:color="000000" w:sz="4" w:space="0"/>
              <w:left w:val="single" w:color="000000" w:sz="4" w:space="0"/>
              <w:bottom w:val="single" w:color="000000" w:sz="4" w:space="0"/>
              <w:right w:val="single" w:color="000000" w:sz="6" w:space="0"/>
            </w:tcBorders>
            <w:vAlign w:val="center"/>
          </w:tcPr>
          <w:p w14:paraId="3ED6BC62">
            <w:pPr>
              <w:widowControl w:val="0"/>
              <w:tabs>
                <w:tab w:val="left" w:pos="1693"/>
              </w:tabs>
              <w:spacing w:line="240" w:lineRule="auto"/>
              <w:jc w:val="center"/>
              <w:rPr>
                <w:color w:val="000000"/>
                <w:sz w:val="20"/>
                <w:szCs w:val="20"/>
                <w:lang w:eastAsia="en-US"/>
              </w:rPr>
            </w:pPr>
            <w:r>
              <w:rPr>
                <w:color w:val="000000"/>
                <w:sz w:val="20"/>
                <w:szCs w:val="20"/>
              </w:rPr>
              <w:t>少量</w:t>
            </w:r>
          </w:p>
        </w:tc>
        <w:tc>
          <w:tcPr>
            <w:tcW w:w="459" w:type="pct"/>
            <w:tcBorders>
              <w:top w:val="single" w:color="000000" w:sz="4" w:space="0"/>
              <w:left w:val="single" w:color="000000" w:sz="4" w:space="0"/>
              <w:bottom w:val="single" w:color="000000" w:sz="4" w:space="0"/>
              <w:right w:val="single" w:color="000000" w:sz="6" w:space="0"/>
            </w:tcBorders>
            <w:vAlign w:val="center"/>
          </w:tcPr>
          <w:p w14:paraId="4B96159C">
            <w:pPr>
              <w:widowControl w:val="0"/>
              <w:tabs>
                <w:tab w:val="left" w:pos="1693"/>
              </w:tabs>
              <w:spacing w:line="240" w:lineRule="auto"/>
              <w:jc w:val="center"/>
              <w:rPr>
                <w:color w:val="000000"/>
                <w:sz w:val="20"/>
                <w:szCs w:val="20"/>
                <w:lang w:eastAsia="en-US"/>
              </w:rPr>
            </w:pPr>
            <w:r>
              <w:rPr>
                <w:color w:val="000000"/>
                <w:sz w:val="20"/>
                <w:szCs w:val="20"/>
              </w:rPr>
              <w:t>少量</w:t>
            </w:r>
          </w:p>
        </w:tc>
        <w:tc>
          <w:tcPr>
            <w:tcW w:w="463" w:type="pct"/>
            <w:tcBorders>
              <w:top w:val="single" w:color="000000" w:sz="4" w:space="0"/>
              <w:left w:val="single" w:color="000000" w:sz="4" w:space="0"/>
              <w:bottom w:val="single" w:color="000000" w:sz="4" w:space="0"/>
              <w:right w:val="single" w:color="000000" w:sz="6" w:space="0"/>
            </w:tcBorders>
            <w:vAlign w:val="center"/>
          </w:tcPr>
          <w:p w14:paraId="18BFA493">
            <w:pPr>
              <w:widowControl w:val="0"/>
              <w:tabs>
                <w:tab w:val="left" w:pos="1693"/>
              </w:tabs>
              <w:spacing w:line="240" w:lineRule="auto"/>
              <w:jc w:val="center"/>
              <w:rPr>
                <w:color w:val="000000"/>
                <w:sz w:val="20"/>
                <w:szCs w:val="20"/>
                <w:lang w:eastAsia="en-US"/>
              </w:rPr>
            </w:pPr>
            <w:r>
              <w:rPr>
                <w:color w:val="000000"/>
                <w:sz w:val="20"/>
                <w:szCs w:val="20"/>
              </w:rPr>
              <w:t>少量</w:t>
            </w:r>
          </w:p>
        </w:tc>
      </w:tr>
      <w:tr w14:paraId="7BEFC238">
        <w:tblPrEx>
          <w:tblCellMar>
            <w:top w:w="0" w:type="dxa"/>
            <w:left w:w="0" w:type="dxa"/>
            <w:bottom w:w="0" w:type="dxa"/>
            <w:right w:w="0" w:type="dxa"/>
          </w:tblCellMar>
        </w:tblPrEx>
        <w:trPr>
          <w:trHeight w:val="411" w:hRule="exact"/>
        </w:trPr>
        <w:tc>
          <w:tcPr>
            <w:tcW w:w="148" w:type="pct"/>
            <w:vMerge w:val="restart"/>
            <w:tcBorders>
              <w:top w:val="single" w:color="000000" w:sz="4" w:space="0"/>
              <w:left w:val="single" w:color="000000" w:sz="6" w:space="0"/>
              <w:right w:val="single" w:color="000000" w:sz="4" w:space="0"/>
            </w:tcBorders>
            <w:vAlign w:val="center"/>
          </w:tcPr>
          <w:p w14:paraId="1A7632C6">
            <w:pPr>
              <w:widowControl w:val="0"/>
              <w:tabs>
                <w:tab w:val="left" w:pos="1693"/>
              </w:tabs>
              <w:spacing w:line="240" w:lineRule="auto"/>
              <w:jc w:val="center"/>
              <w:rPr>
                <w:color w:val="000000"/>
                <w:sz w:val="20"/>
                <w:szCs w:val="20"/>
                <w:lang w:eastAsia="en-US"/>
              </w:rPr>
            </w:pPr>
            <w:r>
              <w:rPr>
                <w:color w:val="000000"/>
                <w:sz w:val="20"/>
                <w:szCs w:val="20"/>
                <w:lang w:eastAsia="en-US"/>
              </w:rPr>
              <w:t>实 验 室 测 定</w:t>
            </w:r>
          </w:p>
        </w:tc>
        <w:tc>
          <w:tcPr>
            <w:tcW w:w="838" w:type="pct"/>
            <w:tcBorders>
              <w:top w:val="single" w:color="000000" w:sz="4" w:space="0"/>
              <w:left w:val="single" w:color="000000" w:sz="4" w:space="0"/>
              <w:bottom w:val="single" w:color="000000" w:sz="4" w:space="0"/>
              <w:right w:val="single" w:color="000000" w:sz="4" w:space="0"/>
            </w:tcBorders>
            <w:vAlign w:val="center"/>
          </w:tcPr>
          <w:p w14:paraId="459F76E7">
            <w:pPr>
              <w:widowControl w:val="0"/>
              <w:tabs>
                <w:tab w:val="left" w:pos="1693"/>
              </w:tabs>
              <w:spacing w:line="240" w:lineRule="auto"/>
              <w:jc w:val="center"/>
              <w:rPr>
                <w:color w:val="000000"/>
                <w:sz w:val="20"/>
                <w:szCs w:val="20"/>
                <w:lang w:eastAsia="en-US"/>
              </w:rPr>
            </w:pPr>
            <w:r>
              <w:rPr>
                <w:color w:val="000000"/>
                <w:sz w:val="20"/>
                <w:szCs w:val="20"/>
                <w:lang w:eastAsia="en-US"/>
              </w:rPr>
              <w:t>pH 值</w:t>
            </w:r>
          </w:p>
        </w:tc>
        <w:tc>
          <w:tcPr>
            <w:tcW w:w="314" w:type="pct"/>
            <w:tcBorders>
              <w:top w:val="single" w:color="000000" w:sz="4" w:space="0"/>
              <w:left w:val="single" w:color="000000" w:sz="4" w:space="0"/>
              <w:bottom w:val="single" w:color="000000" w:sz="4" w:space="0"/>
              <w:right w:val="single" w:color="000000" w:sz="4" w:space="0"/>
            </w:tcBorders>
            <w:vAlign w:val="center"/>
          </w:tcPr>
          <w:p w14:paraId="65630DF4">
            <w:pPr>
              <w:widowControl w:val="0"/>
              <w:tabs>
                <w:tab w:val="left" w:pos="1693"/>
              </w:tabs>
              <w:spacing w:line="240" w:lineRule="auto"/>
              <w:jc w:val="center"/>
              <w:rPr>
                <w:color w:val="000000"/>
                <w:sz w:val="20"/>
                <w:szCs w:val="20"/>
                <w:lang w:eastAsia="en-US"/>
              </w:rPr>
            </w:pPr>
            <w:r>
              <w:rPr>
                <w:color w:val="000000"/>
                <w:sz w:val="20"/>
                <w:szCs w:val="20"/>
              </w:rPr>
              <w:t>8.31</w:t>
            </w:r>
          </w:p>
        </w:tc>
        <w:tc>
          <w:tcPr>
            <w:tcW w:w="464" w:type="pct"/>
            <w:tcBorders>
              <w:top w:val="single" w:color="000000" w:sz="4" w:space="0"/>
              <w:left w:val="single" w:color="000000" w:sz="4" w:space="0"/>
              <w:bottom w:val="single" w:color="000000" w:sz="4" w:space="0"/>
              <w:right w:val="single" w:color="000000" w:sz="4" w:space="0"/>
            </w:tcBorders>
            <w:vAlign w:val="center"/>
          </w:tcPr>
          <w:p w14:paraId="4752E519">
            <w:pPr>
              <w:widowControl w:val="0"/>
              <w:tabs>
                <w:tab w:val="left" w:pos="1693"/>
              </w:tabs>
              <w:spacing w:line="240" w:lineRule="auto"/>
              <w:jc w:val="center"/>
              <w:rPr>
                <w:color w:val="000000"/>
                <w:sz w:val="20"/>
                <w:szCs w:val="20"/>
                <w:lang w:eastAsia="en-US"/>
              </w:rPr>
            </w:pPr>
            <w:r>
              <w:rPr>
                <w:color w:val="000000"/>
                <w:sz w:val="20"/>
                <w:szCs w:val="20"/>
              </w:rPr>
              <w:t>8.31</w:t>
            </w:r>
          </w:p>
        </w:tc>
        <w:tc>
          <w:tcPr>
            <w:tcW w:w="471" w:type="pct"/>
            <w:tcBorders>
              <w:top w:val="single" w:color="000000" w:sz="4" w:space="0"/>
              <w:left w:val="single" w:color="000000" w:sz="4" w:space="0"/>
              <w:bottom w:val="single" w:color="000000" w:sz="4" w:space="0"/>
              <w:right w:val="single" w:color="000000" w:sz="4" w:space="0"/>
            </w:tcBorders>
            <w:vAlign w:val="center"/>
          </w:tcPr>
          <w:p w14:paraId="0F637322">
            <w:pPr>
              <w:widowControl w:val="0"/>
              <w:tabs>
                <w:tab w:val="left" w:pos="1693"/>
              </w:tabs>
              <w:spacing w:line="240" w:lineRule="auto"/>
              <w:jc w:val="center"/>
              <w:rPr>
                <w:color w:val="000000"/>
                <w:sz w:val="20"/>
                <w:szCs w:val="20"/>
                <w:lang w:eastAsia="en-US"/>
              </w:rPr>
            </w:pPr>
            <w:r>
              <w:rPr>
                <w:color w:val="000000"/>
                <w:sz w:val="20"/>
                <w:szCs w:val="20"/>
              </w:rPr>
              <w:t>8.10</w:t>
            </w:r>
          </w:p>
        </w:tc>
        <w:tc>
          <w:tcPr>
            <w:tcW w:w="462" w:type="pct"/>
            <w:tcBorders>
              <w:top w:val="single" w:color="000000" w:sz="4" w:space="0"/>
              <w:left w:val="single" w:color="000000" w:sz="4" w:space="0"/>
              <w:bottom w:val="single" w:color="000000" w:sz="4" w:space="0"/>
              <w:right w:val="single" w:color="000000" w:sz="4" w:space="0"/>
            </w:tcBorders>
            <w:vAlign w:val="center"/>
          </w:tcPr>
          <w:p w14:paraId="75BEA59E">
            <w:pPr>
              <w:widowControl w:val="0"/>
              <w:tabs>
                <w:tab w:val="left" w:pos="1693"/>
              </w:tabs>
              <w:spacing w:line="240" w:lineRule="auto"/>
              <w:jc w:val="center"/>
              <w:rPr>
                <w:color w:val="000000"/>
                <w:sz w:val="20"/>
                <w:szCs w:val="20"/>
                <w:lang w:eastAsia="en-US"/>
              </w:rPr>
            </w:pPr>
            <w:r>
              <w:rPr>
                <w:color w:val="000000"/>
                <w:sz w:val="20"/>
                <w:szCs w:val="20"/>
              </w:rPr>
              <w:t>8.36</w:t>
            </w:r>
          </w:p>
        </w:tc>
        <w:tc>
          <w:tcPr>
            <w:tcW w:w="457" w:type="pct"/>
            <w:tcBorders>
              <w:top w:val="single" w:color="000000" w:sz="4" w:space="0"/>
              <w:left w:val="single" w:color="000000" w:sz="4" w:space="0"/>
              <w:bottom w:val="single" w:color="000000" w:sz="4" w:space="0"/>
              <w:right w:val="single" w:color="000000" w:sz="6" w:space="0"/>
            </w:tcBorders>
            <w:vAlign w:val="center"/>
          </w:tcPr>
          <w:p w14:paraId="21C091DB">
            <w:pPr>
              <w:widowControl w:val="0"/>
              <w:tabs>
                <w:tab w:val="left" w:pos="1693"/>
              </w:tabs>
              <w:spacing w:line="240" w:lineRule="auto"/>
              <w:jc w:val="center"/>
              <w:rPr>
                <w:color w:val="000000"/>
                <w:sz w:val="20"/>
                <w:szCs w:val="20"/>
                <w:lang w:eastAsia="en-US"/>
              </w:rPr>
            </w:pPr>
            <w:r>
              <w:rPr>
                <w:color w:val="000000"/>
                <w:sz w:val="20"/>
                <w:szCs w:val="20"/>
              </w:rPr>
              <w:t>8.40</w:t>
            </w:r>
          </w:p>
        </w:tc>
        <w:tc>
          <w:tcPr>
            <w:tcW w:w="460" w:type="pct"/>
            <w:tcBorders>
              <w:top w:val="single" w:color="000000" w:sz="4" w:space="0"/>
              <w:left w:val="single" w:color="000000" w:sz="4" w:space="0"/>
              <w:bottom w:val="single" w:color="000000" w:sz="4" w:space="0"/>
              <w:right w:val="single" w:color="000000" w:sz="6" w:space="0"/>
            </w:tcBorders>
            <w:vAlign w:val="center"/>
          </w:tcPr>
          <w:p w14:paraId="352651E6">
            <w:pPr>
              <w:widowControl w:val="0"/>
              <w:tabs>
                <w:tab w:val="left" w:pos="1693"/>
              </w:tabs>
              <w:spacing w:line="240" w:lineRule="auto"/>
              <w:jc w:val="center"/>
              <w:rPr>
                <w:color w:val="000000"/>
                <w:sz w:val="20"/>
                <w:szCs w:val="20"/>
                <w:lang w:eastAsia="en-US"/>
              </w:rPr>
            </w:pPr>
            <w:r>
              <w:rPr>
                <w:color w:val="000000"/>
                <w:sz w:val="20"/>
                <w:szCs w:val="20"/>
              </w:rPr>
              <w:t>8.36</w:t>
            </w:r>
          </w:p>
        </w:tc>
        <w:tc>
          <w:tcPr>
            <w:tcW w:w="459" w:type="pct"/>
            <w:tcBorders>
              <w:top w:val="single" w:color="000000" w:sz="4" w:space="0"/>
              <w:left w:val="single" w:color="000000" w:sz="4" w:space="0"/>
              <w:bottom w:val="single" w:color="000000" w:sz="4" w:space="0"/>
              <w:right w:val="single" w:color="000000" w:sz="6" w:space="0"/>
            </w:tcBorders>
            <w:vAlign w:val="center"/>
          </w:tcPr>
          <w:p w14:paraId="33721C49">
            <w:pPr>
              <w:widowControl w:val="0"/>
              <w:tabs>
                <w:tab w:val="left" w:pos="1693"/>
              </w:tabs>
              <w:spacing w:line="240" w:lineRule="auto"/>
              <w:jc w:val="center"/>
              <w:rPr>
                <w:color w:val="000000"/>
                <w:sz w:val="20"/>
                <w:szCs w:val="20"/>
                <w:lang w:eastAsia="en-US"/>
              </w:rPr>
            </w:pPr>
            <w:r>
              <w:rPr>
                <w:color w:val="000000"/>
                <w:sz w:val="20"/>
                <w:szCs w:val="20"/>
              </w:rPr>
              <w:t>8.41</w:t>
            </w:r>
          </w:p>
        </w:tc>
        <w:tc>
          <w:tcPr>
            <w:tcW w:w="459" w:type="pct"/>
            <w:tcBorders>
              <w:top w:val="single" w:color="000000" w:sz="4" w:space="0"/>
              <w:left w:val="single" w:color="000000" w:sz="4" w:space="0"/>
              <w:bottom w:val="single" w:color="000000" w:sz="4" w:space="0"/>
              <w:right w:val="single" w:color="000000" w:sz="6" w:space="0"/>
            </w:tcBorders>
            <w:vAlign w:val="center"/>
          </w:tcPr>
          <w:p w14:paraId="71A66211">
            <w:pPr>
              <w:widowControl w:val="0"/>
              <w:tabs>
                <w:tab w:val="left" w:pos="1693"/>
              </w:tabs>
              <w:spacing w:line="240" w:lineRule="auto"/>
              <w:jc w:val="center"/>
              <w:rPr>
                <w:color w:val="000000"/>
                <w:sz w:val="20"/>
                <w:szCs w:val="20"/>
                <w:lang w:eastAsia="en-US"/>
              </w:rPr>
            </w:pPr>
            <w:r>
              <w:rPr>
                <w:color w:val="000000"/>
                <w:sz w:val="20"/>
                <w:szCs w:val="20"/>
              </w:rPr>
              <w:t>8.45</w:t>
            </w:r>
          </w:p>
        </w:tc>
        <w:tc>
          <w:tcPr>
            <w:tcW w:w="463" w:type="pct"/>
            <w:tcBorders>
              <w:top w:val="single" w:color="000000" w:sz="4" w:space="0"/>
              <w:left w:val="single" w:color="000000" w:sz="4" w:space="0"/>
              <w:bottom w:val="single" w:color="000000" w:sz="4" w:space="0"/>
              <w:right w:val="single" w:color="000000" w:sz="6" w:space="0"/>
            </w:tcBorders>
            <w:vAlign w:val="center"/>
          </w:tcPr>
          <w:p w14:paraId="2700EB9F">
            <w:pPr>
              <w:widowControl w:val="0"/>
              <w:tabs>
                <w:tab w:val="left" w:pos="1693"/>
              </w:tabs>
              <w:spacing w:line="240" w:lineRule="auto"/>
              <w:jc w:val="center"/>
              <w:rPr>
                <w:color w:val="000000"/>
                <w:sz w:val="20"/>
                <w:szCs w:val="20"/>
                <w:lang w:eastAsia="en-US"/>
              </w:rPr>
            </w:pPr>
            <w:r>
              <w:rPr>
                <w:color w:val="000000"/>
                <w:sz w:val="20"/>
                <w:szCs w:val="20"/>
              </w:rPr>
              <w:t>8.43</w:t>
            </w:r>
          </w:p>
        </w:tc>
      </w:tr>
      <w:tr w14:paraId="1B3D8C83">
        <w:tblPrEx>
          <w:tblCellMar>
            <w:top w:w="0" w:type="dxa"/>
            <w:left w:w="0" w:type="dxa"/>
            <w:bottom w:w="0" w:type="dxa"/>
            <w:right w:w="0" w:type="dxa"/>
          </w:tblCellMar>
        </w:tblPrEx>
        <w:trPr>
          <w:trHeight w:val="928" w:hRule="exact"/>
        </w:trPr>
        <w:tc>
          <w:tcPr>
            <w:tcW w:w="148" w:type="pct"/>
            <w:vMerge w:val="continue"/>
            <w:tcBorders>
              <w:left w:val="single" w:color="000000" w:sz="6" w:space="0"/>
              <w:right w:val="single" w:color="000000" w:sz="4" w:space="0"/>
            </w:tcBorders>
            <w:vAlign w:val="center"/>
          </w:tcPr>
          <w:p w14:paraId="131231EB">
            <w:pPr>
              <w:widowControl w:val="0"/>
              <w:tabs>
                <w:tab w:val="left" w:pos="1693"/>
              </w:tabs>
              <w:spacing w:line="240" w:lineRule="auto"/>
              <w:jc w:val="center"/>
              <w:rPr>
                <w:color w:val="000000"/>
                <w:sz w:val="20"/>
                <w:szCs w:val="20"/>
                <w:lang w:eastAsia="en-US"/>
              </w:rPr>
            </w:pPr>
          </w:p>
        </w:tc>
        <w:tc>
          <w:tcPr>
            <w:tcW w:w="838" w:type="pct"/>
            <w:tcBorders>
              <w:top w:val="single" w:color="000000" w:sz="4" w:space="0"/>
              <w:left w:val="single" w:color="000000" w:sz="4" w:space="0"/>
              <w:bottom w:val="single" w:color="000000" w:sz="4" w:space="0"/>
              <w:right w:val="single" w:color="000000" w:sz="4" w:space="0"/>
            </w:tcBorders>
            <w:vAlign w:val="center"/>
          </w:tcPr>
          <w:p w14:paraId="36EA185C">
            <w:pPr>
              <w:widowControl w:val="0"/>
              <w:tabs>
                <w:tab w:val="left" w:pos="1693"/>
              </w:tabs>
              <w:spacing w:line="240" w:lineRule="auto"/>
              <w:jc w:val="center"/>
              <w:rPr>
                <w:color w:val="000000"/>
                <w:sz w:val="20"/>
                <w:szCs w:val="20"/>
                <w:lang w:eastAsia="en-US"/>
              </w:rPr>
            </w:pPr>
            <w:r>
              <w:rPr>
                <w:color w:val="000000"/>
                <w:sz w:val="20"/>
                <w:szCs w:val="20"/>
                <w:lang w:eastAsia="en-US"/>
              </w:rPr>
              <w:t>阳离子交换量</w:t>
            </w:r>
            <w:r>
              <w:rPr>
                <w:color w:val="000000"/>
                <w:sz w:val="20"/>
              </w:rPr>
              <w:t>（cmol</w:t>
            </w:r>
            <w:r>
              <w:rPr>
                <w:color w:val="000000"/>
                <w:sz w:val="20"/>
                <w:vertAlign w:val="superscript"/>
              </w:rPr>
              <w:t>+</w:t>
            </w:r>
            <w:r>
              <w:rPr>
                <w:color w:val="000000"/>
                <w:sz w:val="20"/>
              </w:rPr>
              <w:t>/kg）</w:t>
            </w:r>
          </w:p>
        </w:tc>
        <w:tc>
          <w:tcPr>
            <w:tcW w:w="314" w:type="pct"/>
            <w:tcBorders>
              <w:top w:val="single" w:color="000000" w:sz="4" w:space="0"/>
              <w:left w:val="single" w:color="000000" w:sz="4" w:space="0"/>
              <w:bottom w:val="single" w:color="000000" w:sz="4" w:space="0"/>
              <w:right w:val="single" w:color="000000" w:sz="4" w:space="0"/>
            </w:tcBorders>
            <w:vAlign w:val="center"/>
          </w:tcPr>
          <w:p w14:paraId="64590A9C">
            <w:pPr>
              <w:widowControl w:val="0"/>
              <w:tabs>
                <w:tab w:val="left" w:pos="1693"/>
              </w:tabs>
              <w:spacing w:line="240" w:lineRule="auto"/>
              <w:jc w:val="center"/>
              <w:rPr>
                <w:color w:val="000000"/>
                <w:sz w:val="20"/>
                <w:szCs w:val="20"/>
                <w:lang w:eastAsia="en-US"/>
              </w:rPr>
            </w:pPr>
            <w:r>
              <w:rPr>
                <w:color w:val="000000"/>
                <w:sz w:val="20"/>
                <w:szCs w:val="20"/>
              </w:rPr>
              <w:t>13.5</w:t>
            </w:r>
          </w:p>
        </w:tc>
        <w:tc>
          <w:tcPr>
            <w:tcW w:w="464" w:type="pct"/>
            <w:tcBorders>
              <w:top w:val="single" w:color="000000" w:sz="4" w:space="0"/>
              <w:left w:val="single" w:color="000000" w:sz="4" w:space="0"/>
              <w:bottom w:val="single" w:color="000000" w:sz="4" w:space="0"/>
              <w:right w:val="single" w:color="000000" w:sz="4" w:space="0"/>
            </w:tcBorders>
            <w:vAlign w:val="center"/>
          </w:tcPr>
          <w:p w14:paraId="1331926F">
            <w:pPr>
              <w:widowControl w:val="0"/>
              <w:tabs>
                <w:tab w:val="left" w:pos="1693"/>
              </w:tabs>
              <w:spacing w:line="240" w:lineRule="auto"/>
              <w:jc w:val="center"/>
              <w:rPr>
                <w:color w:val="000000"/>
                <w:sz w:val="20"/>
                <w:szCs w:val="20"/>
                <w:lang w:eastAsia="en-US"/>
              </w:rPr>
            </w:pPr>
            <w:r>
              <w:rPr>
                <w:color w:val="000000"/>
                <w:sz w:val="20"/>
                <w:szCs w:val="20"/>
              </w:rPr>
              <w:t>12.7</w:t>
            </w:r>
          </w:p>
        </w:tc>
        <w:tc>
          <w:tcPr>
            <w:tcW w:w="471" w:type="pct"/>
            <w:tcBorders>
              <w:top w:val="single" w:color="000000" w:sz="4" w:space="0"/>
              <w:left w:val="single" w:color="000000" w:sz="4" w:space="0"/>
              <w:bottom w:val="single" w:color="000000" w:sz="4" w:space="0"/>
              <w:right w:val="single" w:color="000000" w:sz="4" w:space="0"/>
            </w:tcBorders>
            <w:vAlign w:val="center"/>
          </w:tcPr>
          <w:p w14:paraId="296C5A0C">
            <w:pPr>
              <w:widowControl w:val="0"/>
              <w:tabs>
                <w:tab w:val="left" w:pos="1693"/>
              </w:tabs>
              <w:spacing w:line="240" w:lineRule="auto"/>
              <w:jc w:val="center"/>
              <w:rPr>
                <w:color w:val="000000"/>
                <w:sz w:val="20"/>
                <w:szCs w:val="20"/>
                <w:lang w:eastAsia="en-US"/>
              </w:rPr>
            </w:pPr>
            <w:r>
              <w:rPr>
                <w:color w:val="000000"/>
                <w:sz w:val="20"/>
                <w:szCs w:val="20"/>
              </w:rPr>
              <w:t>14.3</w:t>
            </w:r>
          </w:p>
        </w:tc>
        <w:tc>
          <w:tcPr>
            <w:tcW w:w="462" w:type="pct"/>
            <w:tcBorders>
              <w:top w:val="single" w:color="000000" w:sz="4" w:space="0"/>
              <w:left w:val="single" w:color="000000" w:sz="4" w:space="0"/>
              <w:bottom w:val="single" w:color="000000" w:sz="4" w:space="0"/>
              <w:right w:val="single" w:color="000000" w:sz="4" w:space="0"/>
            </w:tcBorders>
            <w:vAlign w:val="center"/>
          </w:tcPr>
          <w:p w14:paraId="7DAEB127">
            <w:pPr>
              <w:widowControl w:val="0"/>
              <w:tabs>
                <w:tab w:val="left" w:pos="1693"/>
              </w:tabs>
              <w:spacing w:line="240" w:lineRule="auto"/>
              <w:jc w:val="center"/>
              <w:rPr>
                <w:color w:val="000000"/>
                <w:sz w:val="20"/>
                <w:szCs w:val="20"/>
                <w:lang w:eastAsia="en-US"/>
              </w:rPr>
            </w:pPr>
            <w:r>
              <w:rPr>
                <w:color w:val="000000"/>
                <w:sz w:val="20"/>
                <w:szCs w:val="20"/>
              </w:rPr>
              <w:t>12.1</w:t>
            </w:r>
          </w:p>
        </w:tc>
        <w:tc>
          <w:tcPr>
            <w:tcW w:w="457" w:type="pct"/>
            <w:tcBorders>
              <w:top w:val="single" w:color="000000" w:sz="4" w:space="0"/>
              <w:left w:val="single" w:color="000000" w:sz="4" w:space="0"/>
              <w:bottom w:val="single" w:color="000000" w:sz="4" w:space="0"/>
              <w:right w:val="single" w:color="000000" w:sz="6" w:space="0"/>
            </w:tcBorders>
            <w:vAlign w:val="center"/>
          </w:tcPr>
          <w:p w14:paraId="237B7C20">
            <w:pPr>
              <w:widowControl w:val="0"/>
              <w:tabs>
                <w:tab w:val="left" w:pos="1693"/>
              </w:tabs>
              <w:spacing w:line="240" w:lineRule="auto"/>
              <w:jc w:val="center"/>
              <w:rPr>
                <w:color w:val="000000"/>
                <w:sz w:val="20"/>
                <w:szCs w:val="20"/>
                <w:lang w:eastAsia="en-US"/>
              </w:rPr>
            </w:pPr>
            <w:r>
              <w:rPr>
                <w:color w:val="000000"/>
                <w:sz w:val="20"/>
                <w:szCs w:val="20"/>
              </w:rPr>
              <w:t>12.7</w:t>
            </w:r>
          </w:p>
        </w:tc>
        <w:tc>
          <w:tcPr>
            <w:tcW w:w="460" w:type="pct"/>
            <w:tcBorders>
              <w:top w:val="single" w:color="000000" w:sz="4" w:space="0"/>
              <w:left w:val="single" w:color="000000" w:sz="4" w:space="0"/>
              <w:bottom w:val="single" w:color="000000" w:sz="4" w:space="0"/>
              <w:right w:val="single" w:color="000000" w:sz="6" w:space="0"/>
            </w:tcBorders>
            <w:vAlign w:val="center"/>
          </w:tcPr>
          <w:p w14:paraId="19C74C8D">
            <w:pPr>
              <w:widowControl w:val="0"/>
              <w:tabs>
                <w:tab w:val="left" w:pos="1693"/>
              </w:tabs>
              <w:spacing w:line="240" w:lineRule="auto"/>
              <w:jc w:val="center"/>
              <w:rPr>
                <w:color w:val="000000"/>
                <w:sz w:val="20"/>
                <w:szCs w:val="20"/>
                <w:lang w:eastAsia="en-US"/>
              </w:rPr>
            </w:pPr>
            <w:r>
              <w:rPr>
                <w:color w:val="000000"/>
                <w:sz w:val="20"/>
                <w:szCs w:val="20"/>
              </w:rPr>
              <w:t>11.3</w:t>
            </w:r>
          </w:p>
        </w:tc>
        <w:tc>
          <w:tcPr>
            <w:tcW w:w="459" w:type="pct"/>
            <w:tcBorders>
              <w:top w:val="single" w:color="000000" w:sz="4" w:space="0"/>
              <w:left w:val="single" w:color="000000" w:sz="4" w:space="0"/>
              <w:bottom w:val="single" w:color="000000" w:sz="4" w:space="0"/>
              <w:right w:val="single" w:color="000000" w:sz="6" w:space="0"/>
            </w:tcBorders>
            <w:vAlign w:val="center"/>
          </w:tcPr>
          <w:p w14:paraId="28DC7CFF">
            <w:pPr>
              <w:widowControl w:val="0"/>
              <w:tabs>
                <w:tab w:val="left" w:pos="1693"/>
              </w:tabs>
              <w:spacing w:line="240" w:lineRule="auto"/>
              <w:jc w:val="center"/>
              <w:rPr>
                <w:color w:val="000000"/>
                <w:sz w:val="20"/>
                <w:szCs w:val="20"/>
                <w:lang w:eastAsia="en-US"/>
              </w:rPr>
            </w:pPr>
            <w:r>
              <w:rPr>
                <w:color w:val="000000"/>
                <w:sz w:val="20"/>
                <w:szCs w:val="20"/>
              </w:rPr>
              <w:t>13.1</w:t>
            </w:r>
          </w:p>
        </w:tc>
        <w:tc>
          <w:tcPr>
            <w:tcW w:w="459" w:type="pct"/>
            <w:tcBorders>
              <w:top w:val="single" w:color="000000" w:sz="4" w:space="0"/>
              <w:left w:val="single" w:color="000000" w:sz="4" w:space="0"/>
              <w:bottom w:val="single" w:color="000000" w:sz="4" w:space="0"/>
              <w:right w:val="single" w:color="000000" w:sz="6" w:space="0"/>
            </w:tcBorders>
            <w:vAlign w:val="center"/>
          </w:tcPr>
          <w:p w14:paraId="6FF96FE9">
            <w:pPr>
              <w:widowControl w:val="0"/>
              <w:tabs>
                <w:tab w:val="left" w:pos="1693"/>
              </w:tabs>
              <w:spacing w:line="240" w:lineRule="auto"/>
              <w:jc w:val="center"/>
              <w:rPr>
                <w:color w:val="000000"/>
                <w:sz w:val="20"/>
                <w:szCs w:val="20"/>
                <w:lang w:eastAsia="en-US"/>
              </w:rPr>
            </w:pPr>
            <w:r>
              <w:rPr>
                <w:color w:val="000000"/>
                <w:sz w:val="20"/>
                <w:szCs w:val="20"/>
              </w:rPr>
              <w:t>13.5</w:t>
            </w:r>
          </w:p>
        </w:tc>
        <w:tc>
          <w:tcPr>
            <w:tcW w:w="463" w:type="pct"/>
            <w:tcBorders>
              <w:top w:val="single" w:color="000000" w:sz="4" w:space="0"/>
              <w:left w:val="single" w:color="000000" w:sz="4" w:space="0"/>
              <w:bottom w:val="single" w:color="000000" w:sz="4" w:space="0"/>
              <w:right w:val="single" w:color="000000" w:sz="6" w:space="0"/>
            </w:tcBorders>
            <w:vAlign w:val="center"/>
          </w:tcPr>
          <w:p w14:paraId="7F1E440F">
            <w:pPr>
              <w:widowControl w:val="0"/>
              <w:tabs>
                <w:tab w:val="left" w:pos="1693"/>
              </w:tabs>
              <w:spacing w:line="240" w:lineRule="auto"/>
              <w:jc w:val="center"/>
              <w:rPr>
                <w:color w:val="000000"/>
                <w:sz w:val="20"/>
                <w:szCs w:val="20"/>
                <w:lang w:eastAsia="en-US"/>
              </w:rPr>
            </w:pPr>
            <w:r>
              <w:rPr>
                <w:color w:val="000000"/>
                <w:sz w:val="20"/>
                <w:szCs w:val="20"/>
              </w:rPr>
              <w:t>13.7</w:t>
            </w:r>
          </w:p>
        </w:tc>
      </w:tr>
      <w:tr w14:paraId="7CF3D669">
        <w:tblPrEx>
          <w:tblCellMar>
            <w:top w:w="0" w:type="dxa"/>
            <w:left w:w="0" w:type="dxa"/>
            <w:bottom w:w="0" w:type="dxa"/>
            <w:right w:w="0" w:type="dxa"/>
          </w:tblCellMar>
        </w:tblPrEx>
        <w:trPr>
          <w:trHeight w:val="778" w:hRule="exact"/>
        </w:trPr>
        <w:tc>
          <w:tcPr>
            <w:tcW w:w="148" w:type="pct"/>
            <w:vMerge w:val="continue"/>
            <w:tcBorders>
              <w:left w:val="single" w:color="000000" w:sz="6" w:space="0"/>
              <w:right w:val="single" w:color="000000" w:sz="4" w:space="0"/>
            </w:tcBorders>
            <w:vAlign w:val="center"/>
          </w:tcPr>
          <w:p w14:paraId="1755D8F9">
            <w:pPr>
              <w:widowControl w:val="0"/>
              <w:tabs>
                <w:tab w:val="left" w:pos="1693"/>
              </w:tabs>
              <w:spacing w:line="240" w:lineRule="auto"/>
              <w:jc w:val="center"/>
              <w:rPr>
                <w:color w:val="000000"/>
                <w:sz w:val="20"/>
                <w:szCs w:val="20"/>
                <w:lang w:eastAsia="en-US"/>
              </w:rPr>
            </w:pPr>
          </w:p>
        </w:tc>
        <w:tc>
          <w:tcPr>
            <w:tcW w:w="838" w:type="pct"/>
            <w:tcBorders>
              <w:top w:val="single" w:color="000000" w:sz="4" w:space="0"/>
              <w:left w:val="single" w:color="000000" w:sz="4" w:space="0"/>
              <w:bottom w:val="single" w:color="000000" w:sz="4" w:space="0"/>
              <w:right w:val="single" w:color="000000" w:sz="4" w:space="0"/>
            </w:tcBorders>
            <w:vAlign w:val="center"/>
          </w:tcPr>
          <w:p w14:paraId="45F482C7">
            <w:pPr>
              <w:widowControl w:val="0"/>
              <w:tabs>
                <w:tab w:val="left" w:pos="1693"/>
              </w:tabs>
              <w:spacing w:line="240" w:lineRule="auto"/>
              <w:jc w:val="center"/>
              <w:rPr>
                <w:color w:val="000000"/>
                <w:sz w:val="20"/>
                <w:szCs w:val="20"/>
                <w:lang w:eastAsia="en-US"/>
              </w:rPr>
            </w:pPr>
            <w:r>
              <w:rPr>
                <w:color w:val="000000"/>
                <w:sz w:val="20"/>
                <w:szCs w:val="20"/>
                <w:lang w:eastAsia="en-US"/>
              </w:rPr>
              <w:t>氧化还原电位</w:t>
            </w:r>
            <w:r>
              <w:rPr>
                <w:color w:val="000000"/>
                <w:sz w:val="20"/>
              </w:rPr>
              <w:t>（mV）</w:t>
            </w:r>
          </w:p>
        </w:tc>
        <w:tc>
          <w:tcPr>
            <w:tcW w:w="314" w:type="pct"/>
            <w:tcBorders>
              <w:top w:val="single" w:color="000000" w:sz="4" w:space="0"/>
              <w:left w:val="single" w:color="000000" w:sz="4" w:space="0"/>
              <w:bottom w:val="single" w:color="000000" w:sz="4" w:space="0"/>
              <w:right w:val="single" w:color="000000" w:sz="4" w:space="0"/>
            </w:tcBorders>
            <w:vAlign w:val="center"/>
          </w:tcPr>
          <w:p w14:paraId="175FDB79">
            <w:pPr>
              <w:widowControl w:val="0"/>
              <w:tabs>
                <w:tab w:val="left" w:pos="1693"/>
              </w:tabs>
              <w:spacing w:line="240" w:lineRule="auto"/>
              <w:jc w:val="center"/>
              <w:rPr>
                <w:color w:val="000000"/>
                <w:sz w:val="20"/>
                <w:szCs w:val="20"/>
                <w:lang w:eastAsia="en-US"/>
              </w:rPr>
            </w:pPr>
            <w:r>
              <w:rPr>
                <w:color w:val="000000"/>
                <w:sz w:val="20"/>
                <w:szCs w:val="20"/>
              </w:rPr>
              <w:t>476</w:t>
            </w:r>
          </w:p>
        </w:tc>
        <w:tc>
          <w:tcPr>
            <w:tcW w:w="464" w:type="pct"/>
            <w:tcBorders>
              <w:top w:val="single" w:color="000000" w:sz="4" w:space="0"/>
              <w:left w:val="single" w:color="000000" w:sz="4" w:space="0"/>
              <w:bottom w:val="single" w:color="000000" w:sz="4" w:space="0"/>
              <w:right w:val="single" w:color="000000" w:sz="4" w:space="0"/>
            </w:tcBorders>
            <w:vAlign w:val="center"/>
          </w:tcPr>
          <w:p w14:paraId="19478D00">
            <w:pPr>
              <w:widowControl w:val="0"/>
              <w:tabs>
                <w:tab w:val="left" w:pos="1693"/>
              </w:tabs>
              <w:spacing w:line="240" w:lineRule="auto"/>
              <w:jc w:val="center"/>
              <w:rPr>
                <w:color w:val="000000"/>
                <w:sz w:val="20"/>
                <w:szCs w:val="20"/>
                <w:lang w:eastAsia="en-US"/>
              </w:rPr>
            </w:pPr>
            <w:r>
              <w:rPr>
                <w:color w:val="000000"/>
                <w:sz w:val="20"/>
                <w:szCs w:val="20"/>
              </w:rPr>
              <w:t>452</w:t>
            </w:r>
          </w:p>
        </w:tc>
        <w:tc>
          <w:tcPr>
            <w:tcW w:w="471" w:type="pct"/>
            <w:tcBorders>
              <w:top w:val="single" w:color="000000" w:sz="4" w:space="0"/>
              <w:left w:val="single" w:color="000000" w:sz="4" w:space="0"/>
              <w:bottom w:val="single" w:color="000000" w:sz="4" w:space="0"/>
              <w:right w:val="single" w:color="000000" w:sz="4" w:space="0"/>
            </w:tcBorders>
            <w:vAlign w:val="center"/>
          </w:tcPr>
          <w:p w14:paraId="292F93E2">
            <w:pPr>
              <w:widowControl w:val="0"/>
              <w:tabs>
                <w:tab w:val="left" w:pos="1693"/>
              </w:tabs>
              <w:spacing w:line="240" w:lineRule="auto"/>
              <w:jc w:val="center"/>
              <w:rPr>
                <w:color w:val="000000"/>
                <w:sz w:val="20"/>
                <w:szCs w:val="20"/>
                <w:lang w:eastAsia="en-US"/>
              </w:rPr>
            </w:pPr>
            <w:r>
              <w:rPr>
                <w:color w:val="000000"/>
                <w:sz w:val="20"/>
                <w:szCs w:val="20"/>
              </w:rPr>
              <w:t>463</w:t>
            </w:r>
          </w:p>
        </w:tc>
        <w:tc>
          <w:tcPr>
            <w:tcW w:w="462" w:type="pct"/>
            <w:tcBorders>
              <w:top w:val="single" w:color="000000" w:sz="4" w:space="0"/>
              <w:left w:val="single" w:color="000000" w:sz="4" w:space="0"/>
              <w:bottom w:val="single" w:color="000000" w:sz="4" w:space="0"/>
              <w:right w:val="single" w:color="000000" w:sz="4" w:space="0"/>
            </w:tcBorders>
            <w:vAlign w:val="center"/>
          </w:tcPr>
          <w:p w14:paraId="4EA26DE0">
            <w:pPr>
              <w:widowControl w:val="0"/>
              <w:tabs>
                <w:tab w:val="left" w:pos="1693"/>
              </w:tabs>
              <w:spacing w:line="240" w:lineRule="auto"/>
              <w:jc w:val="center"/>
              <w:rPr>
                <w:color w:val="000000"/>
                <w:sz w:val="20"/>
                <w:szCs w:val="20"/>
                <w:lang w:eastAsia="en-US"/>
              </w:rPr>
            </w:pPr>
            <w:r>
              <w:rPr>
                <w:color w:val="000000"/>
                <w:sz w:val="20"/>
                <w:szCs w:val="20"/>
              </w:rPr>
              <w:t>451</w:t>
            </w:r>
          </w:p>
        </w:tc>
        <w:tc>
          <w:tcPr>
            <w:tcW w:w="457" w:type="pct"/>
            <w:tcBorders>
              <w:top w:val="single" w:color="000000" w:sz="4" w:space="0"/>
              <w:left w:val="single" w:color="000000" w:sz="4" w:space="0"/>
              <w:bottom w:val="single" w:color="000000" w:sz="4" w:space="0"/>
              <w:right w:val="single" w:color="000000" w:sz="6" w:space="0"/>
            </w:tcBorders>
            <w:vAlign w:val="center"/>
          </w:tcPr>
          <w:p w14:paraId="565A947E">
            <w:pPr>
              <w:widowControl w:val="0"/>
              <w:tabs>
                <w:tab w:val="left" w:pos="1693"/>
              </w:tabs>
              <w:spacing w:line="240" w:lineRule="auto"/>
              <w:jc w:val="center"/>
              <w:rPr>
                <w:color w:val="000000"/>
                <w:sz w:val="20"/>
                <w:szCs w:val="20"/>
                <w:lang w:eastAsia="en-US"/>
              </w:rPr>
            </w:pPr>
            <w:r>
              <w:rPr>
                <w:color w:val="000000"/>
                <w:sz w:val="20"/>
                <w:szCs w:val="20"/>
              </w:rPr>
              <w:t>432</w:t>
            </w:r>
          </w:p>
        </w:tc>
        <w:tc>
          <w:tcPr>
            <w:tcW w:w="460" w:type="pct"/>
            <w:tcBorders>
              <w:top w:val="single" w:color="000000" w:sz="4" w:space="0"/>
              <w:left w:val="single" w:color="000000" w:sz="4" w:space="0"/>
              <w:bottom w:val="single" w:color="000000" w:sz="4" w:space="0"/>
              <w:right w:val="single" w:color="000000" w:sz="6" w:space="0"/>
            </w:tcBorders>
            <w:vAlign w:val="center"/>
          </w:tcPr>
          <w:p w14:paraId="5FAA57D3">
            <w:pPr>
              <w:widowControl w:val="0"/>
              <w:tabs>
                <w:tab w:val="left" w:pos="1693"/>
              </w:tabs>
              <w:spacing w:line="240" w:lineRule="auto"/>
              <w:jc w:val="center"/>
              <w:rPr>
                <w:color w:val="000000"/>
                <w:sz w:val="20"/>
                <w:szCs w:val="20"/>
                <w:lang w:eastAsia="en-US"/>
              </w:rPr>
            </w:pPr>
            <w:r>
              <w:rPr>
                <w:color w:val="000000"/>
                <w:sz w:val="20"/>
                <w:szCs w:val="20"/>
              </w:rPr>
              <w:t>459</w:t>
            </w:r>
          </w:p>
        </w:tc>
        <w:tc>
          <w:tcPr>
            <w:tcW w:w="459" w:type="pct"/>
            <w:tcBorders>
              <w:top w:val="single" w:color="000000" w:sz="4" w:space="0"/>
              <w:left w:val="single" w:color="000000" w:sz="4" w:space="0"/>
              <w:bottom w:val="single" w:color="000000" w:sz="4" w:space="0"/>
              <w:right w:val="single" w:color="000000" w:sz="6" w:space="0"/>
            </w:tcBorders>
            <w:vAlign w:val="center"/>
          </w:tcPr>
          <w:p w14:paraId="6C7D52DD">
            <w:pPr>
              <w:widowControl w:val="0"/>
              <w:tabs>
                <w:tab w:val="left" w:pos="1693"/>
              </w:tabs>
              <w:spacing w:line="240" w:lineRule="auto"/>
              <w:jc w:val="center"/>
              <w:rPr>
                <w:color w:val="000000"/>
                <w:sz w:val="20"/>
                <w:szCs w:val="20"/>
                <w:lang w:eastAsia="en-US"/>
              </w:rPr>
            </w:pPr>
            <w:r>
              <w:rPr>
                <w:color w:val="000000"/>
                <w:sz w:val="20"/>
                <w:szCs w:val="20"/>
              </w:rPr>
              <w:t>485</w:t>
            </w:r>
          </w:p>
        </w:tc>
        <w:tc>
          <w:tcPr>
            <w:tcW w:w="459" w:type="pct"/>
            <w:tcBorders>
              <w:top w:val="single" w:color="000000" w:sz="4" w:space="0"/>
              <w:left w:val="single" w:color="000000" w:sz="4" w:space="0"/>
              <w:bottom w:val="single" w:color="000000" w:sz="4" w:space="0"/>
              <w:right w:val="single" w:color="000000" w:sz="6" w:space="0"/>
            </w:tcBorders>
            <w:vAlign w:val="center"/>
          </w:tcPr>
          <w:p w14:paraId="58E7D05F">
            <w:pPr>
              <w:widowControl w:val="0"/>
              <w:tabs>
                <w:tab w:val="left" w:pos="1693"/>
              </w:tabs>
              <w:spacing w:line="240" w:lineRule="auto"/>
              <w:jc w:val="center"/>
              <w:rPr>
                <w:color w:val="000000"/>
                <w:sz w:val="20"/>
                <w:szCs w:val="20"/>
                <w:lang w:eastAsia="en-US"/>
              </w:rPr>
            </w:pPr>
            <w:r>
              <w:rPr>
                <w:color w:val="000000"/>
                <w:sz w:val="20"/>
                <w:szCs w:val="20"/>
              </w:rPr>
              <w:t>476</w:t>
            </w:r>
          </w:p>
        </w:tc>
        <w:tc>
          <w:tcPr>
            <w:tcW w:w="463" w:type="pct"/>
            <w:tcBorders>
              <w:top w:val="single" w:color="000000" w:sz="4" w:space="0"/>
              <w:left w:val="single" w:color="000000" w:sz="4" w:space="0"/>
              <w:bottom w:val="single" w:color="000000" w:sz="4" w:space="0"/>
              <w:right w:val="single" w:color="000000" w:sz="6" w:space="0"/>
            </w:tcBorders>
            <w:vAlign w:val="center"/>
          </w:tcPr>
          <w:p w14:paraId="6AC13460">
            <w:pPr>
              <w:widowControl w:val="0"/>
              <w:tabs>
                <w:tab w:val="left" w:pos="1693"/>
              </w:tabs>
              <w:spacing w:line="240" w:lineRule="auto"/>
              <w:jc w:val="center"/>
              <w:rPr>
                <w:color w:val="000000"/>
                <w:sz w:val="20"/>
                <w:szCs w:val="20"/>
                <w:lang w:eastAsia="en-US"/>
              </w:rPr>
            </w:pPr>
            <w:r>
              <w:rPr>
                <w:color w:val="000000"/>
                <w:sz w:val="20"/>
                <w:szCs w:val="20"/>
              </w:rPr>
              <w:t>471</w:t>
            </w:r>
          </w:p>
        </w:tc>
      </w:tr>
      <w:tr w14:paraId="6FF5B634">
        <w:tblPrEx>
          <w:tblCellMar>
            <w:top w:w="0" w:type="dxa"/>
            <w:left w:w="0" w:type="dxa"/>
            <w:bottom w:w="0" w:type="dxa"/>
            <w:right w:w="0" w:type="dxa"/>
          </w:tblCellMar>
        </w:tblPrEx>
        <w:trPr>
          <w:trHeight w:val="678" w:hRule="exact"/>
        </w:trPr>
        <w:tc>
          <w:tcPr>
            <w:tcW w:w="148" w:type="pct"/>
            <w:vMerge w:val="continue"/>
            <w:tcBorders>
              <w:left w:val="single" w:color="000000" w:sz="6" w:space="0"/>
              <w:right w:val="single" w:color="000000" w:sz="4" w:space="0"/>
            </w:tcBorders>
            <w:vAlign w:val="center"/>
          </w:tcPr>
          <w:p w14:paraId="57496ABA">
            <w:pPr>
              <w:widowControl w:val="0"/>
              <w:tabs>
                <w:tab w:val="left" w:pos="1693"/>
              </w:tabs>
              <w:spacing w:line="240" w:lineRule="auto"/>
              <w:jc w:val="center"/>
              <w:rPr>
                <w:color w:val="000000"/>
                <w:sz w:val="20"/>
                <w:szCs w:val="20"/>
                <w:lang w:eastAsia="en-US"/>
              </w:rPr>
            </w:pPr>
          </w:p>
        </w:tc>
        <w:tc>
          <w:tcPr>
            <w:tcW w:w="838" w:type="pct"/>
            <w:tcBorders>
              <w:top w:val="single" w:color="000000" w:sz="4" w:space="0"/>
              <w:left w:val="single" w:color="000000" w:sz="4" w:space="0"/>
              <w:bottom w:val="single" w:color="000000" w:sz="4" w:space="0"/>
              <w:right w:val="single" w:color="000000" w:sz="4" w:space="0"/>
            </w:tcBorders>
            <w:vAlign w:val="center"/>
          </w:tcPr>
          <w:p w14:paraId="67CBB38A">
            <w:pPr>
              <w:widowControl w:val="0"/>
              <w:tabs>
                <w:tab w:val="left" w:pos="1693"/>
              </w:tabs>
              <w:spacing w:line="240" w:lineRule="auto"/>
              <w:jc w:val="center"/>
              <w:rPr>
                <w:color w:val="000000"/>
                <w:sz w:val="20"/>
                <w:szCs w:val="20"/>
              </w:rPr>
            </w:pPr>
            <w:r>
              <w:rPr>
                <w:color w:val="000000"/>
                <w:sz w:val="20"/>
                <w:szCs w:val="20"/>
              </w:rPr>
              <w:t>饱和导水率</w:t>
            </w:r>
            <w:r>
              <w:rPr>
                <w:color w:val="000000"/>
                <w:sz w:val="20"/>
              </w:rPr>
              <w:t>（mm/min）</w:t>
            </w:r>
          </w:p>
        </w:tc>
        <w:tc>
          <w:tcPr>
            <w:tcW w:w="314" w:type="pct"/>
            <w:tcBorders>
              <w:top w:val="single" w:color="000000" w:sz="4" w:space="0"/>
              <w:left w:val="single" w:color="000000" w:sz="4" w:space="0"/>
              <w:bottom w:val="single" w:color="000000" w:sz="4" w:space="0"/>
              <w:right w:val="single" w:color="000000" w:sz="4" w:space="0"/>
            </w:tcBorders>
            <w:vAlign w:val="center"/>
          </w:tcPr>
          <w:p w14:paraId="29FEEA10">
            <w:pPr>
              <w:widowControl w:val="0"/>
              <w:tabs>
                <w:tab w:val="left" w:pos="1693"/>
              </w:tabs>
              <w:spacing w:line="240" w:lineRule="auto"/>
              <w:jc w:val="center"/>
              <w:rPr>
                <w:color w:val="000000"/>
                <w:sz w:val="20"/>
                <w:szCs w:val="20"/>
              </w:rPr>
            </w:pPr>
            <w:r>
              <w:rPr>
                <w:color w:val="000000"/>
                <w:sz w:val="20"/>
                <w:szCs w:val="20"/>
              </w:rPr>
              <w:t>0.26</w:t>
            </w:r>
          </w:p>
        </w:tc>
        <w:tc>
          <w:tcPr>
            <w:tcW w:w="464" w:type="pct"/>
            <w:tcBorders>
              <w:top w:val="single" w:color="000000" w:sz="4" w:space="0"/>
              <w:left w:val="single" w:color="000000" w:sz="4" w:space="0"/>
              <w:bottom w:val="single" w:color="000000" w:sz="4" w:space="0"/>
              <w:right w:val="single" w:color="000000" w:sz="4" w:space="0"/>
            </w:tcBorders>
            <w:vAlign w:val="center"/>
          </w:tcPr>
          <w:p w14:paraId="17F82512">
            <w:pPr>
              <w:widowControl w:val="0"/>
              <w:tabs>
                <w:tab w:val="left" w:pos="1693"/>
              </w:tabs>
              <w:spacing w:line="240" w:lineRule="auto"/>
              <w:jc w:val="center"/>
              <w:rPr>
                <w:color w:val="000000"/>
                <w:sz w:val="20"/>
                <w:szCs w:val="20"/>
              </w:rPr>
            </w:pPr>
            <w:r>
              <w:rPr>
                <w:color w:val="000000"/>
                <w:sz w:val="20"/>
                <w:szCs w:val="20"/>
              </w:rPr>
              <w:t>0.27</w:t>
            </w:r>
          </w:p>
        </w:tc>
        <w:tc>
          <w:tcPr>
            <w:tcW w:w="471" w:type="pct"/>
            <w:tcBorders>
              <w:top w:val="single" w:color="000000" w:sz="4" w:space="0"/>
              <w:left w:val="single" w:color="000000" w:sz="4" w:space="0"/>
              <w:bottom w:val="single" w:color="000000" w:sz="4" w:space="0"/>
              <w:right w:val="single" w:color="000000" w:sz="4" w:space="0"/>
            </w:tcBorders>
            <w:vAlign w:val="center"/>
          </w:tcPr>
          <w:p w14:paraId="1F540BBB">
            <w:pPr>
              <w:widowControl w:val="0"/>
              <w:tabs>
                <w:tab w:val="left" w:pos="1693"/>
              </w:tabs>
              <w:spacing w:line="240" w:lineRule="auto"/>
              <w:jc w:val="center"/>
              <w:rPr>
                <w:color w:val="000000"/>
                <w:sz w:val="20"/>
                <w:szCs w:val="20"/>
              </w:rPr>
            </w:pPr>
            <w:r>
              <w:rPr>
                <w:color w:val="000000"/>
                <w:sz w:val="20"/>
                <w:szCs w:val="20"/>
              </w:rPr>
              <w:t>0.28</w:t>
            </w:r>
          </w:p>
        </w:tc>
        <w:tc>
          <w:tcPr>
            <w:tcW w:w="462" w:type="pct"/>
            <w:tcBorders>
              <w:top w:val="single" w:color="000000" w:sz="4" w:space="0"/>
              <w:left w:val="single" w:color="000000" w:sz="4" w:space="0"/>
              <w:bottom w:val="single" w:color="000000" w:sz="4" w:space="0"/>
              <w:right w:val="single" w:color="000000" w:sz="4" w:space="0"/>
            </w:tcBorders>
            <w:vAlign w:val="center"/>
          </w:tcPr>
          <w:p w14:paraId="7E2DB55F">
            <w:pPr>
              <w:widowControl w:val="0"/>
              <w:tabs>
                <w:tab w:val="left" w:pos="1693"/>
              </w:tabs>
              <w:spacing w:line="240" w:lineRule="auto"/>
              <w:jc w:val="center"/>
              <w:rPr>
                <w:color w:val="000000"/>
                <w:sz w:val="20"/>
                <w:szCs w:val="20"/>
              </w:rPr>
            </w:pPr>
            <w:r>
              <w:rPr>
                <w:color w:val="000000"/>
                <w:sz w:val="20"/>
                <w:szCs w:val="20"/>
              </w:rPr>
              <w:t>0.18</w:t>
            </w:r>
          </w:p>
        </w:tc>
        <w:tc>
          <w:tcPr>
            <w:tcW w:w="457" w:type="pct"/>
            <w:tcBorders>
              <w:top w:val="single" w:color="000000" w:sz="4" w:space="0"/>
              <w:left w:val="single" w:color="000000" w:sz="4" w:space="0"/>
              <w:bottom w:val="single" w:color="000000" w:sz="4" w:space="0"/>
              <w:right w:val="single" w:color="000000" w:sz="6" w:space="0"/>
            </w:tcBorders>
            <w:vAlign w:val="center"/>
          </w:tcPr>
          <w:p w14:paraId="6BF653D5">
            <w:pPr>
              <w:widowControl w:val="0"/>
              <w:tabs>
                <w:tab w:val="left" w:pos="1693"/>
              </w:tabs>
              <w:spacing w:line="240" w:lineRule="auto"/>
              <w:jc w:val="center"/>
              <w:rPr>
                <w:color w:val="000000"/>
                <w:sz w:val="20"/>
                <w:szCs w:val="20"/>
              </w:rPr>
            </w:pPr>
            <w:r>
              <w:rPr>
                <w:color w:val="000000"/>
                <w:sz w:val="20"/>
                <w:szCs w:val="20"/>
              </w:rPr>
              <w:t>0.19</w:t>
            </w:r>
          </w:p>
        </w:tc>
        <w:tc>
          <w:tcPr>
            <w:tcW w:w="460" w:type="pct"/>
            <w:tcBorders>
              <w:top w:val="single" w:color="000000" w:sz="4" w:space="0"/>
              <w:left w:val="single" w:color="000000" w:sz="4" w:space="0"/>
              <w:bottom w:val="single" w:color="000000" w:sz="4" w:space="0"/>
              <w:right w:val="single" w:color="000000" w:sz="6" w:space="0"/>
            </w:tcBorders>
            <w:vAlign w:val="center"/>
          </w:tcPr>
          <w:p w14:paraId="162F84BC">
            <w:pPr>
              <w:widowControl w:val="0"/>
              <w:tabs>
                <w:tab w:val="left" w:pos="1693"/>
              </w:tabs>
              <w:spacing w:line="240" w:lineRule="auto"/>
              <w:jc w:val="center"/>
              <w:rPr>
                <w:color w:val="000000"/>
                <w:sz w:val="20"/>
                <w:szCs w:val="20"/>
              </w:rPr>
            </w:pPr>
            <w:r>
              <w:rPr>
                <w:color w:val="000000"/>
                <w:sz w:val="20"/>
                <w:szCs w:val="20"/>
              </w:rPr>
              <w:t>0.21</w:t>
            </w:r>
          </w:p>
        </w:tc>
        <w:tc>
          <w:tcPr>
            <w:tcW w:w="459" w:type="pct"/>
            <w:tcBorders>
              <w:top w:val="single" w:color="000000" w:sz="4" w:space="0"/>
              <w:left w:val="single" w:color="000000" w:sz="4" w:space="0"/>
              <w:bottom w:val="single" w:color="000000" w:sz="4" w:space="0"/>
              <w:right w:val="single" w:color="000000" w:sz="6" w:space="0"/>
            </w:tcBorders>
            <w:vAlign w:val="center"/>
          </w:tcPr>
          <w:p w14:paraId="2892C0A1">
            <w:pPr>
              <w:widowControl w:val="0"/>
              <w:tabs>
                <w:tab w:val="left" w:pos="1693"/>
              </w:tabs>
              <w:spacing w:line="240" w:lineRule="auto"/>
              <w:jc w:val="center"/>
              <w:rPr>
                <w:color w:val="000000"/>
                <w:sz w:val="20"/>
                <w:szCs w:val="20"/>
              </w:rPr>
            </w:pPr>
            <w:r>
              <w:rPr>
                <w:color w:val="000000"/>
                <w:sz w:val="20"/>
                <w:szCs w:val="20"/>
              </w:rPr>
              <w:t>0.21</w:t>
            </w:r>
          </w:p>
        </w:tc>
        <w:tc>
          <w:tcPr>
            <w:tcW w:w="459" w:type="pct"/>
            <w:tcBorders>
              <w:top w:val="single" w:color="000000" w:sz="4" w:space="0"/>
              <w:left w:val="single" w:color="000000" w:sz="4" w:space="0"/>
              <w:bottom w:val="single" w:color="000000" w:sz="4" w:space="0"/>
              <w:right w:val="single" w:color="000000" w:sz="6" w:space="0"/>
            </w:tcBorders>
            <w:vAlign w:val="center"/>
          </w:tcPr>
          <w:p w14:paraId="2F0E3A21">
            <w:pPr>
              <w:widowControl w:val="0"/>
              <w:tabs>
                <w:tab w:val="left" w:pos="1693"/>
              </w:tabs>
              <w:spacing w:line="240" w:lineRule="auto"/>
              <w:jc w:val="center"/>
              <w:rPr>
                <w:color w:val="000000"/>
                <w:sz w:val="20"/>
                <w:szCs w:val="20"/>
              </w:rPr>
            </w:pPr>
            <w:r>
              <w:rPr>
                <w:color w:val="000000"/>
                <w:sz w:val="20"/>
                <w:szCs w:val="20"/>
              </w:rPr>
              <w:t>0.23</w:t>
            </w:r>
          </w:p>
        </w:tc>
        <w:tc>
          <w:tcPr>
            <w:tcW w:w="463" w:type="pct"/>
            <w:tcBorders>
              <w:top w:val="single" w:color="000000" w:sz="4" w:space="0"/>
              <w:left w:val="single" w:color="000000" w:sz="4" w:space="0"/>
              <w:bottom w:val="single" w:color="000000" w:sz="4" w:space="0"/>
              <w:right w:val="single" w:color="000000" w:sz="6" w:space="0"/>
            </w:tcBorders>
            <w:vAlign w:val="center"/>
          </w:tcPr>
          <w:p w14:paraId="5CC5E7E5">
            <w:pPr>
              <w:widowControl w:val="0"/>
              <w:tabs>
                <w:tab w:val="left" w:pos="1693"/>
              </w:tabs>
              <w:spacing w:line="240" w:lineRule="auto"/>
              <w:jc w:val="center"/>
              <w:rPr>
                <w:color w:val="000000"/>
                <w:sz w:val="20"/>
                <w:szCs w:val="20"/>
              </w:rPr>
            </w:pPr>
            <w:r>
              <w:rPr>
                <w:color w:val="000000"/>
                <w:sz w:val="20"/>
                <w:szCs w:val="20"/>
              </w:rPr>
              <w:t>0.20</w:t>
            </w:r>
          </w:p>
        </w:tc>
      </w:tr>
      <w:tr w14:paraId="50800BCA">
        <w:tblPrEx>
          <w:tblCellMar>
            <w:top w:w="0" w:type="dxa"/>
            <w:left w:w="0" w:type="dxa"/>
            <w:bottom w:w="0" w:type="dxa"/>
            <w:right w:w="0" w:type="dxa"/>
          </w:tblCellMar>
        </w:tblPrEx>
        <w:trPr>
          <w:trHeight w:val="694" w:hRule="exact"/>
        </w:trPr>
        <w:tc>
          <w:tcPr>
            <w:tcW w:w="148" w:type="pct"/>
            <w:vMerge w:val="continue"/>
            <w:tcBorders>
              <w:left w:val="single" w:color="000000" w:sz="6" w:space="0"/>
              <w:right w:val="single" w:color="000000" w:sz="4" w:space="0"/>
            </w:tcBorders>
            <w:vAlign w:val="center"/>
          </w:tcPr>
          <w:p w14:paraId="1655C997">
            <w:pPr>
              <w:widowControl w:val="0"/>
              <w:tabs>
                <w:tab w:val="left" w:pos="1693"/>
              </w:tabs>
              <w:spacing w:line="240" w:lineRule="auto"/>
              <w:jc w:val="center"/>
              <w:rPr>
                <w:color w:val="000000"/>
                <w:sz w:val="20"/>
                <w:szCs w:val="20"/>
              </w:rPr>
            </w:pPr>
          </w:p>
        </w:tc>
        <w:tc>
          <w:tcPr>
            <w:tcW w:w="838" w:type="pct"/>
            <w:tcBorders>
              <w:top w:val="single" w:color="000000" w:sz="4" w:space="0"/>
              <w:left w:val="single" w:color="000000" w:sz="4" w:space="0"/>
              <w:bottom w:val="single" w:color="000000" w:sz="4" w:space="0"/>
              <w:right w:val="single" w:color="000000" w:sz="4" w:space="0"/>
            </w:tcBorders>
            <w:vAlign w:val="center"/>
          </w:tcPr>
          <w:p w14:paraId="5CD8A6D7">
            <w:pPr>
              <w:widowControl w:val="0"/>
              <w:tabs>
                <w:tab w:val="left" w:pos="1693"/>
              </w:tabs>
              <w:spacing w:line="240" w:lineRule="auto"/>
              <w:jc w:val="center"/>
              <w:rPr>
                <w:color w:val="000000"/>
                <w:sz w:val="20"/>
                <w:szCs w:val="20"/>
                <w:lang w:eastAsia="en-US"/>
              </w:rPr>
            </w:pPr>
            <w:r>
              <w:rPr>
                <w:color w:val="000000"/>
                <w:sz w:val="20"/>
                <w:szCs w:val="20"/>
                <w:lang w:eastAsia="en-US"/>
              </w:rPr>
              <w:t>土壤容重</w:t>
            </w:r>
            <w:r>
              <w:rPr>
                <w:color w:val="000000"/>
                <w:sz w:val="20"/>
              </w:rPr>
              <w:t>（g/cm</w:t>
            </w:r>
            <w:r>
              <w:rPr>
                <w:color w:val="000000"/>
                <w:sz w:val="20"/>
                <w:vertAlign w:val="superscript"/>
              </w:rPr>
              <w:t>3</w:t>
            </w:r>
            <w:r>
              <w:rPr>
                <w:color w:val="000000"/>
                <w:sz w:val="20"/>
              </w:rPr>
              <w:t>）</w:t>
            </w:r>
          </w:p>
        </w:tc>
        <w:tc>
          <w:tcPr>
            <w:tcW w:w="314" w:type="pct"/>
            <w:tcBorders>
              <w:top w:val="single" w:color="000000" w:sz="4" w:space="0"/>
              <w:left w:val="single" w:color="000000" w:sz="4" w:space="0"/>
              <w:bottom w:val="single" w:color="000000" w:sz="4" w:space="0"/>
              <w:right w:val="single" w:color="000000" w:sz="4" w:space="0"/>
            </w:tcBorders>
            <w:vAlign w:val="center"/>
          </w:tcPr>
          <w:p w14:paraId="7025EACF">
            <w:pPr>
              <w:widowControl w:val="0"/>
              <w:tabs>
                <w:tab w:val="left" w:pos="1693"/>
              </w:tabs>
              <w:spacing w:line="240" w:lineRule="auto"/>
              <w:jc w:val="center"/>
              <w:rPr>
                <w:color w:val="000000"/>
                <w:sz w:val="20"/>
                <w:szCs w:val="20"/>
                <w:lang w:eastAsia="en-US"/>
              </w:rPr>
            </w:pPr>
            <w:r>
              <w:rPr>
                <w:color w:val="000000"/>
                <w:sz w:val="20"/>
                <w:szCs w:val="20"/>
              </w:rPr>
              <w:t>1.18</w:t>
            </w:r>
          </w:p>
        </w:tc>
        <w:tc>
          <w:tcPr>
            <w:tcW w:w="464" w:type="pct"/>
            <w:tcBorders>
              <w:top w:val="single" w:color="000000" w:sz="4" w:space="0"/>
              <w:left w:val="single" w:color="000000" w:sz="4" w:space="0"/>
              <w:bottom w:val="single" w:color="000000" w:sz="4" w:space="0"/>
              <w:right w:val="single" w:color="000000" w:sz="4" w:space="0"/>
            </w:tcBorders>
            <w:vAlign w:val="center"/>
          </w:tcPr>
          <w:p w14:paraId="24679324">
            <w:pPr>
              <w:widowControl w:val="0"/>
              <w:tabs>
                <w:tab w:val="left" w:pos="1693"/>
              </w:tabs>
              <w:spacing w:line="240" w:lineRule="auto"/>
              <w:jc w:val="center"/>
              <w:rPr>
                <w:color w:val="000000"/>
                <w:sz w:val="20"/>
                <w:szCs w:val="20"/>
                <w:lang w:eastAsia="en-US"/>
              </w:rPr>
            </w:pPr>
            <w:r>
              <w:rPr>
                <w:color w:val="000000"/>
                <w:sz w:val="20"/>
                <w:szCs w:val="20"/>
              </w:rPr>
              <w:t>1.21</w:t>
            </w:r>
          </w:p>
        </w:tc>
        <w:tc>
          <w:tcPr>
            <w:tcW w:w="471" w:type="pct"/>
            <w:tcBorders>
              <w:top w:val="single" w:color="000000" w:sz="4" w:space="0"/>
              <w:left w:val="single" w:color="000000" w:sz="4" w:space="0"/>
              <w:bottom w:val="single" w:color="000000" w:sz="4" w:space="0"/>
              <w:right w:val="single" w:color="000000" w:sz="4" w:space="0"/>
            </w:tcBorders>
            <w:vAlign w:val="center"/>
          </w:tcPr>
          <w:p w14:paraId="6E975B72">
            <w:pPr>
              <w:widowControl w:val="0"/>
              <w:tabs>
                <w:tab w:val="left" w:pos="1693"/>
              </w:tabs>
              <w:spacing w:line="240" w:lineRule="auto"/>
              <w:jc w:val="center"/>
              <w:rPr>
                <w:color w:val="000000"/>
                <w:sz w:val="20"/>
                <w:szCs w:val="20"/>
                <w:lang w:eastAsia="en-US"/>
              </w:rPr>
            </w:pPr>
            <w:r>
              <w:rPr>
                <w:color w:val="000000"/>
                <w:sz w:val="20"/>
                <w:szCs w:val="20"/>
              </w:rPr>
              <w:t>1.23</w:t>
            </w:r>
          </w:p>
        </w:tc>
        <w:tc>
          <w:tcPr>
            <w:tcW w:w="462" w:type="pct"/>
            <w:tcBorders>
              <w:top w:val="single" w:color="000000" w:sz="4" w:space="0"/>
              <w:left w:val="single" w:color="000000" w:sz="4" w:space="0"/>
              <w:bottom w:val="single" w:color="000000" w:sz="4" w:space="0"/>
              <w:right w:val="single" w:color="000000" w:sz="4" w:space="0"/>
            </w:tcBorders>
            <w:vAlign w:val="center"/>
          </w:tcPr>
          <w:p w14:paraId="0D80F81F">
            <w:pPr>
              <w:widowControl w:val="0"/>
              <w:tabs>
                <w:tab w:val="left" w:pos="1693"/>
              </w:tabs>
              <w:spacing w:line="240" w:lineRule="auto"/>
              <w:jc w:val="center"/>
              <w:rPr>
                <w:color w:val="000000"/>
                <w:sz w:val="20"/>
                <w:szCs w:val="20"/>
                <w:lang w:eastAsia="en-US"/>
              </w:rPr>
            </w:pPr>
            <w:r>
              <w:rPr>
                <w:color w:val="000000"/>
                <w:sz w:val="20"/>
                <w:szCs w:val="20"/>
              </w:rPr>
              <w:t>1.05</w:t>
            </w:r>
          </w:p>
        </w:tc>
        <w:tc>
          <w:tcPr>
            <w:tcW w:w="457" w:type="pct"/>
            <w:tcBorders>
              <w:top w:val="single" w:color="000000" w:sz="4" w:space="0"/>
              <w:left w:val="single" w:color="000000" w:sz="4" w:space="0"/>
              <w:bottom w:val="single" w:color="000000" w:sz="4" w:space="0"/>
              <w:right w:val="single" w:color="000000" w:sz="6" w:space="0"/>
            </w:tcBorders>
            <w:vAlign w:val="center"/>
          </w:tcPr>
          <w:p w14:paraId="10104988">
            <w:pPr>
              <w:widowControl w:val="0"/>
              <w:tabs>
                <w:tab w:val="left" w:pos="1693"/>
              </w:tabs>
              <w:spacing w:line="240" w:lineRule="auto"/>
              <w:jc w:val="center"/>
              <w:rPr>
                <w:color w:val="000000"/>
                <w:sz w:val="20"/>
                <w:szCs w:val="20"/>
                <w:lang w:eastAsia="en-US"/>
              </w:rPr>
            </w:pPr>
            <w:r>
              <w:rPr>
                <w:color w:val="000000"/>
                <w:sz w:val="20"/>
                <w:szCs w:val="20"/>
              </w:rPr>
              <w:t>1.09</w:t>
            </w:r>
          </w:p>
        </w:tc>
        <w:tc>
          <w:tcPr>
            <w:tcW w:w="460" w:type="pct"/>
            <w:tcBorders>
              <w:top w:val="single" w:color="000000" w:sz="4" w:space="0"/>
              <w:left w:val="single" w:color="000000" w:sz="4" w:space="0"/>
              <w:bottom w:val="single" w:color="000000" w:sz="4" w:space="0"/>
              <w:right w:val="single" w:color="000000" w:sz="6" w:space="0"/>
            </w:tcBorders>
            <w:vAlign w:val="center"/>
          </w:tcPr>
          <w:p w14:paraId="2A05C9D6">
            <w:pPr>
              <w:widowControl w:val="0"/>
              <w:tabs>
                <w:tab w:val="left" w:pos="1693"/>
              </w:tabs>
              <w:spacing w:line="240" w:lineRule="auto"/>
              <w:jc w:val="center"/>
              <w:rPr>
                <w:color w:val="000000"/>
                <w:sz w:val="20"/>
                <w:szCs w:val="20"/>
                <w:lang w:eastAsia="en-US"/>
              </w:rPr>
            </w:pPr>
            <w:r>
              <w:rPr>
                <w:color w:val="000000"/>
                <w:sz w:val="20"/>
                <w:szCs w:val="20"/>
              </w:rPr>
              <w:t>1.11</w:t>
            </w:r>
          </w:p>
        </w:tc>
        <w:tc>
          <w:tcPr>
            <w:tcW w:w="459" w:type="pct"/>
            <w:tcBorders>
              <w:top w:val="single" w:color="000000" w:sz="4" w:space="0"/>
              <w:left w:val="single" w:color="000000" w:sz="4" w:space="0"/>
              <w:bottom w:val="single" w:color="000000" w:sz="4" w:space="0"/>
              <w:right w:val="single" w:color="000000" w:sz="6" w:space="0"/>
            </w:tcBorders>
            <w:vAlign w:val="center"/>
          </w:tcPr>
          <w:p w14:paraId="762F698D">
            <w:pPr>
              <w:widowControl w:val="0"/>
              <w:tabs>
                <w:tab w:val="left" w:pos="1693"/>
              </w:tabs>
              <w:spacing w:line="240" w:lineRule="auto"/>
              <w:jc w:val="center"/>
              <w:rPr>
                <w:color w:val="000000"/>
                <w:sz w:val="20"/>
                <w:szCs w:val="20"/>
                <w:lang w:eastAsia="en-US"/>
              </w:rPr>
            </w:pPr>
            <w:r>
              <w:rPr>
                <w:color w:val="000000"/>
                <w:sz w:val="20"/>
                <w:szCs w:val="20"/>
              </w:rPr>
              <w:t>1.19</w:t>
            </w:r>
          </w:p>
        </w:tc>
        <w:tc>
          <w:tcPr>
            <w:tcW w:w="459" w:type="pct"/>
            <w:tcBorders>
              <w:top w:val="single" w:color="000000" w:sz="4" w:space="0"/>
              <w:left w:val="single" w:color="000000" w:sz="4" w:space="0"/>
              <w:bottom w:val="single" w:color="000000" w:sz="4" w:space="0"/>
              <w:right w:val="single" w:color="000000" w:sz="6" w:space="0"/>
            </w:tcBorders>
            <w:vAlign w:val="center"/>
          </w:tcPr>
          <w:p w14:paraId="617C0F34">
            <w:pPr>
              <w:widowControl w:val="0"/>
              <w:tabs>
                <w:tab w:val="left" w:pos="1693"/>
              </w:tabs>
              <w:spacing w:line="240" w:lineRule="auto"/>
              <w:jc w:val="center"/>
              <w:rPr>
                <w:color w:val="000000"/>
                <w:sz w:val="20"/>
                <w:szCs w:val="20"/>
                <w:lang w:eastAsia="en-US"/>
              </w:rPr>
            </w:pPr>
            <w:r>
              <w:rPr>
                <w:color w:val="000000"/>
                <w:sz w:val="20"/>
                <w:szCs w:val="20"/>
              </w:rPr>
              <w:t>1.21</w:t>
            </w:r>
          </w:p>
        </w:tc>
        <w:tc>
          <w:tcPr>
            <w:tcW w:w="463" w:type="pct"/>
            <w:tcBorders>
              <w:top w:val="single" w:color="000000" w:sz="4" w:space="0"/>
              <w:left w:val="single" w:color="000000" w:sz="4" w:space="0"/>
              <w:bottom w:val="single" w:color="000000" w:sz="4" w:space="0"/>
              <w:right w:val="single" w:color="000000" w:sz="6" w:space="0"/>
            </w:tcBorders>
            <w:vAlign w:val="center"/>
          </w:tcPr>
          <w:p w14:paraId="258053F7">
            <w:pPr>
              <w:widowControl w:val="0"/>
              <w:tabs>
                <w:tab w:val="left" w:pos="1693"/>
              </w:tabs>
              <w:spacing w:line="240" w:lineRule="auto"/>
              <w:jc w:val="center"/>
              <w:rPr>
                <w:color w:val="000000"/>
                <w:sz w:val="20"/>
                <w:szCs w:val="20"/>
                <w:lang w:eastAsia="en-US"/>
              </w:rPr>
            </w:pPr>
            <w:r>
              <w:rPr>
                <w:color w:val="000000"/>
                <w:sz w:val="20"/>
                <w:szCs w:val="20"/>
              </w:rPr>
              <w:t>1.15</w:t>
            </w:r>
          </w:p>
        </w:tc>
      </w:tr>
      <w:tr w14:paraId="2FE4A675">
        <w:tblPrEx>
          <w:tblCellMar>
            <w:top w:w="0" w:type="dxa"/>
            <w:left w:w="0" w:type="dxa"/>
            <w:bottom w:w="0" w:type="dxa"/>
            <w:right w:w="0" w:type="dxa"/>
          </w:tblCellMar>
        </w:tblPrEx>
        <w:trPr>
          <w:trHeight w:val="496" w:hRule="exact"/>
        </w:trPr>
        <w:tc>
          <w:tcPr>
            <w:tcW w:w="148" w:type="pct"/>
            <w:vMerge w:val="continue"/>
            <w:tcBorders>
              <w:left w:val="single" w:color="000000" w:sz="6" w:space="0"/>
              <w:bottom w:val="single" w:color="000000" w:sz="4" w:space="0"/>
              <w:right w:val="single" w:color="000000" w:sz="4" w:space="0"/>
            </w:tcBorders>
            <w:vAlign w:val="center"/>
          </w:tcPr>
          <w:p w14:paraId="719A1EB5">
            <w:pPr>
              <w:widowControl w:val="0"/>
              <w:tabs>
                <w:tab w:val="left" w:pos="1693"/>
              </w:tabs>
              <w:spacing w:line="240" w:lineRule="auto"/>
              <w:jc w:val="center"/>
              <w:rPr>
                <w:color w:val="000000"/>
                <w:sz w:val="20"/>
                <w:szCs w:val="20"/>
                <w:lang w:eastAsia="en-US"/>
              </w:rPr>
            </w:pPr>
          </w:p>
        </w:tc>
        <w:tc>
          <w:tcPr>
            <w:tcW w:w="838" w:type="pct"/>
            <w:tcBorders>
              <w:top w:val="single" w:color="000000" w:sz="4" w:space="0"/>
              <w:left w:val="single" w:color="000000" w:sz="4" w:space="0"/>
              <w:bottom w:val="single" w:color="000000" w:sz="4" w:space="0"/>
              <w:right w:val="single" w:color="000000" w:sz="4" w:space="0"/>
            </w:tcBorders>
            <w:vAlign w:val="center"/>
          </w:tcPr>
          <w:p w14:paraId="4A25B880">
            <w:pPr>
              <w:widowControl w:val="0"/>
              <w:tabs>
                <w:tab w:val="left" w:pos="1693"/>
              </w:tabs>
              <w:spacing w:line="240" w:lineRule="auto"/>
              <w:jc w:val="center"/>
              <w:rPr>
                <w:color w:val="000000"/>
                <w:sz w:val="20"/>
                <w:szCs w:val="20"/>
                <w:lang w:eastAsia="en-US"/>
              </w:rPr>
            </w:pPr>
            <w:r>
              <w:rPr>
                <w:color w:val="000000"/>
                <w:sz w:val="20"/>
                <w:szCs w:val="20"/>
              </w:rPr>
              <w:t>孔隙率（体积%）</w:t>
            </w:r>
          </w:p>
        </w:tc>
        <w:tc>
          <w:tcPr>
            <w:tcW w:w="314" w:type="pct"/>
            <w:tcBorders>
              <w:top w:val="single" w:color="000000" w:sz="4" w:space="0"/>
              <w:left w:val="single" w:color="000000" w:sz="4" w:space="0"/>
              <w:bottom w:val="single" w:color="000000" w:sz="4" w:space="0"/>
              <w:right w:val="single" w:color="000000" w:sz="4" w:space="0"/>
            </w:tcBorders>
            <w:vAlign w:val="center"/>
          </w:tcPr>
          <w:p w14:paraId="70AB3212">
            <w:pPr>
              <w:widowControl w:val="0"/>
              <w:tabs>
                <w:tab w:val="left" w:pos="1693"/>
              </w:tabs>
              <w:spacing w:line="240" w:lineRule="auto"/>
              <w:jc w:val="center"/>
              <w:rPr>
                <w:color w:val="000000"/>
                <w:sz w:val="20"/>
                <w:szCs w:val="20"/>
                <w:lang w:eastAsia="en-US"/>
              </w:rPr>
            </w:pPr>
            <w:r>
              <w:rPr>
                <w:color w:val="000000"/>
                <w:sz w:val="20"/>
                <w:szCs w:val="20"/>
              </w:rPr>
              <w:t>46.2</w:t>
            </w:r>
          </w:p>
        </w:tc>
        <w:tc>
          <w:tcPr>
            <w:tcW w:w="464" w:type="pct"/>
            <w:tcBorders>
              <w:top w:val="single" w:color="000000" w:sz="4" w:space="0"/>
              <w:left w:val="single" w:color="000000" w:sz="4" w:space="0"/>
              <w:bottom w:val="single" w:color="000000" w:sz="4" w:space="0"/>
              <w:right w:val="single" w:color="000000" w:sz="4" w:space="0"/>
            </w:tcBorders>
            <w:vAlign w:val="center"/>
          </w:tcPr>
          <w:p w14:paraId="3772C031">
            <w:pPr>
              <w:widowControl w:val="0"/>
              <w:tabs>
                <w:tab w:val="left" w:pos="1693"/>
              </w:tabs>
              <w:spacing w:line="240" w:lineRule="auto"/>
              <w:jc w:val="center"/>
              <w:rPr>
                <w:color w:val="000000"/>
                <w:sz w:val="20"/>
                <w:szCs w:val="20"/>
                <w:lang w:eastAsia="en-US"/>
              </w:rPr>
            </w:pPr>
            <w:r>
              <w:rPr>
                <w:color w:val="000000"/>
                <w:sz w:val="20"/>
                <w:szCs w:val="20"/>
              </w:rPr>
              <w:t>46.4</w:t>
            </w:r>
          </w:p>
        </w:tc>
        <w:tc>
          <w:tcPr>
            <w:tcW w:w="471" w:type="pct"/>
            <w:tcBorders>
              <w:top w:val="single" w:color="000000" w:sz="4" w:space="0"/>
              <w:left w:val="single" w:color="000000" w:sz="4" w:space="0"/>
              <w:bottom w:val="single" w:color="000000" w:sz="4" w:space="0"/>
              <w:right w:val="single" w:color="000000" w:sz="4" w:space="0"/>
            </w:tcBorders>
            <w:vAlign w:val="center"/>
          </w:tcPr>
          <w:p w14:paraId="09B749F3">
            <w:pPr>
              <w:widowControl w:val="0"/>
              <w:tabs>
                <w:tab w:val="left" w:pos="1693"/>
              </w:tabs>
              <w:spacing w:line="240" w:lineRule="auto"/>
              <w:jc w:val="center"/>
              <w:rPr>
                <w:color w:val="000000"/>
                <w:sz w:val="20"/>
                <w:szCs w:val="20"/>
                <w:lang w:eastAsia="en-US"/>
              </w:rPr>
            </w:pPr>
            <w:r>
              <w:rPr>
                <w:color w:val="000000"/>
                <w:sz w:val="20"/>
                <w:szCs w:val="20"/>
              </w:rPr>
              <w:t>46.5</w:t>
            </w:r>
          </w:p>
        </w:tc>
        <w:tc>
          <w:tcPr>
            <w:tcW w:w="462" w:type="pct"/>
            <w:tcBorders>
              <w:top w:val="single" w:color="000000" w:sz="4" w:space="0"/>
              <w:left w:val="single" w:color="000000" w:sz="4" w:space="0"/>
              <w:bottom w:val="single" w:color="000000" w:sz="4" w:space="0"/>
              <w:right w:val="single" w:color="000000" w:sz="4" w:space="0"/>
            </w:tcBorders>
            <w:vAlign w:val="center"/>
          </w:tcPr>
          <w:p w14:paraId="25F69BA2">
            <w:pPr>
              <w:widowControl w:val="0"/>
              <w:tabs>
                <w:tab w:val="left" w:pos="1693"/>
              </w:tabs>
              <w:spacing w:line="240" w:lineRule="auto"/>
              <w:jc w:val="center"/>
              <w:rPr>
                <w:color w:val="000000"/>
                <w:sz w:val="20"/>
                <w:szCs w:val="20"/>
                <w:lang w:eastAsia="en-US"/>
              </w:rPr>
            </w:pPr>
            <w:r>
              <w:rPr>
                <w:color w:val="000000"/>
                <w:sz w:val="20"/>
                <w:szCs w:val="20"/>
              </w:rPr>
              <w:t>42.2</w:t>
            </w:r>
          </w:p>
        </w:tc>
        <w:tc>
          <w:tcPr>
            <w:tcW w:w="457" w:type="pct"/>
            <w:tcBorders>
              <w:top w:val="single" w:color="000000" w:sz="4" w:space="0"/>
              <w:left w:val="single" w:color="000000" w:sz="4" w:space="0"/>
              <w:bottom w:val="single" w:color="000000" w:sz="4" w:space="0"/>
              <w:right w:val="single" w:color="000000" w:sz="6" w:space="0"/>
            </w:tcBorders>
            <w:vAlign w:val="center"/>
          </w:tcPr>
          <w:p w14:paraId="3EEA7161">
            <w:pPr>
              <w:widowControl w:val="0"/>
              <w:tabs>
                <w:tab w:val="left" w:pos="1693"/>
              </w:tabs>
              <w:spacing w:line="240" w:lineRule="auto"/>
              <w:jc w:val="center"/>
              <w:rPr>
                <w:color w:val="000000"/>
                <w:sz w:val="20"/>
                <w:szCs w:val="20"/>
                <w:lang w:eastAsia="en-US"/>
              </w:rPr>
            </w:pPr>
            <w:r>
              <w:rPr>
                <w:color w:val="000000"/>
                <w:sz w:val="20"/>
                <w:szCs w:val="20"/>
              </w:rPr>
              <w:t>42.7</w:t>
            </w:r>
          </w:p>
        </w:tc>
        <w:tc>
          <w:tcPr>
            <w:tcW w:w="460" w:type="pct"/>
            <w:tcBorders>
              <w:top w:val="single" w:color="000000" w:sz="4" w:space="0"/>
              <w:left w:val="single" w:color="000000" w:sz="4" w:space="0"/>
              <w:bottom w:val="single" w:color="000000" w:sz="4" w:space="0"/>
              <w:right w:val="single" w:color="000000" w:sz="6" w:space="0"/>
            </w:tcBorders>
            <w:vAlign w:val="center"/>
          </w:tcPr>
          <w:p w14:paraId="60500E1F">
            <w:pPr>
              <w:widowControl w:val="0"/>
              <w:tabs>
                <w:tab w:val="left" w:pos="1693"/>
              </w:tabs>
              <w:spacing w:line="240" w:lineRule="auto"/>
              <w:jc w:val="center"/>
              <w:rPr>
                <w:color w:val="000000"/>
                <w:sz w:val="20"/>
                <w:szCs w:val="20"/>
                <w:lang w:eastAsia="en-US"/>
              </w:rPr>
            </w:pPr>
            <w:r>
              <w:rPr>
                <w:color w:val="000000"/>
                <w:sz w:val="20"/>
                <w:szCs w:val="20"/>
              </w:rPr>
              <w:t>42.3</w:t>
            </w:r>
          </w:p>
        </w:tc>
        <w:tc>
          <w:tcPr>
            <w:tcW w:w="459" w:type="pct"/>
            <w:tcBorders>
              <w:top w:val="single" w:color="000000" w:sz="4" w:space="0"/>
              <w:left w:val="single" w:color="000000" w:sz="4" w:space="0"/>
              <w:bottom w:val="single" w:color="000000" w:sz="4" w:space="0"/>
              <w:right w:val="single" w:color="000000" w:sz="6" w:space="0"/>
            </w:tcBorders>
            <w:vAlign w:val="center"/>
          </w:tcPr>
          <w:p w14:paraId="37B8B712">
            <w:pPr>
              <w:widowControl w:val="0"/>
              <w:tabs>
                <w:tab w:val="left" w:pos="1693"/>
              </w:tabs>
              <w:spacing w:line="240" w:lineRule="auto"/>
              <w:jc w:val="center"/>
              <w:rPr>
                <w:color w:val="000000"/>
                <w:sz w:val="20"/>
                <w:szCs w:val="20"/>
                <w:lang w:eastAsia="en-US"/>
              </w:rPr>
            </w:pPr>
            <w:r>
              <w:rPr>
                <w:color w:val="000000"/>
                <w:sz w:val="20"/>
                <w:szCs w:val="20"/>
              </w:rPr>
              <w:t>43.1</w:t>
            </w:r>
          </w:p>
        </w:tc>
        <w:tc>
          <w:tcPr>
            <w:tcW w:w="459" w:type="pct"/>
            <w:tcBorders>
              <w:top w:val="single" w:color="000000" w:sz="4" w:space="0"/>
              <w:left w:val="single" w:color="000000" w:sz="4" w:space="0"/>
              <w:bottom w:val="single" w:color="000000" w:sz="4" w:space="0"/>
              <w:right w:val="single" w:color="000000" w:sz="6" w:space="0"/>
            </w:tcBorders>
            <w:vAlign w:val="center"/>
          </w:tcPr>
          <w:p w14:paraId="77E44438">
            <w:pPr>
              <w:widowControl w:val="0"/>
              <w:tabs>
                <w:tab w:val="left" w:pos="1693"/>
              </w:tabs>
              <w:spacing w:line="240" w:lineRule="auto"/>
              <w:jc w:val="center"/>
              <w:rPr>
                <w:color w:val="000000"/>
                <w:sz w:val="20"/>
                <w:szCs w:val="20"/>
                <w:lang w:eastAsia="en-US"/>
              </w:rPr>
            </w:pPr>
            <w:r>
              <w:rPr>
                <w:color w:val="000000"/>
                <w:sz w:val="20"/>
                <w:szCs w:val="20"/>
              </w:rPr>
              <w:t>43.7</w:t>
            </w:r>
          </w:p>
        </w:tc>
        <w:tc>
          <w:tcPr>
            <w:tcW w:w="463" w:type="pct"/>
            <w:tcBorders>
              <w:top w:val="single" w:color="000000" w:sz="4" w:space="0"/>
              <w:left w:val="single" w:color="000000" w:sz="4" w:space="0"/>
              <w:bottom w:val="single" w:color="000000" w:sz="4" w:space="0"/>
              <w:right w:val="single" w:color="000000" w:sz="6" w:space="0"/>
            </w:tcBorders>
            <w:vAlign w:val="center"/>
          </w:tcPr>
          <w:p w14:paraId="32E9C354">
            <w:pPr>
              <w:widowControl w:val="0"/>
              <w:tabs>
                <w:tab w:val="left" w:pos="1693"/>
              </w:tabs>
              <w:spacing w:line="240" w:lineRule="auto"/>
              <w:jc w:val="center"/>
              <w:rPr>
                <w:color w:val="000000"/>
                <w:sz w:val="20"/>
                <w:szCs w:val="20"/>
                <w:lang w:eastAsia="en-US"/>
              </w:rPr>
            </w:pPr>
            <w:r>
              <w:rPr>
                <w:color w:val="000000"/>
                <w:sz w:val="20"/>
                <w:szCs w:val="20"/>
              </w:rPr>
              <w:t>43.1</w:t>
            </w:r>
          </w:p>
        </w:tc>
      </w:tr>
    </w:tbl>
    <w:p w14:paraId="1949AF4E">
      <w:pPr>
        <w:pStyle w:val="897"/>
        <w:rPr>
          <w:color w:val="000000"/>
          <w:sz w:val="24"/>
          <w:szCs w:val="24"/>
        </w:rPr>
      </w:pPr>
      <w:r>
        <w:rPr>
          <w:color w:val="000000"/>
          <w:sz w:val="24"/>
          <w:szCs w:val="24"/>
          <w:lang w:val="en-US"/>
        </w:rPr>
        <w:t>5.2.6.2.2</w:t>
      </w:r>
      <w:r>
        <w:rPr>
          <w:color w:val="000000"/>
          <w:sz w:val="24"/>
          <w:szCs w:val="24"/>
        </w:rPr>
        <w:t>利用状况调查</w:t>
      </w:r>
    </w:p>
    <w:p w14:paraId="29924865">
      <w:pPr>
        <w:ind w:firstLine="480"/>
        <w:rPr>
          <w:color w:val="000000"/>
          <w:szCs w:val="24"/>
          <w:lang w:val="zh-CN"/>
        </w:rPr>
      </w:pPr>
      <w:r>
        <w:rPr>
          <w:color w:val="000000"/>
        </w:rPr>
        <w:t>重庆白涛化工园区</w:t>
      </w:r>
      <w:r>
        <w:rPr>
          <w:color w:val="000000"/>
          <w:szCs w:val="24"/>
          <w:lang w:val="zh-CN"/>
        </w:rPr>
        <w:t>规划范围建设用地</w:t>
      </w:r>
      <w:r>
        <w:rPr>
          <w:color w:val="000000"/>
          <w:szCs w:val="24"/>
        </w:rPr>
        <w:t>13.04</w:t>
      </w:r>
      <w:r>
        <w:rPr>
          <w:color w:val="000000"/>
          <w:szCs w:val="24"/>
          <w:lang w:val="zh-CN"/>
        </w:rPr>
        <w:t>km</w:t>
      </w:r>
      <w:r>
        <w:rPr>
          <w:color w:val="000000"/>
          <w:szCs w:val="24"/>
          <w:vertAlign w:val="superscript"/>
          <w:lang w:val="zh-CN"/>
        </w:rPr>
        <w:t>2</w:t>
      </w:r>
      <w:r>
        <w:rPr>
          <w:color w:val="000000"/>
          <w:szCs w:val="24"/>
          <w:lang w:val="zh-CN"/>
        </w:rPr>
        <w:t>，园区已开发建设用地约</w:t>
      </w:r>
      <w:r>
        <w:rPr>
          <w:color w:val="000000"/>
          <w:szCs w:val="24"/>
        </w:rPr>
        <w:t>9.324</w:t>
      </w:r>
      <w:r>
        <w:rPr>
          <w:color w:val="000000"/>
          <w:szCs w:val="24"/>
          <w:lang w:val="zh-CN"/>
        </w:rPr>
        <w:t>km</w:t>
      </w:r>
      <w:r>
        <w:rPr>
          <w:color w:val="000000"/>
          <w:szCs w:val="24"/>
          <w:vertAlign w:val="superscript"/>
          <w:lang w:val="zh-CN"/>
        </w:rPr>
        <w:t>2</w:t>
      </w:r>
      <w:r>
        <w:rPr>
          <w:color w:val="000000"/>
          <w:szCs w:val="24"/>
          <w:lang w:val="zh-CN"/>
        </w:rPr>
        <w:t>。</w:t>
      </w:r>
    </w:p>
    <w:p w14:paraId="5BCDB024">
      <w:pPr>
        <w:ind w:firstLine="480"/>
        <w:rPr>
          <w:color w:val="000000"/>
          <w:szCs w:val="24"/>
        </w:rPr>
      </w:pPr>
      <w:r>
        <w:rPr>
          <w:color w:val="000000"/>
        </w:rPr>
        <w:t>项目厂区以前为农村用地，2008年园区成立后规划为工业用地，于2015年建成重庆中石化通汇能源有限公司厂区。</w:t>
      </w:r>
    </w:p>
    <w:p w14:paraId="499AD9DE">
      <w:pPr>
        <w:pStyle w:val="897"/>
        <w:rPr>
          <w:color w:val="000000"/>
          <w:sz w:val="24"/>
          <w:szCs w:val="24"/>
        </w:rPr>
      </w:pPr>
      <w:r>
        <w:rPr>
          <w:color w:val="000000"/>
          <w:sz w:val="24"/>
          <w:szCs w:val="24"/>
          <w:lang w:val="en-US"/>
        </w:rPr>
        <w:t>5.2.6.2.3</w:t>
      </w:r>
      <w:r>
        <w:rPr>
          <w:color w:val="000000"/>
          <w:sz w:val="24"/>
          <w:szCs w:val="24"/>
        </w:rPr>
        <w:t>土壤</w:t>
      </w:r>
      <w:r>
        <w:rPr>
          <w:color w:val="000000"/>
          <w:sz w:val="24"/>
          <w:szCs w:val="24"/>
          <w:lang w:val="en-US"/>
        </w:rPr>
        <w:t>周边</w:t>
      </w:r>
      <w:r>
        <w:rPr>
          <w:color w:val="000000"/>
          <w:sz w:val="24"/>
          <w:szCs w:val="24"/>
        </w:rPr>
        <w:t>污染源调查</w:t>
      </w:r>
    </w:p>
    <w:p w14:paraId="64B83912">
      <w:pPr>
        <w:ind w:firstLine="480"/>
        <w:rPr>
          <w:color w:val="000000"/>
        </w:rPr>
      </w:pPr>
      <w:r>
        <w:rPr>
          <w:color w:val="000000"/>
        </w:rPr>
        <w:t>结合工程分析内容，拟建项目位于重庆白涛化工园区现有涪陵LNG工厂内。据现场调查，拟建项目评价范围内分布土壤污染源主要为现有涪陵LNG工厂污染源和龙冉能源陵LNG厂污染源。</w:t>
      </w:r>
    </w:p>
    <w:p w14:paraId="132A2503">
      <w:pPr>
        <w:pStyle w:val="27"/>
        <w:rPr>
          <w:color w:val="000000"/>
        </w:rPr>
      </w:pPr>
      <w:r>
        <w:rPr>
          <w:color w:val="000000"/>
        </w:rPr>
        <w:t>工业污染源：主要包括评价范围内现有工业企业排放的废气污染物、废水污染物，其中废气污染物主要包括SO</w:t>
      </w:r>
      <w:r>
        <w:rPr>
          <w:color w:val="000000"/>
          <w:vertAlign w:val="subscript"/>
        </w:rPr>
        <w:t>2</w:t>
      </w:r>
      <w:r>
        <w:rPr>
          <w:color w:val="000000"/>
        </w:rPr>
        <w:t>、NOx、颗粒物、硫化氢、非甲烷总烃、VOCs等，废水污染物主要包括COD、BOD</w:t>
      </w:r>
      <w:r>
        <w:rPr>
          <w:color w:val="000000"/>
          <w:vertAlign w:val="subscript"/>
        </w:rPr>
        <w:t>5</w:t>
      </w:r>
      <w:r>
        <w:rPr>
          <w:color w:val="000000"/>
        </w:rPr>
        <w:t>、SS、氨氮、动植物油、石油类等。</w:t>
      </w:r>
    </w:p>
    <w:p w14:paraId="50F9DB92">
      <w:pPr>
        <w:ind w:firstLine="480"/>
        <w:rPr>
          <w:color w:val="000000"/>
        </w:rPr>
      </w:pPr>
      <w:r>
        <w:rPr>
          <w:color w:val="000000"/>
        </w:rPr>
        <w:t>污染途径包括：废气污染物经排气筒排放后在大气沉降作用下进入土壤，各类废水收集设施、涉及液体的生产装置发生渗漏引起废水污染物进入土壤。其中废气污染物对土壤的污染不仅局限于厂区内，还包括各企业厂区外区域。</w:t>
      </w:r>
    </w:p>
    <w:p w14:paraId="2AC37A46">
      <w:pPr>
        <w:pStyle w:val="897"/>
        <w:rPr>
          <w:color w:val="000000"/>
          <w:sz w:val="24"/>
          <w:szCs w:val="24"/>
        </w:rPr>
      </w:pPr>
      <w:r>
        <w:rPr>
          <w:color w:val="000000"/>
          <w:sz w:val="24"/>
          <w:szCs w:val="24"/>
          <w:lang w:val="en-US"/>
        </w:rPr>
        <w:t>5.2.6.2.4</w:t>
      </w:r>
      <w:r>
        <w:rPr>
          <w:color w:val="000000"/>
          <w:sz w:val="24"/>
          <w:szCs w:val="24"/>
        </w:rPr>
        <w:t>土壤质量现状</w:t>
      </w:r>
    </w:p>
    <w:p w14:paraId="5457BC1F">
      <w:pPr>
        <w:ind w:firstLine="480"/>
        <w:rPr>
          <w:color w:val="000000"/>
          <w:spacing w:val="-1"/>
        </w:rPr>
      </w:pPr>
      <w:r>
        <w:rPr>
          <w:color w:val="000000"/>
        </w:rPr>
        <w:t>根据本次评价对项目所在地及周边的土壤环境质量现状监测和调查结果，评价范围内土壤环境质量满足《土壤环境质量 建设用地土壤污染风险管控标准（试行）》（GB36600-2018）第二类用地筛选值标准。</w:t>
      </w:r>
      <w:r>
        <w:rPr>
          <w:color w:val="000000"/>
          <w:szCs w:val="24"/>
        </w:rPr>
        <w:t>目前场地内以及现有工程影响范围内的土壤均未受到企业现有工程排污的影响。</w:t>
      </w:r>
    </w:p>
    <w:p w14:paraId="3594C2E7">
      <w:pPr>
        <w:pStyle w:val="897"/>
        <w:outlineLvl w:val="3"/>
        <w:rPr>
          <w:color w:val="000000"/>
          <w:sz w:val="24"/>
          <w:szCs w:val="24"/>
        </w:rPr>
      </w:pPr>
      <w:bookmarkStart w:id="648" w:name="_Toc15499360"/>
      <w:bookmarkStart w:id="649" w:name="_Toc21961479"/>
      <w:bookmarkStart w:id="650" w:name="_Toc15499600"/>
      <w:r>
        <w:rPr>
          <w:color w:val="000000"/>
          <w:sz w:val="24"/>
          <w:szCs w:val="24"/>
          <w:lang w:val="en-US"/>
        </w:rPr>
        <w:t>5.2.6.3</w:t>
      </w:r>
      <w:r>
        <w:rPr>
          <w:color w:val="000000"/>
          <w:sz w:val="24"/>
          <w:szCs w:val="24"/>
        </w:rPr>
        <w:t>土壤环境影响</w:t>
      </w:r>
      <w:bookmarkEnd w:id="648"/>
      <w:bookmarkEnd w:id="649"/>
      <w:bookmarkEnd w:id="650"/>
      <w:r>
        <w:rPr>
          <w:color w:val="000000"/>
          <w:sz w:val="24"/>
          <w:szCs w:val="24"/>
        </w:rPr>
        <w:t>分析</w:t>
      </w:r>
    </w:p>
    <w:p w14:paraId="5B75822A">
      <w:pPr>
        <w:ind w:firstLine="480"/>
        <w:rPr>
          <w:color w:val="000000"/>
        </w:rPr>
      </w:pPr>
      <w:r>
        <w:rPr>
          <w:color w:val="000000"/>
        </w:rPr>
        <w:t>（1）大气沉降</w:t>
      </w:r>
    </w:p>
    <w:p w14:paraId="362B1DCE">
      <w:pPr>
        <w:tabs>
          <w:tab w:val="left" w:pos="993"/>
        </w:tabs>
        <w:ind w:firstLine="480"/>
        <w:rPr>
          <w:color w:val="000000"/>
        </w:rPr>
      </w:pPr>
      <w:r>
        <w:rPr>
          <w:color w:val="000000"/>
        </w:rPr>
        <w:t>拟建项目排放的大气污染物主要为颗粒物、SO</w:t>
      </w:r>
      <w:r>
        <w:rPr>
          <w:color w:val="000000"/>
          <w:vertAlign w:val="subscript"/>
        </w:rPr>
        <w:t>2</w:t>
      </w:r>
      <w:r>
        <w:rPr>
          <w:color w:val="000000"/>
        </w:rPr>
        <w:t>、NOx等，不涉及重金属等排放，不涉及《土壤环境质量 建设用地土壤污染风险管控标准（试行）》（GB36600-2018）的因子。</w:t>
      </w:r>
    </w:p>
    <w:p w14:paraId="388B40C0">
      <w:pPr>
        <w:tabs>
          <w:tab w:val="left" w:pos="993"/>
        </w:tabs>
        <w:ind w:firstLine="480"/>
        <w:rPr>
          <w:color w:val="000000"/>
        </w:rPr>
      </w:pPr>
      <w:r>
        <w:rPr>
          <w:color w:val="000000"/>
        </w:rPr>
        <w:t>各大气污染物的排放浓度及速率均满足相应排放标准要求，根据大气预测结果，年均浓度贡献值均很小，沉降到土壤的输入量很小，在土壤吸附、络合、沉淀和阻留作用下，迁移速度较缓慢，大部分残留在土壤耕作层，极少向下层土壤迁移，故大气沉降对土壤影响较小。</w:t>
      </w:r>
    </w:p>
    <w:p w14:paraId="501DF45C">
      <w:pPr>
        <w:tabs>
          <w:tab w:val="left" w:pos="993"/>
        </w:tabs>
        <w:ind w:firstLine="480"/>
        <w:rPr>
          <w:color w:val="000000"/>
        </w:rPr>
      </w:pPr>
      <w:r>
        <w:rPr>
          <w:color w:val="000000"/>
        </w:rPr>
        <w:t>（2）地面漫流</w:t>
      </w:r>
    </w:p>
    <w:p w14:paraId="4AD1E85D">
      <w:pPr>
        <w:tabs>
          <w:tab w:val="left" w:pos="993"/>
        </w:tabs>
        <w:ind w:firstLine="480"/>
        <w:rPr>
          <w:color w:val="000000"/>
        </w:rPr>
      </w:pPr>
      <w:r>
        <w:rPr>
          <w:color w:val="000000"/>
        </w:rPr>
        <w:t>厂区内地上设施，在消防事故情况及降雨时产生的事故废水可能会发生地面漫流，进一步污染土壤。建设单位依据相关环保要求，建立从污染源头、过程处理和最终排放的二级防控体系，其中一防控系统为对提氦装置区内地面、地沟、收集井均进行防腐、防渗处理地面防渗，对危险品库房、危废暂存间等防腐、防渗处理，二级防控系统为</w:t>
      </w:r>
      <w:r>
        <w:rPr>
          <w:rFonts w:hint="eastAsia"/>
          <w:color w:val="000000"/>
        </w:rPr>
        <w:t>设置初期雨水池、</w:t>
      </w:r>
      <w:r>
        <w:rPr>
          <w:color w:val="000000"/>
        </w:rPr>
        <w:t>事故水池。项目通过二级防控系统，可将消防事故状态下事故废水控制在</w:t>
      </w:r>
      <w:r>
        <w:rPr>
          <w:rFonts w:hint="eastAsia"/>
          <w:color w:val="000000"/>
        </w:rPr>
        <w:t>厂区</w:t>
      </w:r>
      <w:r>
        <w:rPr>
          <w:color w:val="000000"/>
        </w:rPr>
        <w:t>内。若出现极端事故工况，当事故应急池发出高液位预警时，将事故废水导入园区事故应急池，确保事故废水不会发生地面漫流，进入土壤。在全面落实三级防控措施的情况下，初期雨水及事故废水的地面漫流对土壤影响较小。</w:t>
      </w:r>
    </w:p>
    <w:p w14:paraId="217A0479">
      <w:pPr>
        <w:tabs>
          <w:tab w:val="left" w:pos="993"/>
        </w:tabs>
        <w:ind w:firstLine="480"/>
        <w:rPr>
          <w:color w:val="000000"/>
        </w:rPr>
      </w:pPr>
      <w:r>
        <w:rPr>
          <w:color w:val="000000"/>
        </w:rPr>
        <w:t>（3）垂直入渗</w:t>
      </w:r>
    </w:p>
    <w:p w14:paraId="1FB2AE5A">
      <w:pPr>
        <w:tabs>
          <w:tab w:val="left" w:pos="993"/>
        </w:tabs>
        <w:ind w:firstLine="480"/>
        <w:rPr>
          <w:color w:val="000000"/>
        </w:rPr>
      </w:pPr>
      <w:r>
        <w:rPr>
          <w:color w:val="000000"/>
        </w:rPr>
        <w:t>对于厂区内地下或半地下工程构筑物，在事故情况下，会造成物料、污染物等的泄漏，通过垂直入渗途径污染土壤。厂区按《石油化工工程防渗技术规范》、《危险废物贮存污染控制标准》进行分区防渗。在全面落实分区防渗措施的情况下，物料或污染物的垂直入渗对土壤影响较小。</w:t>
      </w:r>
    </w:p>
    <w:p w14:paraId="2226DC1C">
      <w:pPr>
        <w:pStyle w:val="897"/>
        <w:outlineLvl w:val="3"/>
        <w:rPr>
          <w:color w:val="000000"/>
          <w:sz w:val="24"/>
          <w:szCs w:val="24"/>
        </w:rPr>
      </w:pPr>
      <w:r>
        <w:rPr>
          <w:color w:val="000000"/>
          <w:sz w:val="24"/>
          <w:szCs w:val="24"/>
          <w:lang w:val="en-US"/>
        </w:rPr>
        <w:t>5.2.6.4</w:t>
      </w:r>
      <w:r>
        <w:rPr>
          <w:color w:val="000000"/>
          <w:sz w:val="24"/>
          <w:szCs w:val="24"/>
        </w:rPr>
        <w:t>小结</w:t>
      </w:r>
    </w:p>
    <w:p w14:paraId="697FA22F">
      <w:pPr>
        <w:tabs>
          <w:tab w:val="left" w:pos="993"/>
        </w:tabs>
        <w:ind w:firstLine="480"/>
        <w:rPr>
          <w:color w:val="000000"/>
        </w:rPr>
      </w:pPr>
      <w:r>
        <w:rPr>
          <w:color w:val="000000"/>
        </w:rPr>
        <w:t>评价范围内土壤环境质量满足《土壤环境质量 建设用地土壤污染风险管控标准（试行）》（GB36600-2018）第二类用地筛选值标准，区域土壤环境现状较好。污染物通过大气沉降途径，对土壤环境影响较小，采取相应措施后通过地面漫流、垂直入渗途径对土壤环境影响较小。</w:t>
      </w:r>
    </w:p>
    <w:p w14:paraId="608D60F7">
      <w:pPr>
        <w:pStyle w:val="771"/>
        <w:rPr>
          <w:color w:val="000000"/>
        </w:rPr>
      </w:pPr>
      <w:r>
        <w:rPr>
          <w:color w:val="000000"/>
        </w:rPr>
        <w:t>5.2.7 生态环境影响分析</w:t>
      </w:r>
    </w:p>
    <w:p w14:paraId="247CE7F4">
      <w:pPr>
        <w:tabs>
          <w:tab w:val="left" w:pos="993"/>
        </w:tabs>
        <w:ind w:firstLine="480"/>
        <w:rPr>
          <w:color w:val="000000"/>
        </w:rPr>
      </w:pPr>
      <w:r>
        <w:rPr>
          <w:color w:val="000000"/>
        </w:rPr>
        <w:t>拟建项目位于白涛化工园区涪陵LNG工厂内，场地已硬化，为工业工地。区域生态结构简单，评价范围内无珍稀野生动植物分布。项目建设营运后，废水、废气经有效环保措施治理后达标排放，不会对区域水生、陆生生态环境造成不良影响，项目运行对区域生态环境影响较小。</w:t>
      </w:r>
    </w:p>
    <w:p w14:paraId="55F44922">
      <w:pPr>
        <w:tabs>
          <w:tab w:val="left" w:pos="993"/>
        </w:tabs>
        <w:rPr>
          <w:color w:val="000000"/>
        </w:rPr>
      </w:pPr>
    </w:p>
    <w:p w14:paraId="4FD8FCDB">
      <w:pPr>
        <w:tabs>
          <w:tab w:val="left" w:pos="993"/>
        </w:tabs>
        <w:ind w:firstLine="480"/>
        <w:rPr>
          <w:color w:val="000000"/>
        </w:rPr>
      </w:pPr>
    </w:p>
    <w:p w14:paraId="6CCBA520">
      <w:pPr>
        <w:ind w:firstLine="480"/>
        <w:rPr>
          <w:color w:val="000000"/>
        </w:rPr>
        <w:sectPr>
          <w:pgSz w:w="11905" w:h="16838"/>
          <w:pgMar w:top="1440" w:right="1803" w:bottom="1440" w:left="1803" w:header="850" w:footer="907" w:gutter="0"/>
          <w:cols w:space="720" w:num="1"/>
          <w:docGrid w:type="lines" w:linePitch="332" w:charSpace="0"/>
        </w:sectPr>
      </w:pPr>
    </w:p>
    <w:p w14:paraId="14E9532F">
      <w:pPr>
        <w:pStyle w:val="781"/>
        <w:rPr>
          <w:color w:val="000000"/>
        </w:rPr>
      </w:pPr>
      <w:bookmarkStart w:id="651" w:name="_Toc9489"/>
      <w:r>
        <w:rPr>
          <w:color w:val="000000"/>
        </w:rPr>
        <w:t>6 环境风险评价</w:t>
      </w:r>
      <w:bookmarkEnd w:id="646"/>
      <w:bookmarkEnd w:id="647"/>
      <w:bookmarkEnd w:id="651"/>
    </w:p>
    <w:p w14:paraId="08ABA668">
      <w:pPr>
        <w:pStyle w:val="770"/>
        <w:rPr>
          <w:color w:val="000000"/>
        </w:rPr>
      </w:pPr>
      <w:bookmarkStart w:id="652" w:name="_Toc323997324"/>
      <w:bookmarkStart w:id="653" w:name="_Toc500376046"/>
      <w:bookmarkStart w:id="654" w:name="_Toc6522"/>
      <w:r>
        <w:rPr>
          <w:color w:val="000000"/>
        </w:rPr>
        <w:t>6.1 评价目的、重点</w:t>
      </w:r>
      <w:bookmarkEnd w:id="652"/>
      <w:bookmarkEnd w:id="653"/>
      <w:r>
        <w:rPr>
          <w:color w:val="000000"/>
        </w:rPr>
        <w:t>和程序</w:t>
      </w:r>
      <w:bookmarkEnd w:id="654"/>
    </w:p>
    <w:p w14:paraId="010BED9D">
      <w:pPr>
        <w:pStyle w:val="771"/>
        <w:rPr>
          <w:color w:val="000000"/>
        </w:rPr>
      </w:pPr>
      <w:r>
        <w:rPr>
          <w:color w:val="000000"/>
        </w:rPr>
        <w:t>6.1.1评价目的</w:t>
      </w:r>
    </w:p>
    <w:p w14:paraId="342E7E7A">
      <w:pPr>
        <w:ind w:firstLine="480"/>
        <w:rPr>
          <w:color w:val="000000"/>
        </w:rPr>
      </w:pPr>
      <w:r>
        <w:rPr>
          <w:color w:val="000000"/>
        </w:rPr>
        <w:t>环境风险评价的目的是：分析和预测建设项目存在的潜在危险、有害因素，建设项目建设和运行期间可能发生的突发性事件或事故，引起有毒有害和易燃易爆等物质泄漏，所造成的人身安全与环境影响和损害程度，提出合理可行的预防、控制与减缓措施，使建设项目事故率、损失和环境影响达到可接受水平。</w:t>
      </w:r>
    </w:p>
    <w:p w14:paraId="79133B77">
      <w:pPr>
        <w:pStyle w:val="771"/>
        <w:rPr>
          <w:color w:val="000000"/>
        </w:rPr>
      </w:pPr>
      <w:r>
        <w:rPr>
          <w:color w:val="000000"/>
        </w:rPr>
        <w:t>6.1.2评价重点</w:t>
      </w:r>
    </w:p>
    <w:p w14:paraId="7B0E9CF2">
      <w:pPr>
        <w:ind w:firstLine="480"/>
        <w:rPr>
          <w:color w:val="000000"/>
        </w:rPr>
      </w:pPr>
      <w:r>
        <w:rPr>
          <w:color w:val="000000"/>
        </w:rPr>
        <w:t>环境风险评价的重点是：通过对本项目的风险调查、判别环境风险潜势、确定风险评价等级、识别主要危险单元、找出风险事故原因及其对环境产生的影响，最后提出风险预防、控制、减缓措施，明确环境风险监控及应急建议的要求，为建设项目环境风险防控提供科学依据。</w:t>
      </w:r>
    </w:p>
    <w:p w14:paraId="688A5CB2">
      <w:pPr>
        <w:pStyle w:val="771"/>
        <w:rPr>
          <w:color w:val="000000"/>
        </w:rPr>
      </w:pPr>
      <w:r>
        <w:rPr>
          <w:color w:val="000000"/>
        </w:rPr>
        <w:t>6.1.3评价程序</w:t>
      </w:r>
    </w:p>
    <w:p w14:paraId="2F93C87F">
      <w:pPr>
        <w:ind w:firstLine="480"/>
        <w:rPr>
          <w:color w:val="000000"/>
        </w:rPr>
      </w:pPr>
      <w:r>
        <w:rPr>
          <w:color w:val="000000"/>
        </w:rPr>
        <w:t>根据《建设项目环境风险评价技术导则》（HJ 169-2018）的规定，环境风险评价程序详见下图6.1.3-1。</w:t>
      </w:r>
    </w:p>
    <w:p w14:paraId="01034526">
      <w:pPr>
        <w:jc w:val="center"/>
        <w:rPr>
          <w:color w:val="000000"/>
          <w:szCs w:val="24"/>
        </w:rPr>
      </w:pPr>
      <w:r>
        <w:rPr>
          <w:color w:val="000000"/>
          <w:szCs w:val="24"/>
        </w:rPr>
        <w:drawing>
          <wp:inline distT="0" distB="0" distL="0" distR="0">
            <wp:extent cx="3448050" cy="3505200"/>
            <wp:effectExtent l="19050" t="0" r="0" b="0"/>
            <wp:docPr id="1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
                    <pic:cNvPicPr>
                      <a:picLocks noChangeAspect="1" noChangeArrowheads="1"/>
                    </pic:cNvPicPr>
                  </pic:nvPicPr>
                  <pic:blipFill>
                    <a:blip r:embed="rId39"/>
                    <a:srcRect l="6786" r="13570"/>
                    <a:stretch>
                      <a:fillRect/>
                    </a:stretch>
                  </pic:blipFill>
                  <pic:spPr>
                    <a:xfrm>
                      <a:off x="0" y="0"/>
                      <a:ext cx="3448050" cy="3505200"/>
                    </a:xfrm>
                    <a:prstGeom prst="rect">
                      <a:avLst/>
                    </a:prstGeom>
                    <a:noFill/>
                    <a:ln w="9525">
                      <a:noFill/>
                      <a:miter lim="800000"/>
                      <a:headEnd/>
                      <a:tailEnd/>
                    </a:ln>
                  </pic:spPr>
                </pic:pic>
              </a:graphicData>
            </a:graphic>
          </wp:inline>
        </w:drawing>
      </w:r>
    </w:p>
    <w:p w14:paraId="7D09DF0A">
      <w:pPr>
        <w:jc w:val="center"/>
        <w:rPr>
          <w:color w:val="000000"/>
        </w:rPr>
      </w:pPr>
      <w:r>
        <w:rPr>
          <w:color w:val="000000"/>
        </w:rPr>
        <w:t>图6.1.3-1  环境风险评价工作程序图</w:t>
      </w:r>
    </w:p>
    <w:p w14:paraId="04BFC853">
      <w:pPr>
        <w:pStyle w:val="770"/>
        <w:rPr>
          <w:color w:val="000000"/>
        </w:rPr>
      </w:pPr>
      <w:bookmarkStart w:id="655" w:name="_Toc15499367"/>
      <w:bookmarkStart w:id="656" w:name="_Toc11314"/>
      <w:bookmarkStart w:id="657" w:name="_Toc21961486"/>
      <w:bookmarkStart w:id="658" w:name="_Toc15499607"/>
      <w:r>
        <w:rPr>
          <w:color w:val="000000"/>
        </w:rPr>
        <w:t>6.2 环境风险调查及风险潜势初判</w:t>
      </w:r>
      <w:bookmarkEnd w:id="655"/>
      <w:bookmarkEnd w:id="656"/>
      <w:bookmarkEnd w:id="657"/>
      <w:bookmarkEnd w:id="658"/>
    </w:p>
    <w:p w14:paraId="71B1EC17">
      <w:pPr>
        <w:pStyle w:val="785"/>
        <w:rPr>
          <w:color w:val="000000"/>
          <w:lang w:val="en-US"/>
        </w:rPr>
      </w:pPr>
      <w:r>
        <w:rPr>
          <w:color w:val="000000"/>
          <w:lang w:val="en-US"/>
        </w:rPr>
        <w:t>6.2.1环境风险调查</w:t>
      </w:r>
    </w:p>
    <w:p w14:paraId="41D714F3">
      <w:pPr>
        <w:ind w:firstLine="480"/>
        <w:rPr>
          <w:color w:val="000000"/>
        </w:rPr>
      </w:pPr>
      <w:r>
        <w:rPr>
          <w:color w:val="000000"/>
        </w:rPr>
        <w:t>根据拟建项目危险物质数量和分布情况、生产工艺特点，本项目运行过程中投入、产出及生产过程中涉及的物料（物质）主要包括：①原料：BOG尾气；②辅料：液氧、液氮；“三废”涉及的物质主要包括：①废气：含甲烷、氮气等的尾气；②废水：除氢系统中由水分离器排放的液态水；③固废：废催化剂、废干燥剂、废吸附剂等。</w:t>
      </w:r>
    </w:p>
    <w:p w14:paraId="7456C767">
      <w:pPr>
        <w:ind w:firstLine="480"/>
        <w:rPr>
          <w:color w:val="000000"/>
        </w:rPr>
      </w:pPr>
      <w:r>
        <w:rPr>
          <w:color w:val="000000"/>
        </w:rPr>
        <w:t>根据上述调查，结合《建设项目环境风险评价技术导则》（HJ169 2018）附录B、GB3000.18、GB30000.28，确定拟建项目涉及的危险物质主要为BOG尾气（含氢、甲烷等）、含甲烷尾气，对应的危险性生产系统为提氦装置区。</w:t>
      </w:r>
    </w:p>
    <w:p w14:paraId="02B4F1D2">
      <w:pPr>
        <w:pStyle w:val="785"/>
        <w:rPr>
          <w:color w:val="000000"/>
        </w:rPr>
      </w:pPr>
      <w:r>
        <w:rPr>
          <w:color w:val="000000"/>
          <w:lang w:val="en-US"/>
        </w:rPr>
        <w:t>6.2.2</w:t>
      </w:r>
      <w:r>
        <w:rPr>
          <w:color w:val="000000"/>
        </w:rPr>
        <w:t>危险物质数量与临界量比值（Q）</w:t>
      </w:r>
    </w:p>
    <w:p w14:paraId="4ACDD381">
      <w:pPr>
        <w:ind w:firstLine="480"/>
        <w:rPr>
          <w:color w:val="000000"/>
        </w:rPr>
      </w:pPr>
      <w:r>
        <w:rPr>
          <w:color w:val="000000"/>
        </w:rPr>
        <w:t>根据《建设项目环境风险评价技术导则》（HJ169 2018），计算所涉及的每种危险物质在厂界内的最大存在总量与其在附录B中对应临界量的比值Q。在不同厂区的同一种物质，按其在厂界内的最大存在总量计算。</w:t>
      </w:r>
    </w:p>
    <w:p w14:paraId="0A954A49">
      <w:pPr>
        <w:ind w:firstLine="480"/>
        <w:rPr>
          <w:color w:val="000000"/>
        </w:rPr>
      </w:pPr>
      <w:r>
        <w:rPr>
          <w:color w:val="000000"/>
        </w:rPr>
        <w:t>当只涉及一种危险物质时，计算该物质的总量与其临界量比值，即为Q；</w:t>
      </w:r>
    </w:p>
    <w:p w14:paraId="270D1FC7">
      <w:pPr>
        <w:ind w:firstLine="480"/>
        <w:rPr>
          <w:color w:val="000000"/>
        </w:rPr>
      </w:pPr>
      <w:r>
        <w:rPr>
          <w:color w:val="000000"/>
        </w:rPr>
        <w:t>当存在多种危险物质时，则按下式计算物质总量与其临界量比值Q；</w:t>
      </w:r>
    </w:p>
    <w:p w14:paraId="793C8CA3">
      <w:pPr>
        <w:jc w:val="center"/>
        <w:rPr>
          <w:color w:val="000000"/>
        </w:rPr>
      </w:pPr>
      <w:r>
        <w:rPr>
          <w:color w:val="000000"/>
        </w:rPr>
        <w:t>Q=q1/Q1+ q2/Q2……+ qn/Qn</w:t>
      </w:r>
    </w:p>
    <w:p w14:paraId="1AAA2E44">
      <w:pPr>
        <w:ind w:firstLine="480"/>
        <w:rPr>
          <w:color w:val="000000"/>
        </w:rPr>
      </w:pPr>
      <w:r>
        <w:rPr>
          <w:color w:val="000000"/>
        </w:rPr>
        <w:t>式中：q1、q2…，qn——为每种危险物质最大存在总量，t。</w:t>
      </w:r>
    </w:p>
    <w:p w14:paraId="33029A28">
      <w:pPr>
        <w:ind w:firstLine="480"/>
        <w:rPr>
          <w:color w:val="000000"/>
        </w:rPr>
      </w:pPr>
      <w:r>
        <w:rPr>
          <w:color w:val="000000"/>
        </w:rPr>
        <w:t>Q1、Q2…Qn——每种危险物质的临界量，t。</w:t>
      </w:r>
    </w:p>
    <w:p w14:paraId="79C973CC">
      <w:pPr>
        <w:ind w:firstLine="480"/>
        <w:rPr>
          <w:color w:val="000000"/>
        </w:rPr>
      </w:pPr>
      <w:r>
        <w:rPr>
          <w:color w:val="000000"/>
        </w:rPr>
        <w:t>当Q&lt;1时，该项目环境风险潜势为</w:t>
      </w:r>
      <w:r>
        <w:rPr>
          <w:color w:val="000000"/>
        </w:rPr>
        <w:fldChar w:fldCharType="begin"/>
      </w:r>
      <w:r>
        <w:rPr>
          <w:color w:val="000000"/>
        </w:rPr>
        <w:instrText xml:space="preserve"> = 1 \* ROMAN </w:instrText>
      </w:r>
      <w:r>
        <w:rPr>
          <w:color w:val="000000"/>
        </w:rPr>
        <w:fldChar w:fldCharType="separate"/>
      </w:r>
      <w:r>
        <w:rPr>
          <w:color w:val="000000"/>
        </w:rPr>
        <w:t>I</w:t>
      </w:r>
      <w:r>
        <w:rPr>
          <w:color w:val="000000"/>
        </w:rPr>
        <w:fldChar w:fldCharType="end"/>
      </w:r>
      <w:r>
        <w:rPr>
          <w:color w:val="000000"/>
        </w:rPr>
        <w:t>。</w:t>
      </w:r>
    </w:p>
    <w:p w14:paraId="47E6C768">
      <w:pPr>
        <w:ind w:firstLine="480"/>
        <w:rPr>
          <w:color w:val="000000"/>
        </w:rPr>
      </w:pPr>
      <w:r>
        <w:rPr>
          <w:color w:val="000000"/>
        </w:rPr>
        <w:t>当Q≥1时，将Q值划分为：（1）1≤Q&lt;10；（2）10≤Q&lt;100；（3）Q≥100。</w:t>
      </w:r>
    </w:p>
    <w:p w14:paraId="1C1D9C3F">
      <w:pPr>
        <w:ind w:firstLine="480"/>
        <w:rPr>
          <w:color w:val="000000"/>
        </w:rPr>
      </w:pPr>
    </w:p>
    <w:p w14:paraId="55BE7F0A">
      <w:pPr>
        <w:pStyle w:val="2"/>
        <w:ind w:left="0" w:leftChars="0" w:firstLine="0" w:firstLineChars="0"/>
        <w:rPr>
          <w:rFonts w:ascii="Times New Roman" w:hAnsi="Times New Roman" w:cs="Times New Roman"/>
          <w:color w:val="000000"/>
        </w:rPr>
        <w:sectPr>
          <w:pgSz w:w="11905" w:h="16838"/>
          <w:pgMar w:top="1440" w:right="1803" w:bottom="1440" w:left="1803" w:header="850" w:footer="907" w:gutter="0"/>
          <w:cols w:space="720" w:num="1"/>
          <w:docGrid w:type="lines" w:linePitch="332" w:charSpace="0"/>
        </w:sectPr>
      </w:pPr>
    </w:p>
    <w:p w14:paraId="7BFF5842">
      <w:pPr>
        <w:ind w:firstLine="480"/>
        <w:rPr>
          <w:color w:val="000000"/>
        </w:rPr>
      </w:pPr>
      <w:r>
        <w:rPr>
          <w:color w:val="000000"/>
        </w:rPr>
        <w:t>危险物质数量与临界量比值（Q）计算结果见表6.2.2-1。</w:t>
      </w:r>
    </w:p>
    <w:p w14:paraId="0F2491D6">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6.2.2-1</w:t>
      </w:r>
      <w:r>
        <w:rPr>
          <w:rFonts w:ascii="Times New Roman" w:hAnsi="Times New Roman"/>
          <w:color w:val="000000"/>
        </w:rPr>
        <w:t xml:space="preserve"> </w:t>
      </w:r>
      <w:r>
        <w:rPr>
          <w:rFonts w:ascii="Times New Roman" w:hAnsi="Times New Roman"/>
          <w:color w:val="000000"/>
          <w:lang w:val="en-US"/>
        </w:rPr>
        <w:t>拟建项目</w:t>
      </w:r>
      <w:r>
        <w:rPr>
          <w:rFonts w:ascii="Times New Roman" w:hAnsi="Times New Roman"/>
          <w:color w:val="000000"/>
        </w:rPr>
        <w:t>Q值确定表</w:t>
      </w:r>
    </w:p>
    <w:tbl>
      <w:tblPr>
        <w:tblStyle w:val="73"/>
        <w:tblW w:w="82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891"/>
        <w:gridCol w:w="2122"/>
        <w:gridCol w:w="1362"/>
        <w:gridCol w:w="1991"/>
      </w:tblGrid>
      <w:tr w14:paraId="177BA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tcBorders>
              <w:top w:val="single" w:color="auto" w:sz="4" w:space="0"/>
              <w:left w:val="single" w:color="auto" w:sz="0" w:space="0"/>
              <w:tl2br w:val="nil"/>
              <w:tr2bl w:val="nil"/>
            </w:tcBorders>
            <w:vAlign w:val="center"/>
          </w:tcPr>
          <w:p w14:paraId="47EFF7AB">
            <w:pPr>
              <w:ind w:firstLine="420" w:firstLineChars="200"/>
              <w:jc w:val="center"/>
              <w:rPr>
                <w:color w:val="000000"/>
                <w:sz w:val="21"/>
              </w:rPr>
            </w:pPr>
            <w:r>
              <w:rPr>
                <w:color w:val="000000"/>
                <w:sz w:val="21"/>
              </w:rPr>
              <w:t>序号</w:t>
            </w:r>
          </w:p>
        </w:tc>
        <w:tc>
          <w:tcPr>
            <w:tcW w:w="1177" w:type="pct"/>
            <w:tcBorders>
              <w:top w:val="single" w:color="auto" w:sz="4" w:space="0"/>
              <w:tl2br w:val="nil"/>
              <w:tr2bl w:val="nil"/>
            </w:tcBorders>
            <w:vAlign w:val="center"/>
          </w:tcPr>
          <w:p w14:paraId="612D77C4">
            <w:pPr>
              <w:ind w:firstLine="420" w:firstLineChars="200"/>
              <w:jc w:val="center"/>
              <w:rPr>
                <w:color w:val="000000"/>
                <w:sz w:val="21"/>
              </w:rPr>
            </w:pPr>
            <w:r>
              <w:rPr>
                <w:color w:val="000000"/>
                <w:sz w:val="21"/>
              </w:rPr>
              <w:t>危险物质名称</w:t>
            </w:r>
          </w:p>
        </w:tc>
        <w:tc>
          <w:tcPr>
            <w:tcW w:w="1317" w:type="pct"/>
            <w:tcBorders>
              <w:top w:val="single" w:color="auto" w:sz="4" w:space="0"/>
              <w:tl2br w:val="nil"/>
              <w:tr2bl w:val="nil"/>
            </w:tcBorders>
            <w:vAlign w:val="center"/>
          </w:tcPr>
          <w:p w14:paraId="7A5EF387">
            <w:pPr>
              <w:ind w:firstLine="420" w:firstLineChars="200"/>
              <w:jc w:val="center"/>
              <w:rPr>
                <w:color w:val="000000"/>
                <w:sz w:val="21"/>
              </w:rPr>
            </w:pPr>
            <w:r>
              <w:rPr>
                <w:color w:val="000000"/>
                <w:sz w:val="21"/>
              </w:rPr>
              <w:t>最大存在量（t）</w:t>
            </w:r>
          </w:p>
        </w:tc>
        <w:tc>
          <w:tcPr>
            <w:tcW w:w="856" w:type="pct"/>
            <w:tcBorders>
              <w:top w:val="single" w:color="auto" w:sz="4" w:space="0"/>
              <w:tl2br w:val="nil"/>
              <w:tr2bl w:val="nil"/>
            </w:tcBorders>
            <w:vAlign w:val="center"/>
          </w:tcPr>
          <w:p w14:paraId="1CAF0218">
            <w:pPr>
              <w:ind w:firstLine="420" w:firstLineChars="200"/>
              <w:jc w:val="center"/>
              <w:rPr>
                <w:color w:val="000000"/>
                <w:sz w:val="21"/>
              </w:rPr>
            </w:pPr>
            <w:r>
              <w:rPr>
                <w:color w:val="000000"/>
                <w:sz w:val="21"/>
              </w:rPr>
              <w:t>临界量（t）</w:t>
            </w:r>
          </w:p>
        </w:tc>
        <w:tc>
          <w:tcPr>
            <w:tcW w:w="1237" w:type="pct"/>
            <w:tcBorders>
              <w:top w:val="single" w:color="auto" w:sz="4" w:space="0"/>
              <w:right w:val="single" w:color="auto" w:sz="4" w:space="0"/>
              <w:tl2br w:val="nil"/>
              <w:tr2bl w:val="nil"/>
            </w:tcBorders>
            <w:vAlign w:val="center"/>
          </w:tcPr>
          <w:p w14:paraId="769A4607">
            <w:pPr>
              <w:ind w:firstLine="420" w:firstLineChars="200"/>
              <w:jc w:val="center"/>
              <w:rPr>
                <w:color w:val="000000"/>
                <w:sz w:val="21"/>
              </w:rPr>
            </w:pPr>
            <w:r>
              <w:rPr>
                <w:color w:val="000000"/>
                <w:sz w:val="21"/>
              </w:rPr>
              <w:t>该种危险物质Q值</w:t>
            </w:r>
          </w:p>
        </w:tc>
      </w:tr>
      <w:tr w14:paraId="675D4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11" w:type="pct"/>
            <w:tcBorders>
              <w:left w:val="single" w:color="auto" w:sz="4" w:space="0"/>
              <w:tl2br w:val="nil"/>
              <w:tr2bl w:val="nil"/>
            </w:tcBorders>
            <w:vAlign w:val="center"/>
          </w:tcPr>
          <w:p w14:paraId="67C9D498">
            <w:pPr>
              <w:ind w:firstLine="420" w:firstLineChars="200"/>
              <w:jc w:val="center"/>
              <w:rPr>
                <w:color w:val="000000"/>
                <w:sz w:val="21"/>
              </w:rPr>
            </w:pPr>
            <w:r>
              <w:rPr>
                <w:color w:val="000000"/>
                <w:sz w:val="21"/>
              </w:rPr>
              <w:t>1</w:t>
            </w:r>
          </w:p>
        </w:tc>
        <w:tc>
          <w:tcPr>
            <w:tcW w:w="1177" w:type="pct"/>
            <w:tcBorders>
              <w:tl2br w:val="nil"/>
              <w:tr2bl w:val="nil"/>
            </w:tcBorders>
            <w:vAlign w:val="center"/>
          </w:tcPr>
          <w:p w14:paraId="0A44B219">
            <w:pPr>
              <w:ind w:firstLine="420" w:firstLineChars="200"/>
              <w:jc w:val="center"/>
              <w:rPr>
                <w:color w:val="000000"/>
                <w:sz w:val="21"/>
              </w:rPr>
            </w:pPr>
            <w:r>
              <w:rPr>
                <w:color w:val="000000"/>
                <w:sz w:val="21"/>
              </w:rPr>
              <w:t>BOG尾气（含氢、甲烷等）</w:t>
            </w:r>
          </w:p>
        </w:tc>
        <w:tc>
          <w:tcPr>
            <w:tcW w:w="1317" w:type="pct"/>
            <w:tcBorders>
              <w:tl2br w:val="nil"/>
              <w:tr2bl w:val="nil"/>
            </w:tcBorders>
            <w:vAlign w:val="center"/>
          </w:tcPr>
          <w:p w14:paraId="1481578C">
            <w:pPr>
              <w:ind w:firstLine="420" w:firstLineChars="200"/>
              <w:jc w:val="center"/>
              <w:rPr>
                <w:color w:val="000000"/>
                <w:sz w:val="21"/>
              </w:rPr>
            </w:pPr>
            <w:r>
              <w:rPr>
                <w:color w:val="000000"/>
                <w:sz w:val="21"/>
              </w:rPr>
              <w:t>2</w:t>
            </w:r>
          </w:p>
        </w:tc>
        <w:tc>
          <w:tcPr>
            <w:tcW w:w="856" w:type="pct"/>
            <w:tcBorders>
              <w:tl2br w:val="nil"/>
              <w:tr2bl w:val="nil"/>
            </w:tcBorders>
            <w:vAlign w:val="center"/>
          </w:tcPr>
          <w:p w14:paraId="6DFFF7E6">
            <w:pPr>
              <w:ind w:firstLine="420" w:firstLineChars="200"/>
              <w:jc w:val="center"/>
              <w:rPr>
                <w:color w:val="000000"/>
                <w:sz w:val="21"/>
              </w:rPr>
            </w:pPr>
            <w:r>
              <w:rPr>
                <w:color w:val="000000"/>
                <w:sz w:val="21"/>
              </w:rPr>
              <w:t>10</w:t>
            </w:r>
          </w:p>
        </w:tc>
        <w:tc>
          <w:tcPr>
            <w:tcW w:w="1237" w:type="pct"/>
            <w:tcBorders>
              <w:right w:val="single" w:color="auto" w:sz="4" w:space="0"/>
              <w:tl2br w:val="nil"/>
              <w:tr2bl w:val="nil"/>
            </w:tcBorders>
            <w:vAlign w:val="center"/>
          </w:tcPr>
          <w:p w14:paraId="7563CD25">
            <w:pPr>
              <w:ind w:firstLine="420" w:firstLineChars="200"/>
              <w:jc w:val="center"/>
              <w:rPr>
                <w:color w:val="000000"/>
                <w:sz w:val="21"/>
              </w:rPr>
            </w:pPr>
            <w:r>
              <w:rPr>
                <w:color w:val="000000"/>
                <w:sz w:val="21"/>
              </w:rPr>
              <w:t>0.2</w:t>
            </w:r>
          </w:p>
        </w:tc>
      </w:tr>
      <w:tr w14:paraId="6F2A6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1" w:type="pct"/>
            <w:tcBorders>
              <w:left w:val="single" w:color="auto" w:sz="4" w:space="0"/>
              <w:tl2br w:val="nil"/>
              <w:tr2bl w:val="nil"/>
            </w:tcBorders>
            <w:vAlign w:val="center"/>
          </w:tcPr>
          <w:p w14:paraId="5728F467">
            <w:pPr>
              <w:ind w:firstLine="420" w:firstLineChars="200"/>
              <w:jc w:val="center"/>
              <w:rPr>
                <w:color w:val="000000"/>
                <w:sz w:val="21"/>
              </w:rPr>
            </w:pPr>
            <w:r>
              <w:rPr>
                <w:color w:val="000000"/>
                <w:sz w:val="21"/>
              </w:rPr>
              <w:t>2</w:t>
            </w:r>
          </w:p>
        </w:tc>
        <w:tc>
          <w:tcPr>
            <w:tcW w:w="1177" w:type="pct"/>
            <w:tcBorders>
              <w:tl2br w:val="nil"/>
              <w:tr2bl w:val="nil"/>
            </w:tcBorders>
            <w:vAlign w:val="center"/>
          </w:tcPr>
          <w:p w14:paraId="2DDFD423">
            <w:pPr>
              <w:ind w:firstLine="420" w:firstLineChars="200"/>
              <w:jc w:val="center"/>
              <w:rPr>
                <w:color w:val="000000"/>
                <w:sz w:val="21"/>
              </w:rPr>
            </w:pPr>
            <w:r>
              <w:rPr>
                <w:color w:val="000000"/>
                <w:sz w:val="21"/>
              </w:rPr>
              <w:t>含甲烷尾气</w:t>
            </w:r>
          </w:p>
        </w:tc>
        <w:tc>
          <w:tcPr>
            <w:tcW w:w="1317" w:type="pct"/>
            <w:tcBorders>
              <w:tl2br w:val="nil"/>
              <w:tr2bl w:val="nil"/>
            </w:tcBorders>
            <w:vAlign w:val="center"/>
          </w:tcPr>
          <w:p w14:paraId="52A951CC">
            <w:pPr>
              <w:ind w:firstLine="420" w:firstLineChars="200"/>
              <w:jc w:val="center"/>
              <w:rPr>
                <w:color w:val="000000"/>
                <w:sz w:val="21"/>
              </w:rPr>
            </w:pPr>
            <w:r>
              <w:rPr>
                <w:color w:val="000000"/>
                <w:sz w:val="21"/>
              </w:rPr>
              <w:t>1.6</w:t>
            </w:r>
          </w:p>
        </w:tc>
        <w:tc>
          <w:tcPr>
            <w:tcW w:w="856" w:type="pct"/>
            <w:tcBorders>
              <w:tl2br w:val="nil"/>
              <w:tr2bl w:val="nil"/>
            </w:tcBorders>
            <w:vAlign w:val="center"/>
          </w:tcPr>
          <w:p w14:paraId="1A0619B6">
            <w:pPr>
              <w:ind w:firstLine="420" w:firstLineChars="200"/>
              <w:jc w:val="center"/>
              <w:rPr>
                <w:color w:val="000000"/>
                <w:sz w:val="21"/>
              </w:rPr>
            </w:pPr>
            <w:r>
              <w:rPr>
                <w:color w:val="000000"/>
                <w:sz w:val="21"/>
              </w:rPr>
              <w:t>10</w:t>
            </w:r>
          </w:p>
        </w:tc>
        <w:tc>
          <w:tcPr>
            <w:tcW w:w="1237" w:type="pct"/>
            <w:tcBorders>
              <w:right w:val="single" w:color="auto" w:sz="4" w:space="0"/>
              <w:tl2br w:val="nil"/>
              <w:tr2bl w:val="nil"/>
            </w:tcBorders>
            <w:vAlign w:val="center"/>
          </w:tcPr>
          <w:p w14:paraId="12C9D567">
            <w:pPr>
              <w:ind w:firstLine="420" w:firstLineChars="200"/>
              <w:jc w:val="center"/>
              <w:rPr>
                <w:color w:val="000000"/>
                <w:sz w:val="21"/>
              </w:rPr>
            </w:pPr>
            <w:r>
              <w:rPr>
                <w:color w:val="000000"/>
                <w:sz w:val="21"/>
              </w:rPr>
              <w:t>0.16</w:t>
            </w:r>
          </w:p>
        </w:tc>
      </w:tr>
      <w:tr w14:paraId="0DE6A7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62" w:type="pct"/>
            <w:gridSpan w:val="4"/>
            <w:tcBorders>
              <w:left w:val="single" w:color="auto" w:sz="4" w:space="0"/>
              <w:bottom w:val="single" w:color="auto" w:sz="4" w:space="0"/>
              <w:tl2br w:val="nil"/>
              <w:tr2bl w:val="nil"/>
            </w:tcBorders>
            <w:vAlign w:val="center"/>
          </w:tcPr>
          <w:p w14:paraId="077A90AD">
            <w:pPr>
              <w:ind w:firstLine="420" w:firstLineChars="200"/>
              <w:jc w:val="center"/>
              <w:rPr>
                <w:color w:val="000000"/>
                <w:sz w:val="21"/>
              </w:rPr>
            </w:pPr>
            <w:r>
              <w:rPr>
                <w:color w:val="000000"/>
                <w:sz w:val="21"/>
              </w:rPr>
              <w:t>合计</w:t>
            </w:r>
          </w:p>
        </w:tc>
        <w:tc>
          <w:tcPr>
            <w:tcW w:w="1237" w:type="pct"/>
            <w:tcBorders>
              <w:bottom w:val="single" w:color="auto" w:sz="4" w:space="0"/>
              <w:right w:val="single" w:color="auto" w:sz="4" w:space="0"/>
              <w:tl2br w:val="nil"/>
              <w:tr2bl w:val="nil"/>
            </w:tcBorders>
            <w:vAlign w:val="center"/>
          </w:tcPr>
          <w:p w14:paraId="22CA1C3D">
            <w:pPr>
              <w:ind w:firstLine="420" w:firstLineChars="200"/>
              <w:jc w:val="center"/>
              <w:rPr>
                <w:color w:val="000000"/>
                <w:sz w:val="21"/>
              </w:rPr>
            </w:pPr>
            <w:r>
              <w:rPr>
                <w:color w:val="000000"/>
                <w:sz w:val="21"/>
              </w:rPr>
              <w:t>0.36</w:t>
            </w:r>
          </w:p>
        </w:tc>
      </w:tr>
    </w:tbl>
    <w:p w14:paraId="3C82438D">
      <w:pPr>
        <w:rPr>
          <w:color w:val="000000"/>
        </w:rPr>
      </w:pPr>
      <w:r>
        <w:rPr>
          <w:color w:val="000000"/>
          <w:sz w:val="21"/>
          <w:szCs w:val="20"/>
        </w:rPr>
        <w:t>注：临界量参照甲烷。</w:t>
      </w:r>
    </w:p>
    <w:p w14:paraId="6EC7B8C9">
      <w:pPr>
        <w:ind w:firstLine="480"/>
        <w:rPr>
          <w:color w:val="000000"/>
        </w:rPr>
      </w:pPr>
      <w:r>
        <w:rPr>
          <w:color w:val="000000"/>
        </w:rPr>
        <w:t>拟建项目Q=0.36，Q＜1，则本项目环境风险潜势为Ⅰ。</w:t>
      </w:r>
    </w:p>
    <w:p w14:paraId="2B22FEE1">
      <w:pPr>
        <w:pStyle w:val="770"/>
        <w:rPr>
          <w:color w:val="000000"/>
        </w:rPr>
      </w:pPr>
      <w:bookmarkStart w:id="659" w:name="_Toc15499611"/>
      <w:bookmarkStart w:id="660" w:name="_Toc15499371"/>
      <w:bookmarkStart w:id="661" w:name="_Toc16353"/>
      <w:bookmarkStart w:id="662" w:name="_Toc21961490"/>
      <w:bookmarkStart w:id="663" w:name="_Toc12607826"/>
      <w:r>
        <w:rPr>
          <w:color w:val="000000"/>
        </w:rPr>
        <w:t>6.3 评价等级</w:t>
      </w:r>
      <w:bookmarkEnd w:id="659"/>
      <w:bookmarkEnd w:id="660"/>
      <w:bookmarkEnd w:id="661"/>
      <w:bookmarkEnd w:id="662"/>
      <w:bookmarkEnd w:id="663"/>
    </w:p>
    <w:p w14:paraId="42384512">
      <w:pPr>
        <w:ind w:firstLine="480"/>
        <w:rPr>
          <w:color w:val="000000"/>
        </w:rPr>
      </w:pPr>
      <w:r>
        <w:rPr>
          <w:color w:val="000000"/>
        </w:rPr>
        <w:t>拟建项目环境风险潜势为Ⅰ，根据《建设项目环境风险评价技术导则》（HJ 169-2018）评价等级划分，见表6.3.1，项目环境风险评价等级为简单分析。</w:t>
      </w:r>
    </w:p>
    <w:p w14:paraId="522DCEF9">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6</w:t>
      </w:r>
      <w:r>
        <w:rPr>
          <w:rFonts w:ascii="Times New Roman" w:hAnsi="Times New Roman"/>
          <w:color w:val="000000"/>
        </w:rPr>
        <w:t>.</w:t>
      </w:r>
      <w:r>
        <w:rPr>
          <w:rFonts w:ascii="Times New Roman" w:hAnsi="Times New Roman"/>
          <w:color w:val="000000"/>
          <w:lang w:val="en-US"/>
        </w:rPr>
        <w:t>3-</w:t>
      </w:r>
      <w:r>
        <w:rPr>
          <w:rFonts w:ascii="Times New Roman" w:hAnsi="Times New Roman"/>
          <w:color w:val="000000"/>
        </w:rPr>
        <w:t>1  项目环境影响评价等级判据一览表</w:t>
      </w:r>
    </w:p>
    <w:tbl>
      <w:tblPr>
        <w:tblStyle w:val="73"/>
        <w:tblW w:w="4998"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1"/>
        <w:gridCol w:w="1532"/>
        <w:gridCol w:w="1536"/>
        <w:gridCol w:w="1532"/>
        <w:gridCol w:w="1541"/>
      </w:tblGrid>
      <w:tr w14:paraId="3E4C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right"/>
        </w:trPr>
        <w:tc>
          <w:tcPr>
            <w:tcW w:w="1393" w:type="pct"/>
            <w:vAlign w:val="center"/>
          </w:tcPr>
          <w:p w14:paraId="74C3F1A7">
            <w:pPr>
              <w:spacing w:line="240" w:lineRule="auto"/>
              <w:jc w:val="center"/>
              <w:rPr>
                <w:color w:val="000000"/>
                <w:sz w:val="21"/>
              </w:rPr>
            </w:pPr>
            <w:r>
              <w:rPr>
                <w:color w:val="000000"/>
                <w:sz w:val="21"/>
              </w:rPr>
              <w:t>环境风险潜势</w:t>
            </w:r>
          </w:p>
        </w:tc>
        <w:tc>
          <w:tcPr>
            <w:tcW w:w="900" w:type="pct"/>
            <w:vAlign w:val="center"/>
          </w:tcPr>
          <w:p w14:paraId="274C4273">
            <w:pPr>
              <w:spacing w:line="240" w:lineRule="auto"/>
              <w:jc w:val="center"/>
              <w:rPr>
                <w:color w:val="000000"/>
                <w:sz w:val="21"/>
              </w:rPr>
            </w:pPr>
            <w:r>
              <w:rPr>
                <w:color w:val="000000"/>
                <w:sz w:val="21"/>
              </w:rPr>
              <w:t>Ⅳ、Ⅳ+</w:t>
            </w:r>
          </w:p>
        </w:tc>
        <w:tc>
          <w:tcPr>
            <w:tcW w:w="902" w:type="pct"/>
            <w:vAlign w:val="center"/>
          </w:tcPr>
          <w:p w14:paraId="3B2CE008">
            <w:pPr>
              <w:spacing w:line="240" w:lineRule="auto"/>
              <w:jc w:val="center"/>
              <w:rPr>
                <w:color w:val="000000"/>
                <w:sz w:val="21"/>
              </w:rPr>
            </w:pPr>
            <w:r>
              <w:rPr>
                <w:color w:val="000000"/>
                <w:sz w:val="21"/>
              </w:rPr>
              <w:t>III</w:t>
            </w:r>
          </w:p>
        </w:tc>
        <w:tc>
          <w:tcPr>
            <w:tcW w:w="900" w:type="pct"/>
            <w:vAlign w:val="center"/>
          </w:tcPr>
          <w:p w14:paraId="66B6182F">
            <w:pPr>
              <w:spacing w:line="240" w:lineRule="auto"/>
              <w:jc w:val="center"/>
              <w:rPr>
                <w:color w:val="000000"/>
                <w:sz w:val="21"/>
              </w:rPr>
            </w:pPr>
            <w:r>
              <w:rPr>
                <w:color w:val="000000"/>
                <w:sz w:val="21"/>
              </w:rPr>
              <w:t>II</w:t>
            </w:r>
          </w:p>
        </w:tc>
        <w:tc>
          <w:tcPr>
            <w:tcW w:w="902" w:type="pct"/>
            <w:vAlign w:val="center"/>
          </w:tcPr>
          <w:p w14:paraId="37819560">
            <w:pPr>
              <w:spacing w:line="240" w:lineRule="auto"/>
              <w:jc w:val="center"/>
              <w:rPr>
                <w:color w:val="000000"/>
                <w:sz w:val="21"/>
              </w:rPr>
            </w:pPr>
            <w:r>
              <w:rPr>
                <w:color w:val="000000"/>
                <w:sz w:val="21"/>
              </w:rPr>
              <w:t>I</w:t>
            </w:r>
          </w:p>
        </w:tc>
      </w:tr>
      <w:tr w14:paraId="56FDA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right"/>
        </w:trPr>
        <w:tc>
          <w:tcPr>
            <w:tcW w:w="1393" w:type="pct"/>
            <w:vAlign w:val="center"/>
          </w:tcPr>
          <w:p w14:paraId="5187DB35">
            <w:pPr>
              <w:spacing w:line="240" w:lineRule="auto"/>
              <w:jc w:val="center"/>
              <w:rPr>
                <w:color w:val="000000"/>
                <w:sz w:val="21"/>
              </w:rPr>
            </w:pPr>
            <w:r>
              <w:rPr>
                <w:color w:val="000000"/>
                <w:sz w:val="21"/>
              </w:rPr>
              <w:t>环境风险评价等级</w:t>
            </w:r>
          </w:p>
        </w:tc>
        <w:tc>
          <w:tcPr>
            <w:tcW w:w="900" w:type="pct"/>
            <w:vAlign w:val="center"/>
          </w:tcPr>
          <w:p w14:paraId="7FBBC7BE">
            <w:pPr>
              <w:spacing w:line="240" w:lineRule="auto"/>
              <w:jc w:val="center"/>
              <w:rPr>
                <w:color w:val="000000"/>
                <w:sz w:val="21"/>
              </w:rPr>
            </w:pPr>
            <w:r>
              <w:rPr>
                <w:color w:val="000000"/>
                <w:sz w:val="21"/>
              </w:rPr>
              <w:t>一</w:t>
            </w:r>
          </w:p>
        </w:tc>
        <w:tc>
          <w:tcPr>
            <w:tcW w:w="902" w:type="pct"/>
            <w:vAlign w:val="center"/>
          </w:tcPr>
          <w:p w14:paraId="4A0B7CC1">
            <w:pPr>
              <w:spacing w:line="240" w:lineRule="auto"/>
              <w:jc w:val="center"/>
              <w:rPr>
                <w:color w:val="000000"/>
                <w:sz w:val="21"/>
              </w:rPr>
            </w:pPr>
            <w:r>
              <w:rPr>
                <w:color w:val="000000"/>
                <w:sz w:val="21"/>
              </w:rPr>
              <w:t>二</w:t>
            </w:r>
          </w:p>
        </w:tc>
        <w:tc>
          <w:tcPr>
            <w:tcW w:w="900" w:type="pct"/>
            <w:vAlign w:val="center"/>
          </w:tcPr>
          <w:p w14:paraId="54DCF40A">
            <w:pPr>
              <w:spacing w:line="240" w:lineRule="auto"/>
              <w:jc w:val="center"/>
              <w:rPr>
                <w:color w:val="000000"/>
                <w:sz w:val="21"/>
              </w:rPr>
            </w:pPr>
            <w:r>
              <w:rPr>
                <w:color w:val="000000"/>
                <w:sz w:val="21"/>
              </w:rPr>
              <w:t>三</w:t>
            </w:r>
          </w:p>
        </w:tc>
        <w:tc>
          <w:tcPr>
            <w:tcW w:w="902" w:type="pct"/>
            <w:vAlign w:val="center"/>
          </w:tcPr>
          <w:p w14:paraId="6F6F1F05">
            <w:pPr>
              <w:spacing w:line="240" w:lineRule="auto"/>
              <w:jc w:val="center"/>
              <w:rPr>
                <w:color w:val="000000"/>
                <w:sz w:val="21"/>
              </w:rPr>
            </w:pPr>
            <w:r>
              <w:rPr>
                <w:color w:val="000000"/>
                <w:sz w:val="21"/>
              </w:rPr>
              <w:t>简单分析</w:t>
            </w:r>
            <w:r>
              <w:rPr>
                <w:color w:val="000000"/>
                <w:sz w:val="21"/>
                <w:vertAlign w:val="superscript"/>
              </w:rPr>
              <w:t>a</w:t>
            </w:r>
          </w:p>
        </w:tc>
      </w:tr>
      <w:tr w14:paraId="0787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right"/>
        </w:trPr>
        <w:tc>
          <w:tcPr>
            <w:tcW w:w="5000" w:type="pct"/>
            <w:gridSpan w:val="5"/>
            <w:vAlign w:val="center"/>
          </w:tcPr>
          <w:p w14:paraId="67EE9C2B">
            <w:pPr>
              <w:spacing w:line="240" w:lineRule="auto"/>
              <w:rPr>
                <w:color w:val="000000"/>
                <w:sz w:val="21"/>
              </w:rPr>
            </w:pPr>
            <w:bookmarkStart w:id="664" w:name="_Toc21961492"/>
            <w:bookmarkStart w:id="665" w:name="_Toc15499613"/>
            <w:bookmarkStart w:id="666" w:name="_Toc15499373"/>
            <w:r>
              <w:rPr>
                <w:color w:val="000000"/>
                <w:sz w:val="21"/>
                <w:vertAlign w:val="superscript"/>
              </w:rPr>
              <w:t>a</w:t>
            </w:r>
            <w:r>
              <w:rPr>
                <w:color w:val="000000"/>
                <w:sz w:val="21"/>
              </w:rPr>
              <w:t>是相对于详细评价工作内容而言，在描述危险物质、环境影响途径、环境危害后果、风险防范措施给出定性的说明。</w:t>
            </w:r>
          </w:p>
        </w:tc>
      </w:tr>
      <w:bookmarkEnd w:id="664"/>
      <w:bookmarkEnd w:id="665"/>
      <w:bookmarkEnd w:id="666"/>
    </w:tbl>
    <w:p w14:paraId="023E1E75">
      <w:pPr>
        <w:outlineLvl w:val="1"/>
        <w:rPr>
          <w:bCs/>
          <w:color w:val="000000"/>
          <w:sz w:val="30"/>
          <w:szCs w:val="30"/>
        </w:rPr>
      </w:pPr>
      <w:bookmarkStart w:id="667" w:name="_Toc12607827"/>
      <w:bookmarkStart w:id="668" w:name="_Toc21961493"/>
      <w:bookmarkStart w:id="669" w:name="_Toc15499614"/>
      <w:bookmarkStart w:id="670" w:name="_Toc15499374"/>
      <w:bookmarkStart w:id="671" w:name="_Toc3647"/>
      <w:r>
        <w:rPr>
          <w:bCs/>
          <w:color w:val="000000"/>
          <w:sz w:val="30"/>
          <w:szCs w:val="30"/>
        </w:rPr>
        <w:t xml:space="preserve">6.4 </w:t>
      </w:r>
      <w:bookmarkEnd w:id="667"/>
      <w:bookmarkEnd w:id="668"/>
      <w:bookmarkEnd w:id="669"/>
      <w:bookmarkEnd w:id="670"/>
      <w:r>
        <w:rPr>
          <w:bCs/>
          <w:color w:val="000000"/>
          <w:sz w:val="30"/>
          <w:szCs w:val="30"/>
        </w:rPr>
        <w:t>环境影响途径</w:t>
      </w:r>
      <w:bookmarkEnd w:id="671"/>
    </w:p>
    <w:p w14:paraId="4B2FC7BF">
      <w:pPr>
        <w:pStyle w:val="2"/>
        <w:widowControl w:val="0"/>
        <w:spacing w:after="0" w:line="360" w:lineRule="auto"/>
        <w:ind w:left="0" w:leftChars="0" w:firstLine="480"/>
        <w:rPr>
          <w:rFonts w:ascii="Times New Roman" w:hAnsi="Times New Roman" w:cs="Times New Roman"/>
          <w:color w:val="000000"/>
          <w:kern w:val="2"/>
          <w:sz w:val="24"/>
        </w:rPr>
      </w:pPr>
      <w:r>
        <w:rPr>
          <w:rFonts w:ascii="Times New Roman" w:hAnsi="Times New Roman" w:cs="Times New Roman"/>
          <w:color w:val="000000"/>
          <w:kern w:val="2"/>
          <w:sz w:val="24"/>
        </w:rPr>
        <w:t>据本项目工程特点，项目涉及的危险单元主要为生产装置。</w:t>
      </w:r>
    </w:p>
    <w:p w14:paraId="6330E6EE">
      <w:pPr>
        <w:widowControl w:val="0"/>
        <w:ind w:firstLine="480" w:firstLineChars="200"/>
        <w:rPr>
          <w:color w:val="000000"/>
          <w:szCs w:val="24"/>
        </w:rPr>
      </w:pPr>
      <w:r>
        <w:rPr>
          <w:color w:val="000000"/>
          <w:szCs w:val="24"/>
        </w:rPr>
        <w:t>对生产过程中，生产装置可能发生的危险因素分析见表6.4-1。</w:t>
      </w:r>
    </w:p>
    <w:p w14:paraId="1077E610">
      <w:pPr>
        <w:pStyle w:val="2179"/>
        <w:spacing w:before="163" w:after="163"/>
        <w:jc w:val="center"/>
        <w:rPr>
          <w:bCs/>
          <w:color w:val="000000"/>
        </w:rPr>
      </w:pPr>
      <w:r>
        <w:rPr>
          <w:bCs/>
          <w:color w:val="000000"/>
        </w:rPr>
        <w:t>表6.4-1生产过程主要风险因素分析</w:t>
      </w:r>
    </w:p>
    <w:tbl>
      <w:tblPr>
        <w:tblStyle w:val="73"/>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1897"/>
        <w:gridCol w:w="5705"/>
      </w:tblGrid>
      <w:tr w14:paraId="3FC3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136" w:type="dxa"/>
            <w:vAlign w:val="center"/>
          </w:tcPr>
          <w:p w14:paraId="33FFE2AC">
            <w:pPr>
              <w:spacing w:line="240" w:lineRule="auto"/>
              <w:jc w:val="center"/>
              <w:rPr>
                <w:color w:val="000000"/>
                <w:sz w:val="21"/>
              </w:rPr>
            </w:pPr>
            <w:r>
              <w:rPr>
                <w:color w:val="000000"/>
                <w:sz w:val="21"/>
              </w:rPr>
              <w:t>事故环节</w:t>
            </w:r>
          </w:p>
        </w:tc>
        <w:tc>
          <w:tcPr>
            <w:tcW w:w="1897" w:type="dxa"/>
            <w:vAlign w:val="center"/>
          </w:tcPr>
          <w:p w14:paraId="76894FDE">
            <w:pPr>
              <w:spacing w:line="240" w:lineRule="auto"/>
              <w:jc w:val="center"/>
              <w:rPr>
                <w:color w:val="000000"/>
                <w:sz w:val="21"/>
              </w:rPr>
            </w:pPr>
            <w:r>
              <w:rPr>
                <w:color w:val="000000"/>
                <w:sz w:val="21"/>
              </w:rPr>
              <w:t>类型</w:t>
            </w:r>
          </w:p>
        </w:tc>
        <w:tc>
          <w:tcPr>
            <w:tcW w:w="5705" w:type="dxa"/>
            <w:vAlign w:val="center"/>
          </w:tcPr>
          <w:p w14:paraId="1F5DABF8">
            <w:pPr>
              <w:spacing w:line="240" w:lineRule="auto"/>
              <w:jc w:val="center"/>
              <w:rPr>
                <w:color w:val="000000"/>
                <w:sz w:val="21"/>
              </w:rPr>
            </w:pPr>
            <w:r>
              <w:rPr>
                <w:color w:val="000000"/>
                <w:sz w:val="21"/>
              </w:rPr>
              <w:t>事故原因</w:t>
            </w:r>
          </w:p>
        </w:tc>
      </w:tr>
      <w:tr w14:paraId="1F28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136" w:type="dxa"/>
            <w:vMerge w:val="restart"/>
            <w:vAlign w:val="center"/>
          </w:tcPr>
          <w:p w14:paraId="03136C07">
            <w:pPr>
              <w:spacing w:line="240" w:lineRule="auto"/>
              <w:jc w:val="center"/>
              <w:rPr>
                <w:color w:val="000000"/>
                <w:sz w:val="21"/>
              </w:rPr>
            </w:pPr>
            <w:r>
              <w:rPr>
                <w:color w:val="000000"/>
                <w:sz w:val="21"/>
              </w:rPr>
              <w:t>生产过程</w:t>
            </w:r>
          </w:p>
        </w:tc>
        <w:tc>
          <w:tcPr>
            <w:tcW w:w="1897" w:type="dxa"/>
            <w:vAlign w:val="center"/>
          </w:tcPr>
          <w:p w14:paraId="25E594A0">
            <w:pPr>
              <w:spacing w:line="240" w:lineRule="auto"/>
              <w:jc w:val="center"/>
              <w:rPr>
                <w:color w:val="000000"/>
                <w:sz w:val="21"/>
              </w:rPr>
            </w:pPr>
            <w:r>
              <w:rPr>
                <w:color w:val="000000"/>
                <w:sz w:val="21"/>
              </w:rPr>
              <w:t>泄漏</w:t>
            </w:r>
          </w:p>
        </w:tc>
        <w:tc>
          <w:tcPr>
            <w:tcW w:w="5705" w:type="dxa"/>
            <w:vAlign w:val="center"/>
          </w:tcPr>
          <w:p w14:paraId="21DBFB19">
            <w:pPr>
              <w:spacing w:line="240" w:lineRule="auto"/>
              <w:jc w:val="center"/>
              <w:rPr>
                <w:color w:val="000000"/>
                <w:sz w:val="21"/>
              </w:rPr>
            </w:pPr>
            <w:r>
              <w:rPr>
                <w:color w:val="000000"/>
                <w:sz w:val="21"/>
              </w:rPr>
              <w:t>进料、放料、设备损坏、管线破损等</w:t>
            </w:r>
          </w:p>
        </w:tc>
      </w:tr>
      <w:tr w14:paraId="7713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136" w:type="dxa"/>
            <w:vMerge w:val="continue"/>
            <w:vAlign w:val="center"/>
          </w:tcPr>
          <w:p w14:paraId="2BD3A60D">
            <w:pPr>
              <w:spacing w:line="240" w:lineRule="auto"/>
              <w:jc w:val="center"/>
              <w:rPr>
                <w:color w:val="000000"/>
                <w:sz w:val="21"/>
              </w:rPr>
            </w:pPr>
          </w:p>
        </w:tc>
        <w:tc>
          <w:tcPr>
            <w:tcW w:w="1897" w:type="dxa"/>
            <w:vAlign w:val="center"/>
          </w:tcPr>
          <w:p w14:paraId="3E2909B1">
            <w:pPr>
              <w:spacing w:line="240" w:lineRule="auto"/>
              <w:jc w:val="center"/>
              <w:rPr>
                <w:color w:val="000000"/>
                <w:sz w:val="21"/>
              </w:rPr>
            </w:pPr>
            <w:r>
              <w:rPr>
                <w:color w:val="000000"/>
                <w:sz w:val="21"/>
              </w:rPr>
              <w:t>中毒</w:t>
            </w:r>
          </w:p>
        </w:tc>
        <w:tc>
          <w:tcPr>
            <w:tcW w:w="5705" w:type="dxa"/>
            <w:vAlign w:val="center"/>
          </w:tcPr>
          <w:p w14:paraId="34286C94">
            <w:pPr>
              <w:spacing w:line="240" w:lineRule="auto"/>
              <w:jc w:val="center"/>
              <w:rPr>
                <w:color w:val="000000"/>
                <w:sz w:val="21"/>
              </w:rPr>
            </w:pPr>
            <w:r>
              <w:rPr>
                <w:color w:val="000000"/>
                <w:sz w:val="21"/>
              </w:rPr>
              <w:t>物料泄漏导致车间危险物质浓度超标或进入反应器内维检吸入蒸气</w:t>
            </w:r>
          </w:p>
        </w:tc>
      </w:tr>
      <w:tr w14:paraId="1D2D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136" w:type="dxa"/>
            <w:vMerge w:val="continue"/>
            <w:vAlign w:val="center"/>
          </w:tcPr>
          <w:p w14:paraId="0DBA4287">
            <w:pPr>
              <w:spacing w:line="240" w:lineRule="auto"/>
              <w:jc w:val="center"/>
              <w:rPr>
                <w:color w:val="000000"/>
                <w:sz w:val="21"/>
              </w:rPr>
            </w:pPr>
          </w:p>
        </w:tc>
        <w:tc>
          <w:tcPr>
            <w:tcW w:w="1897" w:type="dxa"/>
            <w:vAlign w:val="center"/>
          </w:tcPr>
          <w:p w14:paraId="6DAA07BD">
            <w:pPr>
              <w:spacing w:line="240" w:lineRule="auto"/>
              <w:jc w:val="center"/>
              <w:rPr>
                <w:color w:val="000000"/>
                <w:sz w:val="21"/>
              </w:rPr>
            </w:pPr>
            <w:r>
              <w:rPr>
                <w:color w:val="000000"/>
                <w:sz w:val="21"/>
              </w:rPr>
              <w:t>火灾、爆炸</w:t>
            </w:r>
          </w:p>
        </w:tc>
        <w:tc>
          <w:tcPr>
            <w:tcW w:w="5705" w:type="dxa"/>
            <w:vAlign w:val="center"/>
          </w:tcPr>
          <w:p w14:paraId="6040C79F">
            <w:pPr>
              <w:spacing w:line="240" w:lineRule="auto"/>
              <w:jc w:val="center"/>
              <w:rPr>
                <w:color w:val="000000"/>
                <w:sz w:val="21"/>
              </w:rPr>
            </w:pPr>
            <w:r>
              <w:rPr>
                <w:color w:val="000000"/>
                <w:sz w:val="21"/>
              </w:rPr>
              <w:t>相关损坏泄漏、遇明火等</w:t>
            </w:r>
          </w:p>
        </w:tc>
      </w:tr>
    </w:tbl>
    <w:p w14:paraId="75B757E6">
      <w:pPr>
        <w:pStyle w:val="31"/>
        <w:outlineLvl w:val="1"/>
        <w:rPr>
          <w:bCs/>
          <w:color w:val="000000"/>
          <w:kern w:val="2"/>
          <w:sz w:val="30"/>
          <w:szCs w:val="30"/>
        </w:rPr>
      </w:pPr>
      <w:bookmarkStart w:id="672" w:name="_Toc15"/>
      <w:r>
        <w:rPr>
          <w:bCs/>
          <w:color w:val="000000"/>
          <w:kern w:val="2"/>
          <w:sz w:val="30"/>
          <w:szCs w:val="30"/>
        </w:rPr>
        <w:t>6.5环境危害后果</w:t>
      </w:r>
      <w:bookmarkEnd w:id="672"/>
    </w:p>
    <w:p w14:paraId="0EC587C6">
      <w:pPr>
        <w:pStyle w:val="2"/>
        <w:widowControl w:val="0"/>
        <w:spacing w:after="0" w:line="360" w:lineRule="auto"/>
        <w:ind w:left="0" w:leftChars="0" w:firstLine="480"/>
        <w:rPr>
          <w:rFonts w:ascii="Times New Roman" w:hAnsi="Times New Roman" w:cs="Times New Roman"/>
          <w:color w:val="000000"/>
          <w:kern w:val="2"/>
          <w:sz w:val="24"/>
        </w:rPr>
      </w:pPr>
      <w:r>
        <w:rPr>
          <w:rFonts w:ascii="Times New Roman" w:hAnsi="Times New Roman" w:cs="Times New Roman"/>
          <w:color w:val="000000"/>
          <w:kern w:val="2"/>
          <w:sz w:val="24"/>
        </w:rPr>
        <w:t>根据风险调查及环境影响途径，本项目对环境造成的危害后果主要表现为生产系统危险物质泄漏对大气环境造成的影响，或者泄漏遇明火后发生火灾、爆炸产生的次生污染物对环境造成的影响。</w:t>
      </w:r>
    </w:p>
    <w:p w14:paraId="17AE432E">
      <w:pPr>
        <w:pStyle w:val="2"/>
        <w:widowControl w:val="0"/>
        <w:spacing w:after="0" w:line="360" w:lineRule="auto"/>
        <w:ind w:left="0" w:leftChars="0" w:firstLine="480"/>
        <w:rPr>
          <w:rFonts w:ascii="Times New Roman" w:hAnsi="Times New Roman" w:cs="Times New Roman"/>
          <w:color w:val="000000"/>
          <w:kern w:val="2"/>
          <w:sz w:val="24"/>
        </w:rPr>
      </w:pPr>
      <w:r>
        <w:rPr>
          <w:rFonts w:ascii="Times New Roman" w:hAnsi="Times New Roman" w:cs="Times New Roman"/>
          <w:color w:val="000000"/>
          <w:kern w:val="2"/>
          <w:sz w:val="24"/>
        </w:rPr>
        <w:t>另外，扑救火灾时产生的消防废水、伴生泄漏物料以及污染雨水沿地面漫流，可能会对地下水产生污染。</w:t>
      </w:r>
    </w:p>
    <w:p w14:paraId="2A3589F0">
      <w:pPr>
        <w:pStyle w:val="31"/>
        <w:outlineLvl w:val="1"/>
        <w:rPr>
          <w:bCs/>
          <w:color w:val="000000"/>
          <w:kern w:val="2"/>
          <w:sz w:val="30"/>
          <w:szCs w:val="30"/>
        </w:rPr>
      </w:pPr>
      <w:bookmarkStart w:id="673" w:name="_Toc26704"/>
      <w:r>
        <w:rPr>
          <w:bCs/>
          <w:color w:val="000000"/>
          <w:kern w:val="2"/>
          <w:sz w:val="30"/>
          <w:szCs w:val="30"/>
        </w:rPr>
        <w:t>6.6环境风险防范措施</w:t>
      </w:r>
      <w:bookmarkEnd w:id="673"/>
    </w:p>
    <w:p w14:paraId="1733710C">
      <w:pPr>
        <w:widowControl w:val="0"/>
        <w:ind w:firstLine="480" w:firstLineChars="200"/>
        <w:rPr>
          <w:color w:val="000000"/>
          <w:szCs w:val="24"/>
        </w:rPr>
      </w:pPr>
      <w:r>
        <w:rPr>
          <w:color w:val="000000"/>
          <w:szCs w:val="24"/>
        </w:rPr>
        <w:t>建设单位结合LNG厂情况设立了</w:t>
      </w:r>
      <w:r>
        <w:rPr>
          <w:rFonts w:hint="eastAsia"/>
          <w:color w:val="000000"/>
          <w:szCs w:val="24"/>
          <w:lang w:eastAsia="zh-CN"/>
        </w:rPr>
        <w:t>安全</w:t>
      </w:r>
      <w:r>
        <w:rPr>
          <w:color w:val="000000"/>
          <w:szCs w:val="24"/>
        </w:rPr>
        <w:t>质量部为安全环保管理机构，公司总经理是环境保护管理工作的主要负责人，负责全公司环境保护工作的部署。建设单位制定了环境风险应急预案，并报重庆市涪陵区环境保护局备案（环境风险评价报告备案编号：5001022021050003；突发环境事件应急预案备案编号：500102-2021-020-M）。</w:t>
      </w:r>
    </w:p>
    <w:p w14:paraId="6B3C3123">
      <w:pPr>
        <w:widowControl w:val="0"/>
        <w:ind w:firstLine="480" w:firstLineChars="200"/>
        <w:rPr>
          <w:color w:val="000000"/>
          <w:szCs w:val="24"/>
        </w:rPr>
      </w:pPr>
      <w:r>
        <w:rPr>
          <w:rFonts w:hint="eastAsia"/>
          <w:color w:val="000000"/>
          <w:szCs w:val="24"/>
          <w:lang w:eastAsia="zh-CN"/>
        </w:rPr>
        <w:t>安全</w:t>
      </w:r>
      <w:r>
        <w:rPr>
          <w:color w:val="000000"/>
          <w:szCs w:val="24"/>
        </w:rPr>
        <w:t>质量部为全公司的环境保护监督部门，负责对厂区范围内的环境管理工作，对环境违规行为进行考核，负责安全、环保资料的上报工作，负责向公司汇报环境治理情况，负责市区级环境保护文件精神的传达。</w:t>
      </w:r>
    </w:p>
    <w:p w14:paraId="7D3B3507">
      <w:pPr>
        <w:widowControl w:val="0"/>
        <w:ind w:firstLine="480" w:firstLineChars="200"/>
        <w:rPr>
          <w:color w:val="000000"/>
          <w:szCs w:val="24"/>
        </w:rPr>
      </w:pPr>
      <w:r>
        <w:rPr>
          <w:rFonts w:hint="eastAsia"/>
          <w:color w:val="000000"/>
          <w:szCs w:val="24"/>
          <w:lang w:eastAsia="zh-CN"/>
        </w:rPr>
        <w:t>安全</w:t>
      </w:r>
      <w:r>
        <w:rPr>
          <w:color w:val="000000"/>
          <w:szCs w:val="24"/>
        </w:rPr>
        <w:t>质量部配备了3名安全环保管理人员，明确了各成员的管理职责。公司现有安全环保制度比较完善。为了减少或者避免风险事故的发生必须贯彻“以防为主 ”的方针各装置必须有安全措施，企业的生产管理部门应加强安全生产管理。为做到安全生产，防止事故的发生，项目的环境风险评价从管理、安全设计、防火、防毒等方面提出风险事故的以下防范措施。</w:t>
      </w:r>
    </w:p>
    <w:p w14:paraId="4BBDA29E">
      <w:pPr>
        <w:ind w:firstLine="480" w:firstLineChars="200"/>
        <w:rPr>
          <w:color w:val="000000"/>
          <w:szCs w:val="24"/>
        </w:rPr>
      </w:pPr>
      <w:r>
        <w:rPr>
          <w:color w:val="000000"/>
          <w:szCs w:val="24"/>
        </w:rPr>
        <w:t>( 1 )设置专门的应急领导小组，由企业负责人任组长，生产、安全负责人任副组长，各厂部主任为组员，定期专门组织各车间负责人进行环境风险检查，将生产中的事故隐患作为检查重点。</w:t>
      </w:r>
    </w:p>
    <w:p w14:paraId="45B45A05">
      <w:pPr>
        <w:widowControl w:val="0"/>
        <w:ind w:firstLine="480" w:firstLineChars="200"/>
        <w:rPr>
          <w:color w:val="000000"/>
          <w:szCs w:val="24"/>
        </w:rPr>
      </w:pPr>
      <w:r>
        <w:rPr>
          <w:color w:val="000000"/>
          <w:szCs w:val="24"/>
        </w:rPr>
        <w:t>( 2 )应急领导小组应建立一整套完整的风险事故防范管理制度和赏罚制度，以规范各生产部门的操作规程，实现相互的有效衔接，避免彼此间的扯皮现象，确保风险事故防范管理制度的全过程、全方位落实，减少事故的发生概率和危害程度。</w:t>
      </w:r>
    </w:p>
    <w:p w14:paraId="3C8C951E">
      <w:pPr>
        <w:widowControl w:val="0"/>
        <w:ind w:firstLine="480" w:firstLineChars="200"/>
        <w:rPr>
          <w:color w:val="000000"/>
          <w:szCs w:val="24"/>
        </w:rPr>
      </w:pPr>
      <w:r>
        <w:rPr>
          <w:color w:val="000000"/>
          <w:szCs w:val="24"/>
        </w:rPr>
        <w:t>( 3 )环境管理机构设有专人负责，</w:t>
      </w:r>
      <w:r>
        <w:rPr>
          <w:rFonts w:hint="eastAsia"/>
          <w:color w:val="000000"/>
          <w:szCs w:val="24"/>
        </w:rPr>
        <w:t>建立</w:t>
      </w:r>
      <w:r>
        <w:rPr>
          <w:color w:val="000000"/>
          <w:szCs w:val="24"/>
        </w:rPr>
        <w:t>健全各项环境管理制度，完全将环境管理纳入日常管理行为中，上岗人员都经过严格培训，并制定环境管理实施计划，对各项污染物、污染源进行定期监测，记录运行及监测数据，环境监测实验室配备必要的监测手段，如大气、地表水污染物的监测，规范厂区排污口，设置明显的标志；汲取同类型企业先进操作经验和污染控制技术，建立信息反馈中心，对生产中环保问题及时反馈。</w:t>
      </w:r>
    </w:p>
    <w:p w14:paraId="393F51CF">
      <w:pPr>
        <w:widowControl w:val="0"/>
        <w:ind w:firstLine="480" w:firstLineChars="200"/>
        <w:rPr>
          <w:color w:val="000000"/>
          <w:szCs w:val="24"/>
        </w:rPr>
      </w:pPr>
      <w:r>
        <w:rPr>
          <w:color w:val="000000"/>
          <w:szCs w:val="24"/>
        </w:rPr>
        <w:t>( 4 )对于经营过程中排放的污染物都按照环保要求得到合理处置。</w:t>
      </w:r>
    </w:p>
    <w:p w14:paraId="1B527401">
      <w:pPr>
        <w:widowControl w:val="0"/>
        <w:ind w:firstLine="480" w:firstLineChars="200"/>
        <w:rPr>
          <w:color w:val="000000"/>
          <w:szCs w:val="24"/>
        </w:rPr>
      </w:pPr>
      <w:r>
        <w:rPr>
          <w:color w:val="000000"/>
          <w:szCs w:val="24"/>
        </w:rPr>
        <w:t>( 5 )在工程建设中，对涉及易燃易爆、有毒有害物料储存、输送、使用环节的设备，严把质量关，从源头采取措施减少危险物料泄漏事故发生的可能。</w:t>
      </w:r>
    </w:p>
    <w:p w14:paraId="3E3C1E35">
      <w:pPr>
        <w:widowControl w:val="0"/>
        <w:ind w:firstLine="480" w:firstLineChars="200"/>
        <w:rPr>
          <w:color w:val="000000"/>
          <w:szCs w:val="24"/>
        </w:rPr>
      </w:pPr>
      <w:r>
        <w:rPr>
          <w:color w:val="000000"/>
          <w:szCs w:val="24"/>
        </w:rPr>
        <w:t>( 6 )加强对职工的风险事故安全教育，提高职工的风险意识，减少风险发生的概率。</w:t>
      </w:r>
    </w:p>
    <w:p w14:paraId="0C825D85">
      <w:pPr>
        <w:widowControl w:val="0"/>
        <w:ind w:firstLine="480" w:firstLineChars="200"/>
        <w:rPr>
          <w:color w:val="000000"/>
          <w:szCs w:val="24"/>
        </w:rPr>
      </w:pPr>
      <w:r>
        <w:rPr>
          <w:color w:val="000000"/>
          <w:szCs w:val="24"/>
        </w:rPr>
        <w:t>( 7 )工程的建设及安装必须严格按国家及地方政府的有关规范、规定进行。项目建设完成投产前必须经过消防、安全等有关部门的验收。</w:t>
      </w:r>
    </w:p>
    <w:p w14:paraId="724AA2CA">
      <w:pPr>
        <w:widowControl w:val="0"/>
        <w:ind w:firstLine="480" w:firstLineChars="200"/>
        <w:rPr>
          <w:color w:val="000000"/>
          <w:szCs w:val="24"/>
        </w:rPr>
      </w:pPr>
      <w:r>
        <w:rPr>
          <w:color w:val="000000"/>
          <w:szCs w:val="24"/>
        </w:rPr>
        <w:t>( 8 )加强对安全管理的领导，建立健全各项安全、消防管理网络。建立健全各项安全管理制度，如：防火、防爆、防雷电、防静电制度；岗位责任制、安全教育、培训制度；原料及成品的运输、储存制度；设备、管道等设施的定期检验、维护、保养、检修制度；以及安全操作规程等。</w:t>
      </w:r>
    </w:p>
    <w:p w14:paraId="1283ABE9">
      <w:pPr>
        <w:widowControl w:val="0"/>
        <w:ind w:firstLine="480" w:firstLineChars="200"/>
        <w:rPr>
          <w:color w:val="000000"/>
          <w:szCs w:val="24"/>
        </w:rPr>
      </w:pPr>
      <w:r>
        <w:rPr>
          <w:color w:val="000000"/>
          <w:szCs w:val="24"/>
        </w:rPr>
        <w:t>( 9 )定期对设备及管路进行检验和维修保养，保证设备完好状态，防止</w:t>
      </w:r>
      <w:r>
        <w:rPr>
          <w:rFonts w:hint="eastAsia"/>
          <w:color w:val="000000"/>
          <w:szCs w:val="24"/>
          <w:lang w:eastAsia="zh-CN"/>
        </w:rPr>
        <w:t>泄漏</w:t>
      </w:r>
      <w:r>
        <w:rPr>
          <w:color w:val="000000"/>
          <w:szCs w:val="24"/>
        </w:rPr>
        <w:t>；加强对安全用火的管理，从根本上防止火灾、爆炸事故的发生。</w:t>
      </w:r>
    </w:p>
    <w:p w14:paraId="3BD1ED75">
      <w:pPr>
        <w:widowControl w:val="0"/>
        <w:ind w:firstLine="480" w:firstLineChars="200"/>
        <w:rPr>
          <w:color w:val="000000"/>
          <w:szCs w:val="24"/>
        </w:rPr>
      </w:pPr>
      <w:r>
        <w:rPr>
          <w:color w:val="000000"/>
          <w:szCs w:val="24"/>
        </w:rPr>
        <w:t>( 10 )厂区、车间、仓库按消防要求配置消防高压水泵、消火栓、灭火器、消防沙等设施，厂内消防水池长期储备消防用水。</w:t>
      </w:r>
    </w:p>
    <w:p w14:paraId="493A173E">
      <w:pPr>
        <w:widowControl w:val="0"/>
        <w:ind w:firstLine="480" w:firstLineChars="200"/>
        <w:rPr>
          <w:color w:val="000000"/>
          <w:szCs w:val="24"/>
        </w:rPr>
      </w:pPr>
      <w:r>
        <w:rPr>
          <w:color w:val="000000"/>
          <w:szCs w:val="24"/>
        </w:rPr>
        <w:t>( 11 )针对工程可能发生的风险事故，制定全厂风险事故应急预案，宣贯到全体员工，并进行必要的演练，以保证应急预案有效可行，在风险事故发生时，能够及时采取有效措施将损失减至最小。</w:t>
      </w:r>
    </w:p>
    <w:p w14:paraId="6C065656">
      <w:pPr>
        <w:widowControl w:val="0"/>
        <w:ind w:firstLine="480" w:firstLineChars="200"/>
        <w:rPr>
          <w:color w:val="000000"/>
          <w:szCs w:val="24"/>
        </w:rPr>
      </w:pPr>
      <w:r>
        <w:rPr>
          <w:color w:val="000000"/>
          <w:szCs w:val="24"/>
        </w:rPr>
        <w:t>( 12 )主要风机设备必须有备用风机，电源需要有备用电源。</w:t>
      </w:r>
    </w:p>
    <w:p w14:paraId="7DE0C0C0">
      <w:pPr>
        <w:widowControl w:val="0"/>
        <w:ind w:firstLine="482" w:firstLineChars="200"/>
        <w:rPr>
          <w:b/>
          <w:bCs/>
          <w:color w:val="000000"/>
          <w:szCs w:val="24"/>
        </w:rPr>
      </w:pPr>
      <w:r>
        <w:rPr>
          <w:b/>
          <w:bCs/>
          <w:color w:val="000000"/>
          <w:szCs w:val="24"/>
        </w:rPr>
        <w:t>本项目在落实现有风险防控措施下，应重点针对新增项目区域平面布置、消防及工艺安全做好防护措施：</w:t>
      </w:r>
    </w:p>
    <w:p w14:paraId="5DA573F2">
      <w:pPr>
        <w:widowControl w:val="0"/>
        <w:ind w:firstLine="482" w:firstLineChars="200"/>
        <w:rPr>
          <w:b/>
          <w:bCs/>
          <w:color w:val="000000"/>
          <w:szCs w:val="24"/>
        </w:rPr>
      </w:pPr>
      <w:r>
        <w:rPr>
          <w:b/>
          <w:bCs/>
          <w:color w:val="000000"/>
          <w:szCs w:val="24"/>
        </w:rPr>
        <w:t>1）平面布置及建筑安全防范措施</w:t>
      </w:r>
    </w:p>
    <w:p w14:paraId="3E07B52D">
      <w:pPr>
        <w:widowControl w:val="0"/>
        <w:ind w:firstLine="480" w:firstLineChars="200"/>
        <w:rPr>
          <w:color w:val="000000"/>
          <w:szCs w:val="24"/>
        </w:rPr>
      </w:pPr>
      <w:r>
        <w:rPr>
          <w:color w:val="000000"/>
          <w:szCs w:val="24"/>
        </w:rPr>
        <w:t>( 1 )加强对工作区管理，严禁火源，对涉及危险物质的设施、储罐、管道等定期进行检查和维修，并使安全设施保持齐全 完善组织管理措施，培训职工掌握有关毒物的毒性及预防中毒的方法和急救法。</w:t>
      </w:r>
    </w:p>
    <w:p w14:paraId="203BF54F">
      <w:pPr>
        <w:widowControl w:val="0"/>
        <w:ind w:firstLine="480" w:firstLineChars="200"/>
        <w:rPr>
          <w:color w:val="000000"/>
          <w:szCs w:val="24"/>
        </w:rPr>
      </w:pPr>
      <w:r>
        <w:rPr>
          <w:color w:val="000000"/>
          <w:szCs w:val="24"/>
        </w:rPr>
        <w:t>( 2 )管理区应与生产区之间明显分隔，辅助生产区和仓库都应尽可能集中设置。</w:t>
      </w:r>
    </w:p>
    <w:p w14:paraId="0B080809">
      <w:pPr>
        <w:widowControl w:val="0"/>
        <w:ind w:firstLine="480" w:firstLineChars="200"/>
        <w:rPr>
          <w:color w:val="000000"/>
          <w:szCs w:val="24"/>
        </w:rPr>
      </w:pPr>
      <w:r>
        <w:rPr>
          <w:color w:val="000000"/>
          <w:szCs w:val="24"/>
        </w:rPr>
        <w:t>( 3 )合理布置工艺设备，要有利于安全生产和便于操作、控制；加强局部通风。</w:t>
      </w:r>
    </w:p>
    <w:p w14:paraId="3C2CD913">
      <w:pPr>
        <w:widowControl w:val="0"/>
        <w:ind w:firstLine="480" w:firstLineChars="200"/>
        <w:rPr>
          <w:color w:val="000000"/>
          <w:szCs w:val="24"/>
        </w:rPr>
      </w:pPr>
      <w:r>
        <w:rPr>
          <w:color w:val="000000"/>
          <w:szCs w:val="24"/>
        </w:rPr>
        <w:t>( 4 )项目新增区域应留有足够的消防环形通道，并保证消防、急救车辆到达该区域畅通无阻；道路宽度应符合有关规范要求。</w:t>
      </w:r>
    </w:p>
    <w:p w14:paraId="25DAFFCE">
      <w:pPr>
        <w:widowControl w:val="0"/>
        <w:ind w:firstLine="480" w:firstLineChars="200"/>
        <w:rPr>
          <w:color w:val="000000"/>
          <w:szCs w:val="24"/>
        </w:rPr>
      </w:pPr>
      <w:r>
        <w:rPr>
          <w:color w:val="000000"/>
          <w:szCs w:val="24"/>
        </w:rPr>
        <w:t>( 5 )设突发事件的人员应急疏散通道，根据项目所在地主导风向情况，应急疏散通道应通向风险源的上风向。</w:t>
      </w:r>
    </w:p>
    <w:p w14:paraId="111B8FBA">
      <w:pPr>
        <w:widowControl w:val="0"/>
        <w:ind w:firstLine="482" w:firstLineChars="200"/>
        <w:rPr>
          <w:b/>
          <w:bCs/>
          <w:color w:val="000000"/>
          <w:szCs w:val="24"/>
        </w:rPr>
      </w:pPr>
      <w:r>
        <w:rPr>
          <w:b/>
          <w:bCs/>
          <w:color w:val="000000"/>
          <w:szCs w:val="24"/>
        </w:rPr>
        <w:t>2）</w:t>
      </w:r>
      <w:bookmarkStart w:id="674" w:name="_Toc27648513"/>
      <w:r>
        <w:rPr>
          <w:b/>
          <w:bCs/>
          <w:color w:val="000000"/>
          <w:szCs w:val="24"/>
        </w:rPr>
        <w:t>工艺技术设计安全防范措施</w:t>
      </w:r>
      <w:bookmarkEnd w:id="674"/>
    </w:p>
    <w:p w14:paraId="3DFA28F1">
      <w:pPr>
        <w:widowControl w:val="0"/>
        <w:ind w:firstLine="480" w:firstLineChars="200"/>
        <w:rPr>
          <w:color w:val="000000"/>
          <w:szCs w:val="24"/>
        </w:rPr>
      </w:pPr>
      <w:r>
        <w:rPr>
          <w:color w:val="000000"/>
          <w:szCs w:val="24"/>
        </w:rPr>
        <w:t>对具有危险和有害因素的生产过程，应合理地采用集中控制技术，提高自动控制水平。</w:t>
      </w:r>
    </w:p>
    <w:p w14:paraId="02B74A8B">
      <w:pPr>
        <w:widowControl w:val="0"/>
        <w:ind w:firstLine="480" w:firstLineChars="200"/>
        <w:rPr>
          <w:color w:val="000000"/>
          <w:szCs w:val="24"/>
        </w:rPr>
      </w:pPr>
      <w:r>
        <w:rPr>
          <w:color w:val="000000"/>
          <w:szCs w:val="24"/>
        </w:rPr>
        <w:t>（1）物料泄漏的预防措施</w:t>
      </w:r>
    </w:p>
    <w:p w14:paraId="6B0B1E9C">
      <w:pPr>
        <w:widowControl w:val="0"/>
        <w:ind w:firstLine="480" w:firstLineChars="200"/>
        <w:rPr>
          <w:color w:val="000000"/>
          <w:szCs w:val="24"/>
        </w:rPr>
      </w:pPr>
      <w:r>
        <w:rPr>
          <w:color w:val="000000"/>
          <w:szCs w:val="24"/>
        </w:rPr>
        <w:t>①泄漏事故的防止是生产和储运过程中最重要的环节，发生泄漏可能引起毒物扩散等一系列重大事故。经验表明：设备失灵和人为的操作失误是引发泄漏的主要原因。因此，选用较好的设备、精心设计、严格管理和操作人员的责任心是减少泄漏事故的关键。</w:t>
      </w:r>
    </w:p>
    <w:p w14:paraId="4E7CD827">
      <w:pPr>
        <w:widowControl w:val="0"/>
        <w:ind w:firstLine="480" w:firstLineChars="200"/>
        <w:rPr>
          <w:color w:val="000000"/>
          <w:szCs w:val="24"/>
        </w:rPr>
      </w:pPr>
      <w:r>
        <w:rPr>
          <w:color w:val="000000"/>
          <w:szCs w:val="24"/>
        </w:rPr>
        <w:t>②对操作人员进行系统教育，严格按操作规程进行操作，严禁违章作业。</w:t>
      </w:r>
    </w:p>
    <w:p w14:paraId="3EF04B03">
      <w:pPr>
        <w:widowControl w:val="0"/>
        <w:ind w:firstLine="480" w:firstLineChars="200"/>
        <w:rPr>
          <w:color w:val="000000"/>
          <w:szCs w:val="24"/>
        </w:rPr>
      </w:pPr>
      <w:r>
        <w:rPr>
          <w:color w:val="000000"/>
          <w:szCs w:val="24"/>
        </w:rPr>
        <w:t>③经常对各类阀门进行检查和维修，以保证其严密性和灵活性。</w:t>
      </w:r>
    </w:p>
    <w:p w14:paraId="7F6E28ED">
      <w:pPr>
        <w:widowControl w:val="0"/>
        <w:ind w:firstLine="480" w:firstLineChars="200"/>
        <w:rPr>
          <w:color w:val="000000"/>
          <w:szCs w:val="24"/>
        </w:rPr>
      </w:pPr>
      <w:r>
        <w:rPr>
          <w:color w:val="000000"/>
          <w:szCs w:val="24"/>
        </w:rPr>
        <w:t>④项目应采用先进的工艺及操作系统，进行生产工序以及公用工程各工序的过程控制。</w:t>
      </w:r>
    </w:p>
    <w:p w14:paraId="4FF8AD2C">
      <w:pPr>
        <w:widowControl w:val="0"/>
        <w:ind w:firstLine="480" w:firstLineChars="200"/>
        <w:rPr>
          <w:color w:val="000000"/>
          <w:szCs w:val="24"/>
        </w:rPr>
      </w:pPr>
      <w:r>
        <w:rPr>
          <w:color w:val="000000"/>
          <w:szCs w:val="24"/>
        </w:rPr>
        <w:t>⑤提氦装置区并设置可燃气体泄漏探测器等。</w:t>
      </w:r>
    </w:p>
    <w:p w14:paraId="10C955D9">
      <w:pPr>
        <w:widowControl w:val="0"/>
        <w:ind w:firstLine="480" w:firstLineChars="200"/>
        <w:rPr>
          <w:color w:val="000000"/>
          <w:szCs w:val="24"/>
        </w:rPr>
      </w:pPr>
      <w:r>
        <w:rPr>
          <w:color w:val="000000"/>
          <w:szCs w:val="24"/>
        </w:rPr>
        <w:t>⑥提氦装置区、钢瓶充装区设边沟和收集井，与现有事故废水收集系统连通。</w:t>
      </w:r>
    </w:p>
    <w:p w14:paraId="5D7FB839">
      <w:pPr>
        <w:widowControl w:val="0"/>
        <w:ind w:firstLine="480" w:firstLineChars="200"/>
        <w:rPr>
          <w:color w:val="000000"/>
          <w:szCs w:val="24"/>
        </w:rPr>
      </w:pPr>
      <w:r>
        <w:rPr>
          <w:color w:val="000000"/>
          <w:szCs w:val="24"/>
        </w:rPr>
        <w:t>（2）爆炸的预防措施</w:t>
      </w:r>
    </w:p>
    <w:p w14:paraId="4CF46032">
      <w:pPr>
        <w:widowControl w:val="0"/>
        <w:ind w:firstLine="480" w:firstLineChars="200"/>
        <w:rPr>
          <w:color w:val="000000"/>
          <w:szCs w:val="24"/>
        </w:rPr>
      </w:pPr>
      <w:r>
        <w:rPr>
          <w:color w:val="000000"/>
          <w:szCs w:val="24"/>
        </w:rPr>
        <w:t>项目火灾爆炸事故为管线、粗氦冷箱发生泄漏，导致发生爆炸，项目采取以下措施预防：</w:t>
      </w:r>
    </w:p>
    <w:p w14:paraId="4BABE3F5">
      <w:pPr>
        <w:widowControl w:val="0"/>
        <w:ind w:firstLine="480" w:firstLineChars="200"/>
        <w:rPr>
          <w:color w:val="000000"/>
          <w:szCs w:val="24"/>
        </w:rPr>
      </w:pPr>
      <w:r>
        <w:rPr>
          <w:color w:val="000000"/>
          <w:szCs w:val="24"/>
        </w:rPr>
        <w:t>①设备的安全管理</w:t>
      </w:r>
    </w:p>
    <w:p w14:paraId="2DF7D382">
      <w:pPr>
        <w:widowControl w:val="0"/>
        <w:ind w:firstLine="480" w:firstLineChars="200"/>
        <w:rPr>
          <w:color w:val="000000"/>
          <w:szCs w:val="24"/>
        </w:rPr>
      </w:pPr>
      <w:r>
        <w:rPr>
          <w:color w:val="000000"/>
          <w:szCs w:val="24"/>
        </w:rPr>
        <w:t>定期对设备进行安全检测，检测内容、时间、人员应有记录保存。安全检测应根据设备的安全性、危险性设定检测频次。</w:t>
      </w:r>
    </w:p>
    <w:p w14:paraId="3516D077">
      <w:pPr>
        <w:widowControl w:val="0"/>
        <w:ind w:firstLine="480" w:firstLineChars="200"/>
        <w:rPr>
          <w:color w:val="000000"/>
          <w:szCs w:val="24"/>
        </w:rPr>
      </w:pPr>
      <w:r>
        <w:rPr>
          <w:color w:val="000000"/>
          <w:szCs w:val="24"/>
        </w:rPr>
        <w:t>②火源的管理</w:t>
      </w:r>
    </w:p>
    <w:p w14:paraId="3DED3717">
      <w:pPr>
        <w:widowControl w:val="0"/>
        <w:ind w:firstLine="480" w:firstLineChars="200"/>
        <w:rPr>
          <w:color w:val="000000"/>
          <w:szCs w:val="24"/>
        </w:rPr>
      </w:pPr>
      <w:r>
        <w:rPr>
          <w:color w:val="000000"/>
          <w:szCs w:val="24"/>
        </w:rPr>
        <w:t>明火控制其发生源为火柴、打火机等，维修用火控制，对设备维修检查，需进行维修焊接，应经安全部门确认、准许，并有记录在案。</w:t>
      </w:r>
    </w:p>
    <w:p w14:paraId="782611E2">
      <w:pPr>
        <w:widowControl w:val="0"/>
        <w:ind w:firstLine="480" w:firstLineChars="200"/>
        <w:rPr>
          <w:color w:val="000000"/>
          <w:szCs w:val="24"/>
        </w:rPr>
      </w:pPr>
      <w:r>
        <w:rPr>
          <w:color w:val="000000"/>
          <w:szCs w:val="24"/>
        </w:rPr>
        <w:t>③为了防止因设备故障和气候、风向引发的泄漏事故发生，确保操作检修人员的安全，公司应配备携带式可燃气体泄漏检查报警仪。</w:t>
      </w:r>
    </w:p>
    <w:p w14:paraId="029D6E9A">
      <w:pPr>
        <w:widowControl w:val="0"/>
        <w:ind w:firstLine="482" w:firstLineChars="200"/>
        <w:rPr>
          <w:color w:val="000000"/>
          <w:szCs w:val="24"/>
        </w:rPr>
      </w:pPr>
      <w:r>
        <w:rPr>
          <w:b/>
          <w:bCs/>
          <w:color w:val="000000"/>
          <w:szCs w:val="24"/>
        </w:rPr>
        <w:t>3）事故应急措施</w:t>
      </w:r>
    </w:p>
    <w:p w14:paraId="285DE62F">
      <w:pPr>
        <w:pStyle w:val="3"/>
        <w:widowControl w:val="0"/>
        <w:ind w:firstLineChars="200"/>
        <w:rPr>
          <w:rFonts w:ascii="Times New Roman" w:eastAsia="宋体"/>
          <w:color w:val="000000"/>
          <w:sz w:val="24"/>
          <w:szCs w:val="24"/>
        </w:rPr>
      </w:pPr>
      <w:r>
        <w:rPr>
          <w:rFonts w:ascii="Times New Roman" w:eastAsia="宋体"/>
          <w:color w:val="000000"/>
          <w:sz w:val="24"/>
          <w:szCs w:val="24"/>
        </w:rPr>
        <w:t>根据《化工建设项目环境保护设计规范》（GB50483-2009）和《事故状态下水体污染的预防与控制技术要求》（Q/SY1190-2009）中的相关规定设置，事故池容量按下公式计算：</w:t>
      </w:r>
    </w:p>
    <w:p w14:paraId="56112395">
      <w:pPr>
        <w:pStyle w:val="3"/>
        <w:widowControl w:val="0"/>
        <w:ind w:firstLineChars="200"/>
        <w:rPr>
          <w:rFonts w:ascii="Times New Roman" w:eastAsia="宋体"/>
          <w:color w:val="000000"/>
          <w:sz w:val="24"/>
          <w:szCs w:val="24"/>
        </w:rPr>
      </w:pPr>
      <w:r>
        <w:rPr>
          <w:rFonts w:ascii="Times New Roman" w:eastAsia="宋体"/>
          <w:color w:val="000000"/>
          <w:sz w:val="24"/>
          <w:szCs w:val="24"/>
        </w:rPr>
        <w:t>V=（V</w:t>
      </w:r>
      <w:r>
        <w:rPr>
          <w:rFonts w:ascii="Times New Roman" w:eastAsia="宋体"/>
          <w:color w:val="000000"/>
          <w:sz w:val="24"/>
          <w:szCs w:val="24"/>
          <w:vertAlign w:val="subscript"/>
        </w:rPr>
        <w:t>1</w:t>
      </w:r>
      <w:r>
        <w:rPr>
          <w:rFonts w:ascii="Times New Roman" w:eastAsia="宋体"/>
          <w:color w:val="000000"/>
          <w:sz w:val="24"/>
          <w:szCs w:val="24"/>
        </w:rPr>
        <w:t>+V</w:t>
      </w:r>
      <w:r>
        <w:rPr>
          <w:rFonts w:ascii="Times New Roman" w:eastAsia="宋体"/>
          <w:color w:val="000000"/>
          <w:sz w:val="24"/>
          <w:szCs w:val="24"/>
          <w:vertAlign w:val="subscript"/>
        </w:rPr>
        <w:t>2</w:t>
      </w:r>
      <w:r>
        <w:rPr>
          <w:rFonts w:ascii="Times New Roman" w:eastAsia="宋体"/>
          <w:color w:val="000000"/>
          <w:sz w:val="24"/>
          <w:szCs w:val="24"/>
        </w:rPr>
        <w:t>+V</w:t>
      </w:r>
      <w:r>
        <w:rPr>
          <w:rFonts w:ascii="Times New Roman" w:eastAsia="宋体"/>
          <w:color w:val="000000"/>
          <w:sz w:val="24"/>
          <w:szCs w:val="24"/>
          <w:vertAlign w:val="subscript"/>
        </w:rPr>
        <w:t>网</w:t>
      </w:r>
      <w:r>
        <w:rPr>
          <w:rFonts w:ascii="Times New Roman" w:eastAsia="宋体"/>
          <w:color w:val="000000"/>
          <w:sz w:val="24"/>
          <w:szCs w:val="24"/>
        </w:rPr>
        <w:t xml:space="preserve">）max </w:t>
      </w:r>
    </w:p>
    <w:p w14:paraId="326606B5">
      <w:pPr>
        <w:pStyle w:val="3"/>
        <w:widowControl w:val="0"/>
        <w:ind w:firstLineChars="200"/>
        <w:rPr>
          <w:rFonts w:ascii="Times New Roman" w:eastAsia="宋体"/>
          <w:color w:val="000000"/>
          <w:sz w:val="24"/>
          <w:szCs w:val="24"/>
        </w:rPr>
      </w:pPr>
      <w:r>
        <w:rPr>
          <w:rFonts w:ascii="Times New Roman" w:eastAsia="宋体"/>
          <w:color w:val="000000"/>
          <w:sz w:val="24"/>
          <w:szCs w:val="24"/>
        </w:rPr>
        <w:t>V——为应急事故废水最大计算量，m</w:t>
      </w:r>
      <w:r>
        <w:rPr>
          <w:rFonts w:ascii="Times New Roman" w:eastAsia="宋体"/>
          <w:color w:val="000000"/>
          <w:sz w:val="24"/>
          <w:szCs w:val="24"/>
          <w:vertAlign w:val="superscript"/>
        </w:rPr>
        <w:t>3</w:t>
      </w:r>
      <w:r>
        <w:rPr>
          <w:rFonts w:ascii="Times New Roman" w:eastAsia="宋体"/>
          <w:color w:val="000000"/>
          <w:sz w:val="24"/>
          <w:szCs w:val="24"/>
        </w:rPr>
        <w:t>；</w:t>
      </w:r>
    </w:p>
    <w:p w14:paraId="018022F3">
      <w:pPr>
        <w:pStyle w:val="3"/>
        <w:widowControl w:val="0"/>
        <w:ind w:firstLineChars="200"/>
        <w:rPr>
          <w:rFonts w:ascii="Times New Roman" w:eastAsia="宋体"/>
          <w:color w:val="000000"/>
          <w:sz w:val="24"/>
          <w:szCs w:val="24"/>
        </w:rPr>
      </w:pPr>
      <w:r>
        <w:rPr>
          <w:rFonts w:ascii="Times New Roman" w:eastAsia="宋体"/>
          <w:color w:val="000000"/>
          <w:sz w:val="24"/>
          <w:szCs w:val="24"/>
        </w:rPr>
        <w:t>V1 ——为最大一个容器的设备（装置）或贮罐的物料贮存量，本项目为BOG尾气提氦工程，当储罐或装置泄漏后，气体会迅速以气态方式散发到空气中，因此考虑V1为0m</w:t>
      </w:r>
      <w:r>
        <w:rPr>
          <w:rFonts w:ascii="Times New Roman" w:eastAsia="宋体"/>
          <w:color w:val="000000"/>
          <w:sz w:val="24"/>
          <w:szCs w:val="24"/>
          <w:vertAlign w:val="superscript"/>
        </w:rPr>
        <w:t>3</w:t>
      </w:r>
      <w:r>
        <w:rPr>
          <w:rFonts w:ascii="Times New Roman" w:eastAsia="宋体"/>
          <w:color w:val="000000"/>
          <w:sz w:val="24"/>
          <w:szCs w:val="24"/>
        </w:rPr>
        <w:t>；</w:t>
      </w:r>
    </w:p>
    <w:p w14:paraId="5F96EC40">
      <w:pPr>
        <w:ind w:firstLine="480"/>
        <w:rPr>
          <w:color w:val="000000"/>
          <w:szCs w:val="24"/>
        </w:rPr>
      </w:pPr>
      <w:r>
        <w:rPr>
          <w:color w:val="000000"/>
          <w:szCs w:val="24"/>
        </w:rPr>
        <w:t>V2 ——为在装置区或贮罐区一旦发生火灾爆炸及泄漏时的最大消防水量，m</w:t>
      </w:r>
      <w:r>
        <w:rPr>
          <w:color w:val="000000"/>
          <w:szCs w:val="24"/>
          <w:vertAlign w:val="superscript"/>
        </w:rPr>
        <w:t>3</w:t>
      </w:r>
      <w:r>
        <w:rPr>
          <w:color w:val="000000"/>
          <w:szCs w:val="24"/>
        </w:rPr>
        <w:t>；参考《石油天然气工程设计防火规范》（GB 50183-2004）中五级天然气净化厂装置区消防用水量计算，消火栓一次消防用水量为30L/S，本项目火灾延续供水时间按3h计算，则一次消防用水量为324m</w:t>
      </w:r>
      <w:r>
        <w:rPr>
          <w:color w:val="000000"/>
          <w:szCs w:val="24"/>
          <w:vertAlign w:val="superscript"/>
        </w:rPr>
        <w:t>3</w:t>
      </w:r>
      <w:r>
        <w:rPr>
          <w:color w:val="000000"/>
          <w:szCs w:val="24"/>
        </w:rPr>
        <w:t>。</w:t>
      </w:r>
    </w:p>
    <w:p w14:paraId="3B5C3670">
      <w:pPr>
        <w:ind w:firstLine="477" w:firstLineChars="199"/>
        <w:rPr>
          <w:color w:val="000000"/>
          <w:kern w:val="0"/>
          <w:szCs w:val="24"/>
        </w:rPr>
      </w:pPr>
      <w:r>
        <w:rPr>
          <w:color w:val="000000"/>
          <w:szCs w:val="24"/>
        </w:rPr>
        <w:t>V</w:t>
      </w:r>
      <w:r>
        <w:rPr>
          <w:color w:val="000000"/>
          <w:szCs w:val="24"/>
          <w:vertAlign w:val="subscript"/>
        </w:rPr>
        <w:t>雨</w:t>
      </w:r>
      <w:r>
        <w:rPr>
          <w:color w:val="000000"/>
          <w:szCs w:val="24"/>
        </w:rPr>
        <w:t>——为发生事故时可能进入该废水收集系统的当地的最大降雨量，m</w:t>
      </w:r>
      <w:r>
        <w:rPr>
          <w:color w:val="000000"/>
          <w:szCs w:val="24"/>
          <w:vertAlign w:val="superscript"/>
        </w:rPr>
        <w:t>3</w:t>
      </w:r>
      <w:r>
        <w:rPr>
          <w:color w:val="000000"/>
          <w:szCs w:val="24"/>
        </w:rPr>
        <w:t>，</w:t>
      </w:r>
      <w:r>
        <w:rPr>
          <w:color w:val="000000"/>
          <w:kern w:val="0"/>
          <w:szCs w:val="24"/>
        </w:rPr>
        <w:t>初期雨水按照中国石化安环部发布的《中国石油化工集团公司水体环境风险防控要点》中的公式进行计算：V=10qF</w:t>
      </w:r>
    </w:p>
    <w:p w14:paraId="1A3634EF">
      <w:pPr>
        <w:pStyle w:val="31"/>
        <w:spacing w:after="0"/>
        <w:ind w:firstLine="480" w:firstLineChars="200"/>
        <w:rPr>
          <w:color w:val="000000"/>
          <w:szCs w:val="24"/>
        </w:rPr>
      </w:pPr>
      <w:r>
        <w:rPr>
          <w:color w:val="000000"/>
          <w:szCs w:val="24"/>
        </w:rPr>
        <w:t>q——降雨强度，mm；按平均日降雨量；</w:t>
      </w:r>
    </w:p>
    <w:p w14:paraId="0E934738">
      <w:pPr>
        <w:pStyle w:val="31"/>
        <w:spacing w:after="0"/>
        <w:ind w:firstLine="480" w:firstLineChars="200"/>
        <w:rPr>
          <w:color w:val="000000"/>
          <w:szCs w:val="24"/>
        </w:rPr>
      </w:pPr>
      <w:r>
        <w:rPr>
          <w:color w:val="000000"/>
          <w:szCs w:val="24"/>
        </w:rPr>
        <w:t>q=qa/n  其中qa——年平均降雨量，mm； n——年平均降雨日数。</w:t>
      </w:r>
    </w:p>
    <w:p w14:paraId="657D56F4">
      <w:pPr>
        <w:pStyle w:val="31"/>
        <w:spacing w:after="0"/>
        <w:ind w:firstLine="480" w:firstLineChars="200"/>
        <w:rPr>
          <w:color w:val="000000"/>
          <w:szCs w:val="24"/>
        </w:rPr>
      </w:pPr>
      <w:r>
        <w:rPr>
          <w:color w:val="000000"/>
          <w:szCs w:val="24"/>
        </w:rPr>
        <w:t>F——必须进入事故废水收集系统的雨水汇水面积，ha；</w:t>
      </w:r>
    </w:p>
    <w:p w14:paraId="1CB7CD2E">
      <w:pPr>
        <w:pStyle w:val="31"/>
        <w:spacing w:after="0"/>
        <w:ind w:firstLine="480" w:firstLineChars="200"/>
        <w:rPr>
          <w:color w:val="000000"/>
          <w:szCs w:val="24"/>
        </w:rPr>
      </w:pPr>
      <w:r>
        <w:rPr>
          <w:color w:val="000000"/>
          <w:szCs w:val="24"/>
        </w:rPr>
        <w:t>根据资料，涪陵区年平均降水量为919.7mm，年均降雨日天数为150.2天，即平均日降雨量为6.12mm；全厂总的汇水面积为43000m</w:t>
      </w:r>
      <w:r>
        <w:rPr>
          <w:color w:val="000000"/>
          <w:szCs w:val="24"/>
          <w:vertAlign w:val="superscript"/>
        </w:rPr>
        <w:t>2</w:t>
      </w:r>
      <w:r>
        <w:rPr>
          <w:color w:val="000000"/>
          <w:szCs w:val="24"/>
        </w:rPr>
        <w:t>，故初期污染雨水量为263.16m</w:t>
      </w:r>
      <w:r>
        <w:rPr>
          <w:color w:val="000000"/>
          <w:szCs w:val="24"/>
          <w:vertAlign w:val="superscript"/>
        </w:rPr>
        <w:t>3</w:t>
      </w:r>
      <w:r>
        <w:rPr>
          <w:color w:val="000000"/>
          <w:szCs w:val="24"/>
        </w:rPr>
        <w:t>/次。</w:t>
      </w:r>
    </w:p>
    <w:p w14:paraId="376FEACF">
      <w:pPr>
        <w:pStyle w:val="2195"/>
        <w:adjustRightInd w:val="0"/>
        <w:spacing w:line="360" w:lineRule="auto"/>
        <w:ind w:firstLine="480" w:firstLineChars="200"/>
        <w:rPr>
          <w:rFonts w:ascii="Times New Roman" w:hAnsi="Times New Roman" w:cs="Times New Roman"/>
          <w:b w:val="0"/>
          <w:color w:val="000000"/>
          <w:sz w:val="24"/>
          <w:szCs w:val="24"/>
          <w:vertAlign w:val="superscript"/>
        </w:rPr>
      </w:pPr>
      <w:r>
        <w:rPr>
          <w:rFonts w:ascii="Times New Roman" w:hAnsi="Times New Roman" w:cs="Times New Roman"/>
          <w:b w:val="0"/>
          <w:color w:val="000000"/>
          <w:sz w:val="24"/>
          <w:szCs w:val="24"/>
        </w:rPr>
        <w:t>V=0m</w:t>
      </w:r>
      <w:r>
        <w:rPr>
          <w:rFonts w:ascii="Times New Roman" w:hAnsi="Times New Roman" w:cs="Times New Roman"/>
          <w:b w:val="0"/>
          <w:color w:val="000000"/>
          <w:sz w:val="24"/>
          <w:szCs w:val="24"/>
          <w:vertAlign w:val="superscript"/>
        </w:rPr>
        <w:t>3</w:t>
      </w:r>
      <w:r>
        <w:rPr>
          <w:rFonts w:ascii="Times New Roman" w:hAnsi="Times New Roman" w:cs="Times New Roman"/>
          <w:b w:val="0"/>
          <w:color w:val="000000"/>
          <w:sz w:val="24"/>
          <w:szCs w:val="24"/>
        </w:rPr>
        <w:t>+324m</w:t>
      </w:r>
      <w:r>
        <w:rPr>
          <w:rFonts w:ascii="Times New Roman" w:hAnsi="Times New Roman" w:cs="Times New Roman"/>
          <w:b w:val="0"/>
          <w:color w:val="000000"/>
          <w:sz w:val="24"/>
          <w:szCs w:val="24"/>
          <w:vertAlign w:val="superscript"/>
        </w:rPr>
        <w:t>3</w:t>
      </w:r>
      <w:r>
        <w:rPr>
          <w:rFonts w:ascii="Times New Roman" w:hAnsi="Times New Roman" w:cs="Times New Roman"/>
          <w:b w:val="0"/>
          <w:color w:val="000000"/>
          <w:sz w:val="24"/>
          <w:szCs w:val="24"/>
        </w:rPr>
        <w:t>+263.16m</w:t>
      </w:r>
      <w:r>
        <w:rPr>
          <w:rFonts w:ascii="Times New Roman" w:hAnsi="Times New Roman" w:cs="Times New Roman"/>
          <w:b w:val="0"/>
          <w:color w:val="000000"/>
          <w:sz w:val="24"/>
          <w:szCs w:val="24"/>
          <w:vertAlign w:val="superscript"/>
        </w:rPr>
        <w:t>3</w:t>
      </w:r>
      <w:r>
        <w:rPr>
          <w:rFonts w:ascii="Times New Roman" w:hAnsi="Times New Roman" w:cs="Times New Roman"/>
          <w:b w:val="0"/>
          <w:color w:val="000000"/>
          <w:sz w:val="24"/>
          <w:szCs w:val="24"/>
        </w:rPr>
        <w:t>=587.16m</w:t>
      </w:r>
      <w:r>
        <w:rPr>
          <w:rFonts w:ascii="Times New Roman" w:hAnsi="Times New Roman" w:cs="Times New Roman"/>
          <w:b w:val="0"/>
          <w:color w:val="000000"/>
          <w:sz w:val="24"/>
          <w:szCs w:val="24"/>
          <w:vertAlign w:val="superscript"/>
        </w:rPr>
        <w:t>3</w:t>
      </w:r>
      <w:r>
        <w:rPr>
          <w:rFonts w:ascii="Times New Roman" w:hAnsi="Times New Roman" w:cs="Times New Roman"/>
          <w:b w:val="0"/>
          <w:color w:val="000000"/>
          <w:sz w:val="24"/>
          <w:szCs w:val="24"/>
        </w:rPr>
        <w:t>。</w:t>
      </w:r>
    </w:p>
    <w:p w14:paraId="22220B3C">
      <w:pPr>
        <w:ind w:firstLine="480"/>
        <w:rPr>
          <w:color w:val="000000"/>
          <w:szCs w:val="24"/>
        </w:rPr>
      </w:pPr>
      <w:r>
        <w:rPr>
          <w:color w:val="000000"/>
          <w:szCs w:val="24"/>
        </w:rPr>
        <w:t>LNG工厂现有事故水池容积1000m</w:t>
      </w:r>
      <w:r>
        <w:rPr>
          <w:color w:val="000000"/>
          <w:szCs w:val="24"/>
          <w:vertAlign w:val="superscript"/>
        </w:rPr>
        <w:t>3</w:t>
      </w:r>
      <w:r>
        <w:rPr>
          <w:color w:val="000000"/>
          <w:szCs w:val="24"/>
        </w:rPr>
        <w:t>，满足本项目事故废水排放要求。根据《石油天然气工程设计防火规范》，全厂仅考虑最大一次消防水量，故不考虑现有工程同时发生火灾的情况。提氦装置区、钢瓶充装区设边沟和收集井，与现有事故废水收集系统连通，防止事故发生时造成事故废水漫流的现象。</w:t>
      </w:r>
    </w:p>
    <w:p w14:paraId="40F58890">
      <w:pPr>
        <w:widowControl w:val="0"/>
        <w:ind w:firstLine="480" w:firstLineChars="200"/>
        <w:rPr>
          <w:color w:val="000000"/>
          <w:szCs w:val="24"/>
        </w:rPr>
      </w:pPr>
      <w:r>
        <w:rPr>
          <w:color w:val="000000"/>
          <w:szCs w:val="24"/>
        </w:rPr>
        <w:t>项目依托现有LNG工厂的事故水池，该事故水池涉及的废水渠道应与所有风险单元相联通，事故结束后，事故池受纳的废水经提升泵装入污水车送至污水处理厂污水处理系统处理。</w:t>
      </w:r>
    </w:p>
    <w:p w14:paraId="3AC32A4E">
      <w:pPr>
        <w:ind w:firstLine="480" w:firstLineChars="200"/>
        <w:rPr>
          <w:color w:val="000000"/>
          <w:szCs w:val="24"/>
        </w:rPr>
      </w:pPr>
      <w:r>
        <w:rPr>
          <w:color w:val="000000"/>
          <w:szCs w:val="24"/>
        </w:rPr>
        <w:t xml:space="preserve"> 综上所述，采取各项风险防范措施前提下，环境风险可控。</w:t>
      </w:r>
    </w:p>
    <w:p w14:paraId="2A135E61">
      <w:pPr>
        <w:pStyle w:val="2"/>
        <w:ind w:left="480"/>
        <w:rPr>
          <w:rFonts w:ascii="Times New Roman" w:hAnsi="Times New Roman" w:cs="Times New Roman"/>
          <w:color w:val="000000"/>
        </w:rPr>
      </w:pPr>
    </w:p>
    <w:p w14:paraId="67AF4030">
      <w:pPr>
        <w:ind w:firstLine="480"/>
        <w:rPr>
          <w:color w:val="000000"/>
        </w:rPr>
        <w:sectPr>
          <w:pgSz w:w="11905" w:h="16838"/>
          <w:pgMar w:top="1440" w:right="1803" w:bottom="1440" w:left="1803" w:header="850" w:footer="907" w:gutter="0"/>
          <w:cols w:space="720" w:num="1"/>
          <w:docGrid w:type="lines" w:linePitch="332" w:charSpace="0"/>
        </w:sectPr>
      </w:pPr>
    </w:p>
    <w:p w14:paraId="206E733D">
      <w:pPr>
        <w:pStyle w:val="770"/>
        <w:rPr>
          <w:color w:val="000000"/>
        </w:rPr>
      </w:pPr>
      <w:bookmarkStart w:id="675" w:name="_Toc15499401"/>
      <w:bookmarkStart w:id="676" w:name="_Toc15499641"/>
      <w:bookmarkStart w:id="677" w:name="_Toc14635"/>
      <w:bookmarkStart w:id="678" w:name="_Toc21961520"/>
      <w:r>
        <w:rPr>
          <w:color w:val="000000"/>
        </w:rPr>
        <w:t>6.7 突发环境事件应急预案</w:t>
      </w:r>
      <w:bookmarkEnd w:id="675"/>
      <w:bookmarkEnd w:id="676"/>
      <w:bookmarkEnd w:id="677"/>
      <w:bookmarkEnd w:id="678"/>
    </w:p>
    <w:p w14:paraId="4FAD02E6">
      <w:pPr>
        <w:pStyle w:val="773"/>
        <w:spacing w:line="360" w:lineRule="auto"/>
        <w:ind w:firstLine="480"/>
        <w:rPr>
          <w:rFonts w:ascii="Times New Roman"/>
          <w:bCs/>
          <w:color w:val="000000"/>
          <w:kern w:val="2"/>
          <w:szCs w:val="24"/>
        </w:rPr>
      </w:pPr>
      <w:bookmarkStart w:id="679" w:name="_Toc462350320"/>
      <w:bookmarkStart w:id="680" w:name="_Toc370774302"/>
      <w:bookmarkStart w:id="681" w:name="_Toc505201820"/>
      <w:bookmarkStart w:id="682" w:name="_Toc325111380"/>
      <w:bookmarkStart w:id="683" w:name="_Toc12607835"/>
      <w:bookmarkStart w:id="684" w:name="_Toc439249545"/>
      <w:bookmarkStart w:id="685" w:name="_Toc325117109"/>
      <w:bookmarkStart w:id="686" w:name="_Toc325121216"/>
      <w:bookmarkStart w:id="687" w:name="_Toc21961526"/>
      <w:bookmarkStart w:id="688" w:name="_Toc15499647"/>
      <w:bookmarkStart w:id="689" w:name="_Toc15499407"/>
      <w:r>
        <w:rPr>
          <w:rFonts w:ascii="Times New Roman"/>
          <w:bCs/>
          <w:color w:val="000000"/>
          <w:kern w:val="2"/>
          <w:szCs w:val="24"/>
        </w:rPr>
        <w:t>LNG工厂于2021年1月编制了《突发环境事件风险评估》和《突发环境事件应急预案》，并于2021年5月7日在重庆市涪陵区生态环境局备案，本项目新增了环境风险单元，需对现有风险评估及应急预案进行修订。</w:t>
      </w:r>
    </w:p>
    <w:p w14:paraId="1FAEE7ED">
      <w:pPr>
        <w:tabs>
          <w:tab w:val="left" w:pos="1680"/>
        </w:tabs>
        <w:ind w:firstLine="480" w:firstLineChars="200"/>
        <w:rPr>
          <w:bCs/>
          <w:color w:val="000000"/>
          <w:szCs w:val="24"/>
        </w:rPr>
      </w:pPr>
      <w:r>
        <w:rPr>
          <w:bCs/>
          <w:color w:val="000000"/>
          <w:szCs w:val="24"/>
        </w:rPr>
        <w:t>应急预案内容列于表6.7-1。</w:t>
      </w:r>
    </w:p>
    <w:p w14:paraId="5D6BD9C5">
      <w:pPr>
        <w:ind w:firstLine="1680" w:firstLineChars="700"/>
        <w:rPr>
          <w:color w:val="000000"/>
        </w:rPr>
      </w:pPr>
      <w:r>
        <w:rPr>
          <w:color w:val="000000"/>
        </w:rPr>
        <w:t>表6.7-1           突发事故应急预案纲要</w:t>
      </w:r>
    </w:p>
    <w:tbl>
      <w:tblPr>
        <w:tblStyle w:val="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2619"/>
        <w:gridCol w:w="5923"/>
      </w:tblGrid>
      <w:tr w14:paraId="1B21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dxa"/>
            <w:tcBorders>
              <w:top w:val="single" w:color="auto" w:sz="12" w:space="0"/>
              <w:left w:val="single" w:color="auto" w:sz="12" w:space="0"/>
              <w:bottom w:val="single" w:color="auto" w:sz="12" w:space="0"/>
            </w:tcBorders>
            <w:vAlign w:val="center"/>
          </w:tcPr>
          <w:p w14:paraId="584BD458">
            <w:pPr>
              <w:tabs>
                <w:tab w:val="left" w:pos="1680"/>
              </w:tabs>
              <w:jc w:val="center"/>
              <w:rPr>
                <w:color w:val="000000"/>
                <w:sz w:val="21"/>
              </w:rPr>
            </w:pPr>
            <w:r>
              <w:rPr>
                <w:color w:val="000000"/>
                <w:sz w:val="21"/>
              </w:rPr>
              <w:t>序号</w:t>
            </w:r>
          </w:p>
        </w:tc>
        <w:tc>
          <w:tcPr>
            <w:tcW w:w="2619" w:type="dxa"/>
            <w:tcBorders>
              <w:top w:val="single" w:color="auto" w:sz="12" w:space="0"/>
              <w:bottom w:val="single" w:color="auto" w:sz="12" w:space="0"/>
            </w:tcBorders>
            <w:vAlign w:val="center"/>
          </w:tcPr>
          <w:p w14:paraId="2754ABD0">
            <w:pPr>
              <w:tabs>
                <w:tab w:val="left" w:pos="1680"/>
              </w:tabs>
              <w:jc w:val="center"/>
              <w:rPr>
                <w:color w:val="000000"/>
                <w:sz w:val="21"/>
              </w:rPr>
            </w:pPr>
            <w:r>
              <w:rPr>
                <w:color w:val="000000"/>
                <w:sz w:val="21"/>
              </w:rPr>
              <w:t>项目</w:t>
            </w:r>
          </w:p>
        </w:tc>
        <w:tc>
          <w:tcPr>
            <w:tcW w:w="5923" w:type="dxa"/>
            <w:tcBorders>
              <w:top w:val="single" w:color="auto" w:sz="12" w:space="0"/>
              <w:bottom w:val="single" w:color="auto" w:sz="12" w:space="0"/>
              <w:right w:val="single" w:color="auto" w:sz="12" w:space="0"/>
            </w:tcBorders>
            <w:vAlign w:val="center"/>
          </w:tcPr>
          <w:p w14:paraId="5451A391">
            <w:pPr>
              <w:tabs>
                <w:tab w:val="left" w:pos="1680"/>
              </w:tabs>
              <w:jc w:val="center"/>
              <w:rPr>
                <w:color w:val="000000"/>
                <w:sz w:val="21"/>
              </w:rPr>
            </w:pPr>
            <w:r>
              <w:rPr>
                <w:color w:val="000000"/>
                <w:sz w:val="21"/>
              </w:rPr>
              <w:t>内容及要求</w:t>
            </w:r>
          </w:p>
        </w:tc>
      </w:tr>
      <w:tr w14:paraId="27E1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dxa"/>
            <w:tcBorders>
              <w:top w:val="single" w:color="auto" w:sz="12" w:space="0"/>
              <w:left w:val="single" w:color="auto" w:sz="12" w:space="0"/>
            </w:tcBorders>
            <w:vAlign w:val="center"/>
          </w:tcPr>
          <w:p w14:paraId="71DEC0EA">
            <w:pPr>
              <w:tabs>
                <w:tab w:val="left" w:pos="1680"/>
              </w:tabs>
              <w:jc w:val="center"/>
              <w:rPr>
                <w:color w:val="000000"/>
                <w:sz w:val="21"/>
              </w:rPr>
            </w:pPr>
            <w:r>
              <w:rPr>
                <w:color w:val="000000"/>
                <w:sz w:val="21"/>
              </w:rPr>
              <w:t>1</w:t>
            </w:r>
          </w:p>
        </w:tc>
        <w:tc>
          <w:tcPr>
            <w:tcW w:w="2619" w:type="dxa"/>
            <w:tcBorders>
              <w:top w:val="single" w:color="auto" w:sz="12" w:space="0"/>
            </w:tcBorders>
            <w:vAlign w:val="center"/>
          </w:tcPr>
          <w:p w14:paraId="2A59778C">
            <w:pPr>
              <w:tabs>
                <w:tab w:val="left" w:pos="1680"/>
              </w:tabs>
              <w:jc w:val="center"/>
              <w:rPr>
                <w:color w:val="000000"/>
                <w:sz w:val="21"/>
              </w:rPr>
            </w:pPr>
            <w:r>
              <w:rPr>
                <w:color w:val="000000"/>
                <w:sz w:val="21"/>
              </w:rPr>
              <w:t>危险源概况</w:t>
            </w:r>
          </w:p>
        </w:tc>
        <w:tc>
          <w:tcPr>
            <w:tcW w:w="5923" w:type="dxa"/>
            <w:tcBorders>
              <w:top w:val="single" w:color="auto" w:sz="12" w:space="0"/>
              <w:right w:val="single" w:color="auto" w:sz="12" w:space="0"/>
            </w:tcBorders>
            <w:vAlign w:val="center"/>
          </w:tcPr>
          <w:p w14:paraId="6D830CA0">
            <w:pPr>
              <w:tabs>
                <w:tab w:val="left" w:pos="1680"/>
              </w:tabs>
              <w:rPr>
                <w:color w:val="000000"/>
                <w:sz w:val="21"/>
              </w:rPr>
            </w:pPr>
            <w:r>
              <w:rPr>
                <w:color w:val="000000"/>
                <w:sz w:val="21"/>
              </w:rPr>
              <w:t>详述危险源类型、数量及其分布</w:t>
            </w:r>
          </w:p>
        </w:tc>
      </w:tr>
      <w:tr w14:paraId="2AD5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dxa"/>
            <w:tcBorders>
              <w:left w:val="single" w:color="auto" w:sz="12" w:space="0"/>
            </w:tcBorders>
            <w:vAlign w:val="center"/>
          </w:tcPr>
          <w:p w14:paraId="18C8CC23">
            <w:pPr>
              <w:tabs>
                <w:tab w:val="left" w:pos="1680"/>
              </w:tabs>
              <w:jc w:val="center"/>
              <w:rPr>
                <w:color w:val="000000"/>
                <w:sz w:val="21"/>
              </w:rPr>
            </w:pPr>
            <w:r>
              <w:rPr>
                <w:color w:val="000000"/>
                <w:sz w:val="21"/>
              </w:rPr>
              <w:t>2</w:t>
            </w:r>
          </w:p>
        </w:tc>
        <w:tc>
          <w:tcPr>
            <w:tcW w:w="2619" w:type="dxa"/>
            <w:vAlign w:val="center"/>
          </w:tcPr>
          <w:p w14:paraId="5A0403AE">
            <w:pPr>
              <w:tabs>
                <w:tab w:val="left" w:pos="1680"/>
              </w:tabs>
              <w:jc w:val="center"/>
              <w:rPr>
                <w:color w:val="000000"/>
                <w:sz w:val="21"/>
              </w:rPr>
            </w:pPr>
            <w:r>
              <w:rPr>
                <w:color w:val="000000"/>
                <w:sz w:val="21"/>
              </w:rPr>
              <w:t>应急计划区</w:t>
            </w:r>
          </w:p>
        </w:tc>
        <w:tc>
          <w:tcPr>
            <w:tcW w:w="5923" w:type="dxa"/>
            <w:tcBorders>
              <w:right w:val="single" w:color="auto" w:sz="12" w:space="0"/>
            </w:tcBorders>
            <w:vAlign w:val="center"/>
          </w:tcPr>
          <w:p w14:paraId="2ABF1DB6">
            <w:pPr>
              <w:tabs>
                <w:tab w:val="left" w:pos="1680"/>
              </w:tabs>
              <w:rPr>
                <w:color w:val="000000"/>
                <w:sz w:val="21"/>
              </w:rPr>
            </w:pPr>
            <w:r>
              <w:rPr>
                <w:color w:val="000000"/>
                <w:sz w:val="21"/>
              </w:rPr>
              <w:t>生产区、储存区、邻近生产区</w:t>
            </w:r>
          </w:p>
        </w:tc>
      </w:tr>
      <w:tr w14:paraId="78C1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dxa"/>
            <w:tcBorders>
              <w:left w:val="single" w:color="auto" w:sz="12" w:space="0"/>
            </w:tcBorders>
            <w:vAlign w:val="center"/>
          </w:tcPr>
          <w:p w14:paraId="3D9E32FE">
            <w:pPr>
              <w:tabs>
                <w:tab w:val="left" w:pos="1680"/>
              </w:tabs>
              <w:jc w:val="center"/>
              <w:rPr>
                <w:color w:val="000000"/>
                <w:sz w:val="21"/>
              </w:rPr>
            </w:pPr>
            <w:r>
              <w:rPr>
                <w:color w:val="000000"/>
                <w:sz w:val="21"/>
              </w:rPr>
              <w:t>3</w:t>
            </w:r>
          </w:p>
        </w:tc>
        <w:tc>
          <w:tcPr>
            <w:tcW w:w="2619" w:type="dxa"/>
            <w:vAlign w:val="center"/>
          </w:tcPr>
          <w:p w14:paraId="58ECE9E0">
            <w:pPr>
              <w:tabs>
                <w:tab w:val="left" w:pos="1680"/>
              </w:tabs>
              <w:jc w:val="center"/>
              <w:rPr>
                <w:color w:val="000000"/>
                <w:sz w:val="21"/>
              </w:rPr>
            </w:pPr>
            <w:r>
              <w:rPr>
                <w:color w:val="000000"/>
                <w:sz w:val="21"/>
              </w:rPr>
              <w:t>应急组织机构、人员</w:t>
            </w:r>
          </w:p>
        </w:tc>
        <w:tc>
          <w:tcPr>
            <w:tcW w:w="5923" w:type="dxa"/>
            <w:tcBorders>
              <w:right w:val="single" w:color="auto" w:sz="12" w:space="0"/>
            </w:tcBorders>
            <w:vAlign w:val="center"/>
          </w:tcPr>
          <w:p w14:paraId="7878C408">
            <w:pPr>
              <w:tabs>
                <w:tab w:val="left" w:pos="1680"/>
              </w:tabs>
              <w:rPr>
                <w:color w:val="000000"/>
                <w:sz w:val="21"/>
              </w:rPr>
            </w:pPr>
            <w:r>
              <w:rPr>
                <w:color w:val="000000"/>
                <w:sz w:val="21"/>
              </w:rPr>
              <w:t>工厂：厂指挥部—负责现场全面指挥；专业救援队伍—负责事故控制、救援、善后处理</w:t>
            </w:r>
          </w:p>
          <w:p w14:paraId="5583D4D9">
            <w:pPr>
              <w:tabs>
                <w:tab w:val="left" w:pos="1680"/>
              </w:tabs>
              <w:rPr>
                <w:color w:val="000000"/>
                <w:sz w:val="21"/>
              </w:rPr>
            </w:pPr>
            <w:r>
              <w:rPr>
                <w:color w:val="000000"/>
                <w:sz w:val="21"/>
              </w:rPr>
              <w:t>地区：地区指挥部—负责工厂附近地区全面指挥、救援、管制、疏散；专业救援队伍—负责对厂专业救援队伍的支援</w:t>
            </w:r>
          </w:p>
        </w:tc>
      </w:tr>
      <w:tr w14:paraId="3D81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dxa"/>
            <w:tcBorders>
              <w:left w:val="single" w:color="auto" w:sz="12" w:space="0"/>
            </w:tcBorders>
            <w:vAlign w:val="center"/>
          </w:tcPr>
          <w:p w14:paraId="16A36ACE">
            <w:pPr>
              <w:tabs>
                <w:tab w:val="left" w:pos="1680"/>
              </w:tabs>
              <w:jc w:val="center"/>
              <w:rPr>
                <w:color w:val="000000"/>
                <w:sz w:val="21"/>
              </w:rPr>
            </w:pPr>
            <w:r>
              <w:rPr>
                <w:color w:val="000000"/>
                <w:sz w:val="21"/>
              </w:rPr>
              <w:t>4</w:t>
            </w:r>
          </w:p>
        </w:tc>
        <w:tc>
          <w:tcPr>
            <w:tcW w:w="2619" w:type="dxa"/>
            <w:vAlign w:val="center"/>
          </w:tcPr>
          <w:p w14:paraId="7F4A3CFF">
            <w:pPr>
              <w:tabs>
                <w:tab w:val="left" w:pos="1680"/>
              </w:tabs>
              <w:jc w:val="center"/>
              <w:rPr>
                <w:color w:val="000000"/>
                <w:sz w:val="21"/>
              </w:rPr>
            </w:pPr>
            <w:r>
              <w:rPr>
                <w:color w:val="000000"/>
                <w:sz w:val="21"/>
              </w:rPr>
              <w:t>预案分级响应条件</w:t>
            </w:r>
          </w:p>
        </w:tc>
        <w:tc>
          <w:tcPr>
            <w:tcW w:w="5923" w:type="dxa"/>
            <w:tcBorders>
              <w:right w:val="single" w:color="auto" w:sz="12" w:space="0"/>
            </w:tcBorders>
            <w:vAlign w:val="center"/>
          </w:tcPr>
          <w:p w14:paraId="4FEE611A">
            <w:pPr>
              <w:tabs>
                <w:tab w:val="left" w:pos="1680"/>
              </w:tabs>
              <w:rPr>
                <w:color w:val="000000"/>
                <w:sz w:val="21"/>
              </w:rPr>
            </w:pPr>
            <w:r>
              <w:rPr>
                <w:color w:val="000000"/>
                <w:sz w:val="21"/>
              </w:rPr>
              <w:t>规定预案的级别及分级响应程序</w:t>
            </w:r>
          </w:p>
        </w:tc>
      </w:tr>
      <w:tr w14:paraId="327D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dxa"/>
            <w:tcBorders>
              <w:left w:val="single" w:color="auto" w:sz="12" w:space="0"/>
            </w:tcBorders>
            <w:vAlign w:val="center"/>
          </w:tcPr>
          <w:p w14:paraId="65A945DD">
            <w:pPr>
              <w:tabs>
                <w:tab w:val="left" w:pos="1680"/>
              </w:tabs>
              <w:jc w:val="center"/>
              <w:rPr>
                <w:color w:val="000000"/>
                <w:sz w:val="21"/>
              </w:rPr>
            </w:pPr>
            <w:r>
              <w:rPr>
                <w:color w:val="000000"/>
                <w:sz w:val="21"/>
              </w:rPr>
              <w:t>5</w:t>
            </w:r>
          </w:p>
        </w:tc>
        <w:tc>
          <w:tcPr>
            <w:tcW w:w="2619" w:type="dxa"/>
            <w:vAlign w:val="center"/>
          </w:tcPr>
          <w:p w14:paraId="48118141">
            <w:pPr>
              <w:tabs>
                <w:tab w:val="left" w:pos="1680"/>
              </w:tabs>
              <w:jc w:val="center"/>
              <w:rPr>
                <w:color w:val="000000"/>
                <w:sz w:val="21"/>
              </w:rPr>
            </w:pPr>
            <w:r>
              <w:rPr>
                <w:color w:val="000000"/>
                <w:sz w:val="21"/>
              </w:rPr>
              <w:t>应急救援保障</w:t>
            </w:r>
          </w:p>
        </w:tc>
        <w:tc>
          <w:tcPr>
            <w:tcW w:w="5923" w:type="dxa"/>
            <w:tcBorders>
              <w:right w:val="single" w:color="auto" w:sz="12" w:space="0"/>
            </w:tcBorders>
            <w:vAlign w:val="center"/>
          </w:tcPr>
          <w:p w14:paraId="671DB9DF">
            <w:pPr>
              <w:tabs>
                <w:tab w:val="left" w:pos="1680"/>
              </w:tabs>
              <w:rPr>
                <w:color w:val="000000"/>
                <w:sz w:val="21"/>
              </w:rPr>
            </w:pPr>
            <w:r>
              <w:rPr>
                <w:color w:val="000000"/>
                <w:sz w:val="21"/>
              </w:rPr>
              <w:t>生产装置及罐区：防火灾、爆炸事故应急设施、设备与材料，主要为消防器材；防物料外溢、扩散，主要是抗溶性泡沫、干粉、二氧化碳灭火器</w:t>
            </w:r>
          </w:p>
        </w:tc>
      </w:tr>
      <w:tr w14:paraId="26D7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dxa"/>
            <w:tcBorders>
              <w:left w:val="single" w:color="auto" w:sz="12" w:space="0"/>
            </w:tcBorders>
            <w:vAlign w:val="center"/>
          </w:tcPr>
          <w:p w14:paraId="4AC47130">
            <w:pPr>
              <w:tabs>
                <w:tab w:val="left" w:pos="1680"/>
              </w:tabs>
              <w:jc w:val="center"/>
              <w:rPr>
                <w:color w:val="000000"/>
                <w:sz w:val="21"/>
              </w:rPr>
            </w:pPr>
            <w:r>
              <w:rPr>
                <w:color w:val="000000"/>
                <w:sz w:val="21"/>
              </w:rPr>
              <w:t>6</w:t>
            </w:r>
          </w:p>
        </w:tc>
        <w:tc>
          <w:tcPr>
            <w:tcW w:w="2619" w:type="dxa"/>
            <w:vAlign w:val="center"/>
          </w:tcPr>
          <w:p w14:paraId="67EF7FA3">
            <w:pPr>
              <w:tabs>
                <w:tab w:val="left" w:pos="1680"/>
              </w:tabs>
              <w:jc w:val="center"/>
              <w:rPr>
                <w:color w:val="000000"/>
                <w:sz w:val="21"/>
              </w:rPr>
            </w:pPr>
            <w:r>
              <w:rPr>
                <w:color w:val="000000"/>
                <w:sz w:val="21"/>
              </w:rPr>
              <w:t>报警、通讯联络方式</w:t>
            </w:r>
          </w:p>
        </w:tc>
        <w:tc>
          <w:tcPr>
            <w:tcW w:w="5923" w:type="dxa"/>
            <w:tcBorders>
              <w:right w:val="single" w:color="auto" w:sz="12" w:space="0"/>
            </w:tcBorders>
            <w:vAlign w:val="center"/>
          </w:tcPr>
          <w:p w14:paraId="2278E030">
            <w:pPr>
              <w:tabs>
                <w:tab w:val="left" w:pos="1680"/>
              </w:tabs>
              <w:rPr>
                <w:color w:val="000000"/>
                <w:sz w:val="21"/>
              </w:rPr>
            </w:pPr>
            <w:r>
              <w:rPr>
                <w:color w:val="000000"/>
                <w:sz w:val="21"/>
              </w:rPr>
              <w:t>应急状态下的通讯方式、通知方式和交通保障、管制</w:t>
            </w:r>
          </w:p>
        </w:tc>
      </w:tr>
      <w:tr w14:paraId="3324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dxa"/>
            <w:tcBorders>
              <w:left w:val="single" w:color="auto" w:sz="12" w:space="0"/>
            </w:tcBorders>
            <w:vAlign w:val="center"/>
          </w:tcPr>
          <w:p w14:paraId="33FBE549">
            <w:pPr>
              <w:tabs>
                <w:tab w:val="left" w:pos="1680"/>
              </w:tabs>
              <w:jc w:val="center"/>
              <w:rPr>
                <w:color w:val="000000"/>
                <w:sz w:val="21"/>
              </w:rPr>
            </w:pPr>
            <w:r>
              <w:rPr>
                <w:color w:val="000000"/>
                <w:sz w:val="21"/>
              </w:rPr>
              <w:t>7</w:t>
            </w:r>
          </w:p>
        </w:tc>
        <w:tc>
          <w:tcPr>
            <w:tcW w:w="2619" w:type="dxa"/>
            <w:vAlign w:val="center"/>
          </w:tcPr>
          <w:p w14:paraId="76FEDD7A">
            <w:pPr>
              <w:tabs>
                <w:tab w:val="left" w:pos="1680"/>
              </w:tabs>
              <w:jc w:val="center"/>
              <w:rPr>
                <w:color w:val="000000"/>
                <w:sz w:val="21"/>
              </w:rPr>
            </w:pPr>
            <w:r>
              <w:rPr>
                <w:color w:val="000000"/>
                <w:sz w:val="21"/>
              </w:rPr>
              <w:t>应急环境监测、抢险、救援及控制措施</w:t>
            </w:r>
          </w:p>
        </w:tc>
        <w:tc>
          <w:tcPr>
            <w:tcW w:w="5923" w:type="dxa"/>
            <w:tcBorders>
              <w:right w:val="single" w:color="auto" w:sz="12" w:space="0"/>
            </w:tcBorders>
            <w:vAlign w:val="center"/>
          </w:tcPr>
          <w:p w14:paraId="1115DF90">
            <w:pPr>
              <w:tabs>
                <w:tab w:val="left" w:pos="1680"/>
              </w:tabs>
              <w:rPr>
                <w:color w:val="000000"/>
                <w:sz w:val="21"/>
              </w:rPr>
            </w:pPr>
            <w:r>
              <w:rPr>
                <w:color w:val="000000"/>
                <w:sz w:val="21"/>
              </w:rPr>
              <w:t>由专业队伍负责对事故现场进行侦察监测，对事故性质、参数与后果进行评估，为指挥部门提供决策依据</w:t>
            </w:r>
          </w:p>
        </w:tc>
      </w:tr>
      <w:tr w14:paraId="0EB3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dxa"/>
            <w:tcBorders>
              <w:left w:val="single" w:color="auto" w:sz="12" w:space="0"/>
            </w:tcBorders>
            <w:vAlign w:val="center"/>
          </w:tcPr>
          <w:p w14:paraId="744A71B5">
            <w:pPr>
              <w:tabs>
                <w:tab w:val="left" w:pos="1680"/>
              </w:tabs>
              <w:jc w:val="center"/>
              <w:rPr>
                <w:color w:val="000000"/>
                <w:sz w:val="21"/>
              </w:rPr>
            </w:pPr>
            <w:r>
              <w:rPr>
                <w:color w:val="000000"/>
                <w:sz w:val="21"/>
              </w:rPr>
              <w:t>8</w:t>
            </w:r>
          </w:p>
        </w:tc>
        <w:tc>
          <w:tcPr>
            <w:tcW w:w="2619" w:type="dxa"/>
            <w:vAlign w:val="center"/>
          </w:tcPr>
          <w:p w14:paraId="6F4B57B4">
            <w:pPr>
              <w:tabs>
                <w:tab w:val="left" w:pos="1680"/>
              </w:tabs>
              <w:jc w:val="center"/>
              <w:rPr>
                <w:color w:val="000000"/>
                <w:sz w:val="21"/>
              </w:rPr>
            </w:pPr>
            <w:r>
              <w:rPr>
                <w:color w:val="000000"/>
                <w:sz w:val="21"/>
              </w:rPr>
              <w:t>应急检测、防护措施、清除泄漏措施和器材</w:t>
            </w:r>
          </w:p>
        </w:tc>
        <w:tc>
          <w:tcPr>
            <w:tcW w:w="5923" w:type="dxa"/>
            <w:tcBorders>
              <w:right w:val="single" w:color="auto" w:sz="12" w:space="0"/>
            </w:tcBorders>
            <w:vAlign w:val="center"/>
          </w:tcPr>
          <w:p w14:paraId="2BBF2027">
            <w:pPr>
              <w:tabs>
                <w:tab w:val="left" w:pos="1680"/>
              </w:tabs>
              <w:rPr>
                <w:color w:val="000000"/>
                <w:sz w:val="21"/>
              </w:rPr>
            </w:pPr>
            <w:r>
              <w:rPr>
                <w:color w:val="000000"/>
                <w:sz w:val="21"/>
              </w:rPr>
              <w:t>事故现场：控制事故、防止扩大、蔓延及链锁反应；清除现场泄漏物，降低危害，配备相应的设施器材</w:t>
            </w:r>
          </w:p>
          <w:p w14:paraId="7219F008">
            <w:pPr>
              <w:tabs>
                <w:tab w:val="left" w:pos="1680"/>
              </w:tabs>
              <w:rPr>
                <w:color w:val="000000"/>
                <w:sz w:val="21"/>
              </w:rPr>
            </w:pPr>
            <w:r>
              <w:rPr>
                <w:color w:val="000000"/>
                <w:sz w:val="21"/>
              </w:rPr>
              <w:t>邻近区域：配备控制和清除污染措施及相应设备</w:t>
            </w:r>
          </w:p>
        </w:tc>
      </w:tr>
      <w:tr w14:paraId="7864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dxa"/>
            <w:tcBorders>
              <w:left w:val="single" w:color="auto" w:sz="12" w:space="0"/>
            </w:tcBorders>
            <w:vAlign w:val="center"/>
          </w:tcPr>
          <w:p w14:paraId="5B7474B1">
            <w:pPr>
              <w:tabs>
                <w:tab w:val="left" w:pos="1680"/>
              </w:tabs>
              <w:jc w:val="center"/>
              <w:rPr>
                <w:color w:val="000000"/>
                <w:sz w:val="21"/>
              </w:rPr>
            </w:pPr>
            <w:r>
              <w:rPr>
                <w:color w:val="000000"/>
                <w:sz w:val="21"/>
              </w:rPr>
              <w:t>9</w:t>
            </w:r>
          </w:p>
        </w:tc>
        <w:tc>
          <w:tcPr>
            <w:tcW w:w="2619" w:type="dxa"/>
            <w:vAlign w:val="center"/>
          </w:tcPr>
          <w:p w14:paraId="239A45FE">
            <w:pPr>
              <w:tabs>
                <w:tab w:val="left" w:pos="1680"/>
              </w:tabs>
              <w:jc w:val="center"/>
              <w:rPr>
                <w:color w:val="000000"/>
                <w:sz w:val="21"/>
              </w:rPr>
            </w:pPr>
            <w:r>
              <w:rPr>
                <w:color w:val="000000"/>
                <w:sz w:val="21"/>
              </w:rPr>
              <w:t>人员紧急撤离、疏散，应急剂量控制、撤离组织计划</w:t>
            </w:r>
          </w:p>
        </w:tc>
        <w:tc>
          <w:tcPr>
            <w:tcW w:w="5923" w:type="dxa"/>
            <w:tcBorders>
              <w:right w:val="single" w:color="auto" w:sz="12" w:space="0"/>
            </w:tcBorders>
            <w:vAlign w:val="center"/>
          </w:tcPr>
          <w:p w14:paraId="508A03F8">
            <w:pPr>
              <w:tabs>
                <w:tab w:val="left" w:pos="1680"/>
              </w:tabs>
              <w:rPr>
                <w:color w:val="000000"/>
                <w:sz w:val="21"/>
              </w:rPr>
            </w:pPr>
            <w:r>
              <w:rPr>
                <w:color w:val="000000"/>
                <w:sz w:val="21"/>
              </w:rPr>
              <w:t>事故现场：事故处理人员对毒物的应急剂量控制制定、现场及邻近装置人员撤离组织计划及救护</w:t>
            </w:r>
          </w:p>
          <w:p w14:paraId="547FE807">
            <w:pPr>
              <w:tabs>
                <w:tab w:val="left" w:pos="1680"/>
              </w:tabs>
              <w:rPr>
                <w:color w:val="000000"/>
                <w:sz w:val="21"/>
              </w:rPr>
            </w:pPr>
            <w:r>
              <w:rPr>
                <w:color w:val="000000"/>
                <w:sz w:val="21"/>
              </w:rPr>
              <w:t>工厂邻近区：受事故影响的邻近区域人员及公众对毒物应急剂量控制制定、撤离组织计划及救护</w:t>
            </w:r>
          </w:p>
        </w:tc>
      </w:tr>
      <w:tr w14:paraId="5689F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dxa"/>
            <w:tcBorders>
              <w:left w:val="single" w:color="auto" w:sz="12" w:space="0"/>
            </w:tcBorders>
            <w:vAlign w:val="center"/>
          </w:tcPr>
          <w:p w14:paraId="18CB9C4F">
            <w:pPr>
              <w:tabs>
                <w:tab w:val="left" w:pos="1680"/>
              </w:tabs>
              <w:jc w:val="center"/>
              <w:rPr>
                <w:color w:val="000000"/>
                <w:sz w:val="21"/>
              </w:rPr>
            </w:pPr>
            <w:r>
              <w:rPr>
                <w:color w:val="000000"/>
                <w:sz w:val="21"/>
              </w:rPr>
              <w:t>10</w:t>
            </w:r>
          </w:p>
        </w:tc>
        <w:tc>
          <w:tcPr>
            <w:tcW w:w="2619" w:type="dxa"/>
            <w:vAlign w:val="center"/>
          </w:tcPr>
          <w:p w14:paraId="157C8BE1">
            <w:pPr>
              <w:tabs>
                <w:tab w:val="left" w:pos="1680"/>
              </w:tabs>
              <w:jc w:val="center"/>
              <w:rPr>
                <w:color w:val="000000"/>
                <w:sz w:val="21"/>
              </w:rPr>
            </w:pPr>
            <w:r>
              <w:rPr>
                <w:color w:val="000000"/>
                <w:sz w:val="21"/>
              </w:rPr>
              <w:t>事故应急救援关闭程序与恢复措施</w:t>
            </w:r>
          </w:p>
        </w:tc>
        <w:tc>
          <w:tcPr>
            <w:tcW w:w="5923" w:type="dxa"/>
            <w:tcBorders>
              <w:right w:val="single" w:color="auto" w:sz="12" w:space="0"/>
            </w:tcBorders>
            <w:vAlign w:val="center"/>
          </w:tcPr>
          <w:p w14:paraId="3CF6267F">
            <w:pPr>
              <w:tabs>
                <w:tab w:val="left" w:pos="1680"/>
              </w:tabs>
              <w:rPr>
                <w:color w:val="000000"/>
                <w:sz w:val="21"/>
              </w:rPr>
            </w:pPr>
            <w:r>
              <w:rPr>
                <w:color w:val="000000"/>
                <w:sz w:val="21"/>
              </w:rPr>
              <w:t>规定应急状态终止程序</w:t>
            </w:r>
          </w:p>
          <w:p w14:paraId="0D5E022E">
            <w:pPr>
              <w:tabs>
                <w:tab w:val="left" w:pos="1680"/>
              </w:tabs>
              <w:rPr>
                <w:color w:val="000000"/>
                <w:sz w:val="21"/>
              </w:rPr>
            </w:pPr>
            <w:r>
              <w:rPr>
                <w:color w:val="000000"/>
                <w:sz w:val="21"/>
              </w:rPr>
              <w:t>事故现场善后处理、恢复措施</w:t>
            </w:r>
          </w:p>
          <w:p w14:paraId="3B425CFB">
            <w:pPr>
              <w:tabs>
                <w:tab w:val="left" w:pos="1680"/>
              </w:tabs>
              <w:rPr>
                <w:color w:val="000000"/>
                <w:sz w:val="21"/>
              </w:rPr>
            </w:pPr>
            <w:r>
              <w:rPr>
                <w:color w:val="000000"/>
                <w:sz w:val="21"/>
              </w:rPr>
              <w:t>邻近区域解除事故警戒及善后恢复措施</w:t>
            </w:r>
          </w:p>
        </w:tc>
      </w:tr>
      <w:tr w14:paraId="35EB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dxa"/>
            <w:tcBorders>
              <w:left w:val="single" w:color="auto" w:sz="12" w:space="0"/>
            </w:tcBorders>
            <w:vAlign w:val="center"/>
          </w:tcPr>
          <w:p w14:paraId="2A910C84">
            <w:pPr>
              <w:tabs>
                <w:tab w:val="left" w:pos="1680"/>
              </w:tabs>
              <w:jc w:val="center"/>
              <w:rPr>
                <w:color w:val="000000"/>
                <w:sz w:val="21"/>
              </w:rPr>
            </w:pPr>
            <w:r>
              <w:rPr>
                <w:color w:val="000000"/>
                <w:sz w:val="21"/>
              </w:rPr>
              <w:t>11</w:t>
            </w:r>
          </w:p>
        </w:tc>
        <w:tc>
          <w:tcPr>
            <w:tcW w:w="2619" w:type="dxa"/>
            <w:vAlign w:val="center"/>
          </w:tcPr>
          <w:p w14:paraId="4CF34914">
            <w:pPr>
              <w:tabs>
                <w:tab w:val="left" w:pos="1680"/>
              </w:tabs>
              <w:jc w:val="center"/>
              <w:rPr>
                <w:color w:val="000000"/>
                <w:sz w:val="21"/>
              </w:rPr>
            </w:pPr>
            <w:r>
              <w:rPr>
                <w:color w:val="000000"/>
                <w:sz w:val="21"/>
              </w:rPr>
              <w:t>应急培训计划</w:t>
            </w:r>
          </w:p>
        </w:tc>
        <w:tc>
          <w:tcPr>
            <w:tcW w:w="5923" w:type="dxa"/>
            <w:tcBorders>
              <w:right w:val="single" w:color="auto" w:sz="12" w:space="0"/>
            </w:tcBorders>
            <w:vAlign w:val="center"/>
          </w:tcPr>
          <w:p w14:paraId="43AFDB2E">
            <w:pPr>
              <w:tabs>
                <w:tab w:val="left" w:pos="1680"/>
              </w:tabs>
              <w:rPr>
                <w:color w:val="000000"/>
                <w:sz w:val="21"/>
              </w:rPr>
            </w:pPr>
            <w:r>
              <w:rPr>
                <w:color w:val="000000"/>
                <w:sz w:val="21"/>
              </w:rPr>
              <w:t>应急计划制定后，平时安排人员培训与演练</w:t>
            </w:r>
          </w:p>
        </w:tc>
      </w:tr>
      <w:tr w14:paraId="66FF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dxa"/>
            <w:tcBorders>
              <w:left w:val="single" w:color="auto" w:sz="12" w:space="0"/>
            </w:tcBorders>
            <w:vAlign w:val="center"/>
          </w:tcPr>
          <w:p w14:paraId="0F040660">
            <w:pPr>
              <w:tabs>
                <w:tab w:val="left" w:pos="1680"/>
              </w:tabs>
              <w:jc w:val="center"/>
              <w:rPr>
                <w:color w:val="000000"/>
                <w:sz w:val="21"/>
              </w:rPr>
            </w:pPr>
            <w:r>
              <w:rPr>
                <w:color w:val="000000"/>
                <w:sz w:val="21"/>
              </w:rPr>
              <w:t>12</w:t>
            </w:r>
          </w:p>
        </w:tc>
        <w:tc>
          <w:tcPr>
            <w:tcW w:w="2619" w:type="dxa"/>
            <w:vAlign w:val="center"/>
          </w:tcPr>
          <w:p w14:paraId="603AD074">
            <w:pPr>
              <w:tabs>
                <w:tab w:val="left" w:pos="1680"/>
              </w:tabs>
              <w:jc w:val="center"/>
              <w:rPr>
                <w:color w:val="000000"/>
                <w:sz w:val="21"/>
              </w:rPr>
            </w:pPr>
            <w:r>
              <w:rPr>
                <w:color w:val="000000"/>
                <w:sz w:val="21"/>
              </w:rPr>
              <w:t>公众教育和信息</w:t>
            </w:r>
          </w:p>
        </w:tc>
        <w:tc>
          <w:tcPr>
            <w:tcW w:w="5923" w:type="dxa"/>
            <w:tcBorders>
              <w:right w:val="single" w:color="auto" w:sz="12" w:space="0"/>
            </w:tcBorders>
            <w:vAlign w:val="center"/>
          </w:tcPr>
          <w:p w14:paraId="6BE90184">
            <w:pPr>
              <w:tabs>
                <w:tab w:val="left" w:pos="1680"/>
              </w:tabs>
              <w:rPr>
                <w:color w:val="000000"/>
                <w:sz w:val="21"/>
              </w:rPr>
            </w:pPr>
            <w:r>
              <w:rPr>
                <w:color w:val="000000"/>
                <w:sz w:val="21"/>
              </w:rPr>
              <w:t>对工厂邻近地区开展公众教育、培训和发布有关信息</w:t>
            </w:r>
          </w:p>
        </w:tc>
      </w:tr>
      <w:tr w14:paraId="01BA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dxa"/>
            <w:tcBorders>
              <w:left w:val="single" w:color="auto" w:sz="12" w:space="0"/>
            </w:tcBorders>
            <w:vAlign w:val="center"/>
          </w:tcPr>
          <w:p w14:paraId="59DCBB5C">
            <w:pPr>
              <w:tabs>
                <w:tab w:val="left" w:pos="1680"/>
              </w:tabs>
              <w:jc w:val="center"/>
              <w:rPr>
                <w:color w:val="000000"/>
                <w:sz w:val="21"/>
              </w:rPr>
            </w:pPr>
            <w:r>
              <w:rPr>
                <w:color w:val="000000"/>
                <w:sz w:val="21"/>
              </w:rPr>
              <w:t>13</w:t>
            </w:r>
          </w:p>
        </w:tc>
        <w:tc>
          <w:tcPr>
            <w:tcW w:w="2619" w:type="dxa"/>
            <w:vAlign w:val="center"/>
          </w:tcPr>
          <w:p w14:paraId="3A61A46D">
            <w:pPr>
              <w:tabs>
                <w:tab w:val="left" w:pos="1680"/>
              </w:tabs>
              <w:jc w:val="center"/>
              <w:rPr>
                <w:color w:val="000000"/>
                <w:sz w:val="21"/>
              </w:rPr>
            </w:pPr>
            <w:r>
              <w:rPr>
                <w:color w:val="000000"/>
                <w:sz w:val="21"/>
              </w:rPr>
              <w:t>记录和报告</w:t>
            </w:r>
          </w:p>
        </w:tc>
        <w:tc>
          <w:tcPr>
            <w:tcW w:w="5923" w:type="dxa"/>
            <w:tcBorders>
              <w:right w:val="single" w:color="auto" w:sz="12" w:space="0"/>
            </w:tcBorders>
            <w:vAlign w:val="center"/>
          </w:tcPr>
          <w:p w14:paraId="4EC36B73">
            <w:pPr>
              <w:tabs>
                <w:tab w:val="left" w:pos="1680"/>
              </w:tabs>
              <w:rPr>
                <w:color w:val="000000"/>
                <w:sz w:val="21"/>
              </w:rPr>
            </w:pPr>
            <w:r>
              <w:rPr>
                <w:color w:val="000000"/>
                <w:sz w:val="21"/>
              </w:rPr>
              <w:t>设置应急事故专门记录，建立档案和专门报告制度，设专门部门负责管理</w:t>
            </w:r>
          </w:p>
        </w:tc>
      </w:tr>
      <w:tr w14:paraId="2ED8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4" w:type="dxa"/>
            <w:tcBorders>
              <w:left w:val="single" w:color="auto" w:sz="12" w:space="0"/>
              <w:bottom w:val="single" w:color="auto" w:sz="12" w:space="0"/>
            </w:tcBorders>
            <w:vAlign w:val="center"/>
          </w:tcPr>
          <w:p w14:paraId="35F424F5">
            <w:pPr>
              <w:tabs>
                <w:tab w:val="left" w:pos="1680"/>
              </w:tabs>
              <w:jc w:val="center"/>
              <w:rPr>
                <w:color w:val="000000"/>
                <w:sz w:val="21"/>
              </w:rPr>
            </w:pPr>
            <w:r>
              <w:rPr>
                <w:color w:val="000000"/>
                <w:sz w:val="21"/>
              </w:rPr>
              <w:t>14</w:t>
            </w:r>
          </w:p>
        </w:tc>
        <w:tc>
          <w:tcPr>
            <w:tcW w:w="2619" w:type="dxa"/>
            <w:tcBorders>
              <w:bottom w:val="single" w:color="auto" w:sz="12" w:space="0"/>
            </w:tcBorders>
            <w:vAlign w:val="center"/>
          </w:tcPr>
          <w:p w14:paraId="4DD49F26">
            <w:pPr>
              <w:tabs>
                <w:tab w:val="left" w:pos="1680"/>
              </w:tabs>
              <w:jc w:val="center"/>
              <w:rPr>
                <w:color w:val="000000"/>
                <w:sz w:val="21"/>
              </w:rPr>
            </w:pPr>
            <w:r>
              <w:rPr>
                <w:color w:val="000000"/>
                <w:sz w:val="21"/>
              </w:rPr>
              <w:t>附件</w:t>
            </w:r>
          </w:p>
        </w:tc>
        <w:tc>
          <w:tcPr>
            <w:tcW w:w="5923" w:type="dxa"/>
            <w:tcBorders>
              <w:bottom w:val="single" w:color="auto" w:sz="12" w:space="0"/>
              <w:right w:val="single" w:color="auto" w:sz="12" w:space="0"/>
            </w:tcBorders>
            <w:vAlign w:val="center"/>
          </w:tcPr>
          <w:p w14:paraId="56B2A46F">
            <w:pPr>
              <w:tabs>
                <w:tab w:val="left" w:pos="1680"/>
              </w:tabs>
              <w:rPr>
                <w:color w:val="000000"/>
                <w:sz w:val="21"/>
              </w:rPr>
            </w:pPr>
            <w:r>
              <w:rPr>
                <w:color w:val="000000"/>
                <w:sz w:val="21"/>
              </w:rPr>
              <w:t>与应急事故有关的多种附件材料的准备和形成</w:t>
            </w:r>
          </w:p>
        </w:tc>
      </w:tr>
    </w:tbl>
    <w:p w14:paraId="2B4EF637">
      <w:pPr>
        <w:pStyle w:val="2"/>
        <w:ind w:left="480"/>
        <w:rPr>
          <w:rFonts w:ascii="Times New Roman" w:hAnsi="Times New Roman" w:cs="Times New Roman"/>
          <w:color w:val="000000"/>
        </w:rPr>
      </w:pPr>
    </w:p>
    <w:bookmarkEnd w:id="679"/>
    <w:bookmarkEnd w:id="680"/>
    <w:bookmarkEnd w:id="681"/>
    <w:bookmarkEnd w:id="682"/>
    <w:bookmarkEnd w:id="683"/>
    <w:bookmarkEnd w:id="684"/>
    <w:bookmarkEnd w:id="685"/>
    <w:bookmarkEnd w:id="686"/>
    <w:bookmarkEnd w:id="687"/>
    <w:bookmarkEnd w:id="688"/>
    <w:bookmarkEnd w:id="689"/>
    <w:p w14:paraId="5AD290F7">
      <w:pPr>
        <w:pStyle w:val="770"/>
        <w:rPr>
          <w:color w:val="000000"/>
        </w:rPr>
      </w:pPr>
      <w:bookmarkStart w:id="690" w:name="_Toc15499412"/>
      <w:bookmarkStart w:id="691" w:name="_Toc12607841"/>
      <w:bookmarkStart w:id="692" w:name="_Toc15499652"/>
      <w:bookmarkStart w:id="693" w:name="_Toc21961532"/>
      <w:bookmarkStart w:id="694" w:name="_Toc8628"/>
      <w:r>
        <w:rPr>
          <w:color w:val="000000"/>
        </w:rPr>
        <w:t xml:space="preserve">6.8 </w:t>
      </w:r>
      <w:bookmarkEnd w:id="690"/>
      <w:bookmarkEnd w:id="691"/>
      <w:bookmarkEnd w:id="692"/>
      <w:bookmarkEnd w:id="693"/>
      <w:r>
        <w:rPr>
          <w:color w:val="000000"/>
        </w:rPr>
        <w:t>小结</w:t>
      </w:r>
      <w:bookmarkEnd w:id="694"/>
    </w:p>
    <w:p w14:paraId="35BF26AE">
      <w:pPr>
        <w:ind w:firstLine="480"/>
        <w:rPr>
          <w:color w:val="000000"/>
        </w:rPr>
      </w:pPr>
      <w:r>
        <w:rPr>
          <w:color w:val="000000"/>
        </w:rPr>
        <w:t>拟建项目涉及的危险物质主要为BOG尾气（含氢、甲烷等）、含甲烷尾气，对应的危险性生产系统为提氦装置区。考虑的风险事故为生产装置进料、放料、设备损坏、管线破损等造成气体泄漏，物料泄漏导致车间危险物质浓度超标或进入反应器内维检吸入蒸气，泄漏遇明火后发生火灾、爆炸产生的次生污染物。建设单位制定了环境风险应急预案，并报重庆市涪陵区环境保护局备案（环境风险评价报告备案编号：5001022021050003；突发环境事件应急预案备案编号：500102-2021-020-M）。在落实现有风险防控措施下，建设单位应重点针对新增项目区域平面布置、消防及工艺安全做好风险防控措施，提氦装置区、钢瓶充装区设边沟和收集井，与现有事故废水收集系统连通，防止事故发生时造成事故废水漫流的现象，在采取有效风险防范措施和修订应急预案后，风险处于环境可接受的水平。</w:t>
      </w:r>
    </w:p>
    <w:p w14:paraId="49BF702C">
      <w:pPr>
        <w:pStyle w:val="2"/>
        <w:ind w:left="480"/>
        <w:rPr>
          <w:rFonts w:ascii="Times New Roman" w:hAnsi="Times New Roman" w:cs="Times New Roman"/>
          <w:color w:val="000000"/>
        </w:rPr>
      </w:pPr>
    </w:p>
    <w:p w14:paraId="6AC8B9B8">
      <w:pPr>
        <w:pStyle w:val="2"/>
        <w:ind w:left="480"/>
        <w:rPr>
          <w:rFonts w:ascii="Times New Roman" w:hAnsi="Times New Roman" w:cs="Times New Roman"/>
          <w:color w:val="000000"/>
        </w:rPr>
        <w:sectPr>
          <w:pgSz w:w="11850" w:h="16783"/>
          <w:pgMar w:top="1440" w:right="1531" w:bottom="1440" w:left="1531" w:header="850" w:footer="907" w:gutter="0"/>
          <w:cols w:space="720" w:num="1"/>
          <w:docGrid w:type="lines" w:linePitch="332" w:charSpace="0"/>
        </w:sectPr>
      </w:pPr>
    </w:p>
    <w:p w14:paraId="3FF286F2">
      <w:pPr>
        <w:pStyle w:val="781"/>
        <w:rPr>
          <w:color w:val="000000"/>
        </w:rPr>
      </w:pPr>
      <w:bookmarkStart w:id="695" w:name="_Toc407830824"/>
      <w:bookmarkStart w:id="696" w:name="_Toc407830704"/>
      <w:bookmarkStart w:id="697" w:name="_Toc440766370"/>
      <w:bookmarkStart w:id="698" w:name="_Toc440766687"/>
      <w:bookmarkStart w:id="699" w:name="_Toc408345232"/>
      <w:bookmarkStart w:id="700" w:name="_Toc408334064"/>
      <w:bookmarkStart w:id="701" w:name="_Toc407830745"/>
      <w:bookmarkStart w:id="702" w:name="_Toc440766174"/>
      <w:bookmarkStart w:id="703" w:name="_Toc489922508"/>
      <w:bookmarkStart w:id="704" w:name="_Toc500376063"/>
      <w:bookmarkStart w:id="705" w:name="_Toc25900_WPSOffice_Level2"/>
      <w:bookmarkStart w:id="706" w:name="_Toc12032"/>
      <w:bookmarkStart w:id="707" w:name="_Toc440766689"/>
      <w:bookmarkStart w:id="708" w:name="_Toc440766178"/>
      <w:bookmarkStart w:id="709" w:name="_Toc440766374"/>
      <w:bookmarkStart w:id="710" w:name="_Toc500376070"/>
      <w:bookmarkStart w:id="711" w:name="_Toc490585790"/>
      <w:bookmarkStart w:id="712" w:name="_Toc489922522"/>
      <w:bookmarkStart w:id="713" w:name="_Toc500376086"/>
      <w:r>
        <w:rPr>
          <w:color w:val="000000"/>
        </w:rPr>
        <w:t xml:space="preserve">7 </w:t>
      </w:r>
      <w:bookmarkEnd w:id="695"/>
      <w:bookmarkEnd w:id="696"/>
      <w:bookmarkEnd w:id="697"/>
      <w:bookmarkEnd w:id="698"/>
      <w:bookmarkEnd w:id="699"/>
      <w:bookmarkEnd w:id="700"/>
      <w:bookmarkEnd w:id="701"/>
      <w:bookmarkEnd w:id="702"/>
      <w:r>
        <w:rPr>
          <w:color w:val="000000"/>
        </w:rPr>
        <w:t>环境保护措施及其可行性论证</w:t>
      </w:r>
      <w:bookmarkEnd w:id="703"/>
      <w:bookmarkEnd w:id="704"/>
      <w:bookmarkEnd w:id="705"/>
      <w:bookmarkEnd w:id="706"/>
    </w:p>
    <w:p w14:paraId="39888E65">
      <w:pPr>
        <w:pStyle w:val="770"/>
        <w:rPr>
          <w:color w:val="000000"/>
        </w:rPr>
      </w:pPr>
      <w:bookmarkStart w:id="714" w:name="_Toc21719_WPSOffice_Level3"/>
      <w:bookmarkStart w:id="715" w:name="_Toc27094"/>
      <w:r>
        <w:rPr>
          <w:color w:val="000000"/>
        </w:rPr>
        <w:t>7.1 废气污染防治措施</w:t>
      </w:r>
      <w:bookmarkEnd w:id="714"/>
      <w:bookmarkEnd w:id="715"/>
    </w:p>
    <w:p w14:paraId="558858DD">
      <w:pPr>
        <w:pStyle w:val="31"/>
        <w:spacing w:after="0"/>
        <w:ind w:firstLine="480" w:firstLineChars="200"/>
        <w:rPr>
          <w:color w:val="000000"/>
          <w:szCs w:val="24"/>
        </w:rPr>
      </w:pPr>
      <w:r>
        <w:rPr>
          <w:color w:val="000000"/>
          <w:szCs w:val="24"/>
        </w:rPr>
        <w:t>本项目废气主要包括压缩脱碳干燥再生尾气G1、深冷分离尾气G2、吸附脱氢再生尾气G3、脱碳干燥再生尾气G4。</w:t>
      </w:r>
    </w:p>
    <w:p w14:paraId="05BBA4DD">
      <w:pPr>
        <w:pStyle w:val="2"/>
        <w:spacing w:after="0" w:line="360" w:lineRule="auto"/>
        <w:ind w:left="0" w:leftChars="0" w:firstLine="480"/>
        <w:rPr>
          <w:rFonts w:ascii="Times New Roman" w:hAnsi="Times New Roman" w:cs="Times New Roman"/>
          <w:color w:val="000000"/>
          <w:sz w:val="24"/>
        </w:rPr>
      </w:pPr>
      <w:r>
        <w:rPr>
          <w:rFonts w:ascii="Times New Roman" w:hAnsi="Times New Roman" w:cs="Times New Roman"/>
          <w:color w:val="000000"/>
          <w:sz w:val="24"/>
        </w:rPr>
        <w:t>压缩脱碳干燥再生尾气G1，主要成分为甲烷、氮气，及少量吹脱的水、二氧化碳依托火炬系统燃烧后排放；深冷分离尾气G2，主要成分为甲烷、氮气，部分用作压缩脱碳再生气，另外部分与G1尾气依托现有火炬燃烧后排放；吸附脱氢再生尾气G3，主要成分为氮气及少量氧气，基本无污染，直接放空；脱碳干燥尾气G4，主要成分为氮气及吹脱的水、二氧化碳，基本无污染，直接放空。</w:t>
      </w:r>
    </w:p>
    <w:p w14:paraId="162EB2F2">
      <w:pPr>
        <w:pStyle w:val="31"/>
        <w:spacing w:after="0"/>
        <w:ind w:firstLine="480" w:firstLineChars="200"/>
        <w:rPr>
          <w:color w:val="000000"/>
        </w:rPr>
      </w:pPr>
      <w:r>
        <w:rPr>
          <w:color w:val="000000"/>
        </w:rPr>
        <w:t>以上措施均为国内同类装置常用的废气治理措施，</w:t>
      </w:r>
      <w:r>
        <w:rPr>
          <w:color w:val="000000"/>
          <w:szCs w:val="24"/>
        </w:rPr>
        <w:t>根据工程分析，火炬燃烧排放SO</w:t>
      </w:r>
      <w:r>
        <w:rPr>
          <w:color w:val="000000"/>
          <w:szCs w:val="24"/>
          <w:vertAlign w:val="subscript"/>
        </w:rPr>
        <w:t>2</w:t>
      </w:r>
      <w:r>
        <w:rPr>
          <w:color w:val="000000"/>
          <w:szCs w:val="24"/>
        </w:rPr>
        <w:t>浓度8.79mg/m</w:t>
      </w:r>
      <w:r>
        <w:rPr>
          <w:color w:val="000000"/>
          <w:szCs w:val="24"/>
          <w:vertAlign w:val="superscript"/>
        </w:rPr>
        <w:t>3</w:t>
      </w:r>
      <w:r>
        <w:rPr>
          <w:color w:val="000000"/>
          <w:szCs w:val="24"/>
        </w:rPr>
        <w:t>、NOx浓度59.2mg/m</w:t>
      </w:r>
      <w:r>
        <w:rPr>
          <w:color w:val="000000"/>
          <w:szCs w:val="24"/>
          <w:vertAlign w:val="superscript"/>
        </w:rPr>
        <w:t>3</w:t>
      </w:r>
      <w:r>
        <w:rPr>
          <w:color w:val="000000"/>
          <w:szCs w:val="24"/>
        </w:rPr>
        <w:t>、颗粒物浓度20mg/m</w:t>
      </w:r>
      <w:r>
        <w:rPr>
          <w:color w:val="000000"/>
          <w:szCs w:val="24"/>
          <w:vertAlign w:val="superscript"/>
        </w:rPr>
        <w:t>3</w:t>
      </w:r>
      <w:r>
        <w:rPr>
          <w:color w:val="000000"/>
          <w:szCs w:val="24"/>
        </w:rPr>
        <w:t>，满足《重庆市大气污染物综合排放标准》（DB50/418-2016）要求。</w:t>
      </w:r>
      <w:r>
        <w:rPr>
          <w:color w:val="000000"/>
        </w:rPr>
        <w:t>故本项目采取的废气污染治理措施可行，可实现污染物达标排放。</w:t>
      </w:r>
    </w:p>
    <w:p w14:paraId="129E1A04">
      <w:pPr>
        <w:ind w:firstLine="480" w:firstLineChars="200"/>
        <w:rPr>
          <w:color w:val="000000"/>
        </w:rPr>
      </w:pPr>
      <w:r>
        <w:rPr>
          <w:color w:val="000000"/>
          <w:szCs w:val="24"/>
        </w:rPr>
        <w:t>针对本项目生产装置废气排放，本评价提出管理措施如下</w:t>
      </w:r>
      <w:r>
        <w:rPr>
          <w:color w:val="000000"/>
        </w:rPr>
        <w:t>：</w:t>
      </w:r>
    </w:p>
    <w:p w14:paraId="7C8CCD65">
      <w:pPr>
        <w:ind w:firstLine="480" w:firstLineChars="200"/>
        <w:rPr>
          <w:color w:val="000000"/>
        </w:rPr>
      </w:pPr>
      <w:r>
        <w:rPr>
          <w:color w:val="000000"/>
        </w:rPr>
        <w:t>（1）采用可靠的设备、管道、阀门及管路附件，加强运行管理，及时更换相关零件，将装置的静密封点泄漏率控制在0.1%~0.3%，减少装置跑、冒、滴、漏现象的发生。</w:t>
      </w:r>
    </w:p>
    <w:p w14:paraId="3BB08B25">
      <w:pPr>
        <w:ind w:firstLine="480" w:firstLineChars="200"/>
        <w:rPr>
          <w:color w:val="000000"/>
        </w:rPr>
      </w:pPr>
      <w:r>
        <w:rPr>
          <w:color w:val="000000"/>
        </w:rPr>
        <w:t>（2）加强泄漏检测，检测到泄漏时，对泄漏源予以标识并及时修复，建立泄漏检测台账。</w:t>
      </w:r>
    </w:p>
    <w:p w14:paraId="5269D8B2">
      <w:pPr>
        <w:pStyle w:val="31"/>
        <w:spacing w:after="0"/>
        <w:ind w:firstLine="480" w:firstLineChars="200"/>
        <w:rPr>
          <w:color w:val="000000"/>
        </w:rPr>
      </w:pPr>
      <w:r>
        <w:rPr>
          <w:color w:val="000000"/>
        </w:rPr>
        <w:t>（3）企业需加强对火炬系统的管理和操控，确保火炬能运行正常，燃烧充分，提高污染物燃尽率，减少污染。</w:t>
      </w:r>
    </w:p>
    <w:p w14:paraId="491E68AA">
      <w:pPr>
        <w:pStyle w:val="31"/>
        <w:spacing w:after="0"/>
        <w:ind w:firstLine="480" w:firstLineChars="200"/>
        <w:rPr>
          <w:color w:val="000000"/>
        </w:rPr>
      </w:pPr>
      <w:r>
        <w:rPr>
          <w:color w:val="000000"/>
        </w:rPr>
        <w:t>（4）加强对生产装置的监控和维护，提高安全运行率，最大限度地减少事故的发生。</w:t>
      </w:r>
    </w:p>
    <w:p w14:paraId="7DCF8C06">
      <w:pPr>
        <w:pStyle w:val="770"/>
        <w:rPr>
          <w:color w:val="000000"/>
        </w:rPr>
      </w:pPr>
      <w:bookmarkStart w:id="716" w:name="_Toc14361_WPSOffice_Level3"/>
      <w:bookmarkStart w:id="717" w:name="_Toc10964"/>
      <w:r>
        <w:rPr>
          <w:color w:val="000000"/>
        </w:rPr>
        <w:t xml:space="preserve">7.2 </w:t>
      </w:r>
      <w:bookmarkEnd w:id="707"/>
      <w:bookmarkEnd w:id="708"/>
      <w:bookmarkEnd w:id="709"/>
      <w:r>
        <w:rPr>
          <w:color w:val="000000"/>
        </w:rPr>
        <w:t>废水污染防治措施</w:t>
      </w:r>
      <w:bookmarkEnd w:id="710"/>
      <w:bookmarkEnd w:id="711"/>
      <w:bookmarkEnd w:id="716"/>
      <w:bookmarkEnd w:id="717"/>
    </w:p>
    <w:p w14:paraId="67BC898E">
      <w:pPr>
        <w:ind w:firstLine="480"/>
        <w:rPr>
          <w:color w:val="000000"/>
          <w:szCs w:val="24"/>
        </w:rPr>
      </w:pPr>
      <w:bookmarkStart w:id="718" w:name="_Toc500376072"/>
      <w:r>
        <w:rPr>
          <w:color w:val="000000"/>
          <w:szCs w:val="24"/>
        </w:rPr>
        <w:t>本项目废水主要生产废水、生活污水。其中生产废水主要为生产装置催化燃烧脱氢中氢气和氧气发生反应生成的水经冷却器冷凝析出，产生冷凝水W1，该部分水量约为0.0056m</w:t>
      </w:r>
      <w:r>
        <w:rPr>
          <w:color w:val="000000"/>
          <w:szCs w:val="24"/>
          <w:vertAlign w:val="superscript"/>
        </w:rPr>
        <w:t>3</w:t>
      </w:r>
      <w:r>
        <w:rPr>
          <w:color w:val="000000"/>
          <w:szCs w:val="24"/>
        </w:rPr>
        <w:t>/h，污染物主要为SS、COD等，污染物浓度与生活污水中SS、COD浓度接近。本项目生活污水来自员工日常生活污水，产生量为0.54m</w:t>
      </w:r>
      <w:r>
        <w:rPr>
          <w:color w:val="000000"/>
          <w:szCs w:val="24"/>
          <w:vertAlign w:val="superscript"/>
        </w:rPr>
        <w:t>3</w:t>
      </w:r>
      <w:r>
        <w:rPr>
          <w:color w:val="000000"/>
          <w:szCs w:val="24"/>
        </w:rPr>
        <w:t>/d，产生量较小，污染物为COD、BOD</w:t>
      </w:r>
      <w:r>
        <w:rPr>
          <w:color w:val="000000"/>
          <w:szCs w:val="24"/>
          <w:vertAlign w:val="subscript"/>
        </w:rPr>
        <w:t>5</w:t>
      </w:r>
      <w:r>
        <w:rPr>
          <w:color w:val="000000"/>
          <w:szCs w:val="24"/>
        </w:rPr>
        <w:t>、NH</w:t>
      </w:r>
      <w:r>
        <w:rPr>
          <w:color w:val="000000"/>
          <w:szCs w:val="24"/>
          <w:vertAlign w:val="subscript"/>
        </w:rPr>
        <w:t>3</w:t>
      </w:r>
      <w:r>
        <w:rPr>
          <w:color w:val="000000"/>
          <w:szCs w:val="24"/>
        </w:rPr>
        <w:t>-N、SS</w:t>
      </w:r>
      <w:r>
        <w:rPr>
          <w:rFonts w:hint="eastAsia"/>
          <w:color w:val="000000"/>
          <w:szCs w:val="24"/>
        </w:rPr>
        <w:t>。</w:t>
      </w:r>
    </w:p>
    <w:p w14:paraId="2AF093F9">
      <w:pPr>
        <w:ind w:firstLine="480"/>
        <w:rPr>
          <w:color w:val="000000"/>
          <w:szCs w:val="24"/>
        </w:rPr>
      </w:pPr>
      <w:r>
        <w:rPr>
          <w:color w:val="000000"/>
          <w:szCs w:val="24"/>
        </w:rPr>
        <w:t>生产废水依托LNG工厂生产废水池处理后进入生产废水提升池、生活污水依托LNG工厂现有化粪池处理后进入生活污水提升池，分别经泵提升后在界区内汇合后统一输送至园区潘家坝污水处理厂处理。</w:t>
      </w:r>
    </w:p>
    <w:p w14:paraId="6621D986">
      <w:pPr>
        <w:ind w:firstLine="480" w:firstLineChars="200"/>
        <w:rPr>
          <w:color w:val="000000"/>
          <w:szCs w:val="24"/>
        </w:rPr>
      </w:pPr>
      <w:r>
        <w:rPr>
          <w:color w:val="000000"/>
          <w:szCs w:val="24"/>
        </w:rPr>
        <w:t>（1）依托现有污水处理设施的可行性分析</w:t>
      </w:r>
    </w:p>
    <w:p w14:paraId="00058BE5">
      <w:pPr>
        <w:widowControl w:val="0"/>
        <w:ind w:firstLine="480" w:firstLineChars="200"/>
        <w:rPr>
          <w:color w:val="000000"/>
          <w:szCs w:val="24"/>
        </w:rPr>
      </w:pPr>
      <w:r>
        <w:rPr>
          <w:color w:val="000000"/>
          <w:szCs w:val="24"/>
        </w:rPr>
        <w:t>LNG工厂设有1个生产废水池（设计处理规模2.2m</w:t>
      </w:r>
      <w:r>
        <w:rPr>
          <w:color w:val="000000"/>
          <w:szCs w:val="24"/>
          <w:vertAlign w:val="superscript"/>
        </w:rPr>
        <w:t>3</w:t>
      </w:r>
      <w:r>
        <w:rPr>
          <w:color w:val="000000"/>
          <w:szCs w:val="24"/>
        </w:rPr>
        <w:t>/h），现实际处理规模约2m</w:t>
      </w:r>
      <w:r>
        <w:rPr>
          <w:color w:val="000000"/>
          <w:szCs w:val="24"/>
          <w:vertAlign w:val="superscript"/>
        </w:rPr>
        <w:t>3</w:t>
      </w:r>
      <w:r>
        <w:rPr>
          <w:color w:val="000000"/>
          <w:szCs w:val="24"/>
        </w:rPr>
        <w:t>/h，富余0.2m</w:t>
      </w:r>
      <w:r>
        <w:rPr>
          <w:color w:val="000000"/>
          <w:szCs w:val="24"/>
          <w:vertAlign w:val="superscript"/>
        </w:rPr>
        <w:t>3</w:t>
      </w:r>
      <w:r>
        <w:rPr>
          <w:color w:val="000000"/>
          <w:szCs w:val="24"/>
        </w:rPr>
        <w:t>/h，本项目生产废水量为0.0056m</w:t>
      </w:r>
      <w:r>
        <w:rPr>
          <w:color w:val="000000"/>
          <w:szCs w:val="24"/>
          <w:vertAlign w:val="superscript"/>
        </w:rPr>
        <w:t>3</w:t>
      </w:r>
      <w:r>
        <w:rPr>
          <w:color w:val="000000"/>
          <w:szCs w:val="24"/>
        </w:rPr>
        <w:t>/h，其富余规模可满足本项目生产废水处理需求。</w:t>
      </w:r>
    </w:p>
    <w:p w14:paraId="60BECF8E">
      <w:pPr>
        <w:widowControl w:val="0"/>
        <w:ind w:firstLine="480" w:firstLineChars="200"/>
        <w:rPr>
          <w:color w:val="000000"/>
          <w:szCs w:val="24"/>
        </w:rPr>
      </w:pPr>
      <w:r>
        <w:rPr>
          <w:color w:val="000000"/>
          <w:szCs w:val="24"/>
        </w:rPr>
        <w:t>LNG工厂设有2个化粪池，其中综合楼化粪池处理规模约12m</w:t>
      </w:r>
      <w:r>
        <w:rPr>
          <w:color w:val="000000"/>
          <w:szCs w:val="24"/>
          <w:vertAlign w:val="superscript"/>
        </w:rPr>
        <w:t>3</w:t>
      </w:r>
      <w:r>
        <w:rPr>
          <w:color w:val="000000"/>
          <w:szCs w:val="24"/>
        </w:rPr>
        <w:t>/d，装卸区化粪池处理规模</w:t>
      </w:r>
      <w:r>
        <w:rPr>
          <w:rFonts w:hint="eastAsia"/>
          <w:color w:val="000000"/>
          <w:szCs w:val="24"/>
        </w:rPr>
        <w:t>6</w:t>
      </w:r>
      <w:r>
        <w:rPr>
          <w:color w:val="000000"/>
          <w:szCs w:val="24"/>
        </w:rPr>
        <w:t>m</w:t>
      </w:r>
      <w:r>
        <w:rPr>
          <w:color w:val="000000"/>
          <w:szCs w:val="24"/>
          <w:vertAlign w:val="superscript"/>
        </w:rPr>
        <w:t>3</w:t>
      </w:r>
      <w:r>
        <w:rPr>
          <w:color w:val="000000"/>
          <w:szCs w:val="24"/>
        </w:rPr>
        <w:t>/d，本项目依托综合楼化粪池现实际处理规模约8m</w:t>
      </w:r>
      <w:r>
        <w:rPr>
          <w:color w:val="000000"/>
          <w:szCs w:val="24"/>
          <w:vertAlign w:val="superscript"/>
        </w:rPr>
        <w:t>3</w:t>
      </w:r>
      <w:r>
        <w:rPr>
          <w:color w:val="000000"/>
          <w:szCs w:val="24"/>
        </w:rPr>
        <w:t>/d，富余4m</w:t>
      </w:r>
      <w:r>
        <w:rPr>
          <w:color w:val="000000"/>
          <w:szCs w:val="24"/>
          <w:vertAlign w:val="superscript"/>
        </w:rPr>
        <w:t>3</w:t>
      </w:r>
      <w:r>
        <w:rPr>
          <w:color w:val="000000"/>
          <w:szCs w:val="24"/>
        </w:rPr>
        <w:t>/d，本项目生活污水产生量0.54m</w:t>
      </w:r>
      <w:r>
        <w:rPr>
          <w:color w:val="000000"/>
          <w:szCs w:val="24"/>
          <w:vertAlign w:val="superscript"/>
        </w:rPr>
        <w:t>3</w:t>
      </w:r>
      <w:r>
        <w:rPr>
          <w:color w:val="000000"/>
          <w:szCs w:val="24"/>
        </w:rPr>
        <w:t>/d，其富余规模可满足本项目生活污水处理需求。</w:t>
      </w:r>
    </w:p>
    <w:p w14:paraId="22E0CF71">
      <w:pPr>
        <w:ind w:firstLine="480" w:firstLineChars="200"/>
        <w:rPr>
          <w:color w:val="000000"/>
          <w:szCs w:val="24"/>
        </w:rPr>
      </w:pPr>
      <w:r>
        <w:rPr>
          <w:color w:val="000000"/>
          <w:szCs w:val="24"/>
        </w:rPr>
        <w:t>故从水质、水量上分析，项目生产废水、生活污水依托现有污水处理装置是可行的。</w:t>
      </w:r>
    </w:p>
    <w:p w14:paraId="48A11256">
      <w:pPr>
        <w:ind w:firstLine="480" w:firstLineChars="200"/>
        <w:rPr>
          <w:color w:val="000000"/>
          <w:szCs w:val="24"/>
        </w:rPr>
      </w:pPr>
      <w:r>
        <w:rPr>
          <w:color w:val="000000"/>
          <w:szCs w:val="24"/>
        </w:rPr>
        <w:t>（2）依托潘家坝污水处理厂的可行性分析</w:t>
      </w:r>
    </w:p>
    <w:p w14:paraId="39D8764F">
      <w:pPr>
        <w:ind w:firstLine="480" w:firstLineChars="200"/>
        <w:rPr>
          <w:color w:val="000000"/>
          <w:szCs w:val="24"/>
        </w:rPr>
      </w:pPr>
      <w:r>
        <w:rPr>
          <w:color w:val="000000"/>
          <w:szCs w:val="24"/>
        </w:rPr>
        <w:t>项目废水经厂区现有污水处理装置处理达</w:t>
      </w:r>
      <w:r>
        <w:rPr>
          <w:color w:val="000000"/>
        </w:rPr>
        <w:t>涪陵区拓源污水治理有限公司白涛化工园区潘家坝污水处理厂进水水质标准及</w:t>
      </w:r>
      <w:r>
        <w:rPr>
          <w:color w:val="000000"/>
          <w:szCs w:val="24"/>
        </w:rPr>
        <w:t>《污水综合排放标准》（GB8978-1996）三级标准后进入园区污水管网，最后排入园区潘家坝污水处理厂集中处理达到《化工园区主要水污染物排放标准》（DB50/457-2012）中表1标准后排放。</w:t>
      </w:r>
    </w:p>
    <w:p w14:paraId="3088F298">
      <w:pPr>
        <w:ind w:firstLine="480"/>
        <w:rPr>
          <w:bCs/>
          <w:color w:val="000000"/>
          <w:szCs w:val="24"/>
        </w:rPr>
      </w:pPr>
      <w:r>
        <w:rPr>
          <w:color w:val="000000"/>
          <w:szCs w:val="24"/>
        </w:rPr>
        <w:t>潘家坝污水处理厂由2008年启动建设，目前一期工程已经建成投入使用，建设规模为1万m</w:t>
      </w:r>
      <w:r>
        <w:rPr>
          <w:color w:val="000000"/>
          <w:szCs w:val="24"/>
          <w:vertAlign w:val="superscript"/>
        </w:rPr>
        <w:t>3</w:t>
      </w:r>
      <w:r>
        <w:rPr>
          <w:color w:val="000000"/>
          <w:szCs w:val="24"/>
        </w:rPr>
        <w:t>/d，</w:t>
      </w:r>
      <w:r>
        <w:rPr>
          <w:bCs/>
          <w:color w:val="000000"/>
          <w:szCs w:val="24"/>
        </w:rPr>
        <w:t>采用的工艺为CASS处理工艺，即集水池-旋流除砂—混凝沉淀—CASS—消毒。并配套管网建设。服务范围为白涛化工园区天然气化工区，具体为：潘家坝以北沿后溪河约4km</w:t>
      </w:r>
      <w:r>
        <w:rPr>
          <w:bCs/>
          <w:color w:val="000000"/>
          <w:szCs w:val="24"/>
          <w:vertAlign w:val="superscript"/>
        </w:rPr>
        <w:t>2</w:t>
      </w:r>
      <w:r>
        <w:rPr>
          <w:bCs/>
          <w:color w:val="000000"/>
          <w:szCs w:val="24"/>
        </w:rPr>
        <w:t>的范围。目前正常日纳水量约为6000m</w:t>
      </w:r>
      <w:r>
        <w:rPr>
          <w:bCs/>
          <w:color w:val="000000"/>
          <w:szCs w:val="24"/>
          <w:vertAlign w:val="superscript"/>
        </w:rPr>
        <w:t>3</w:t>
      </w:r>
      <w:r>
        <w:rPr>
          <w:bCs/>
          <w:color w:val="000000"/>
          <w:szCs w:val="24"/>
        </w:rPr>
        <w:t>/d，最大日接纳水量为9000m</w:t>
      </w:r>
      <w:r>
        <w:rPr>
          <w:bCs/>
          <w:color w:val="000000"/>
          <w:szCs w:val="24"/>
          <w:vertAlign w:val="superscript"/>
        </w:rPr>
        <w:t>3</w:t>
      </w:r>
      <w:r>
        <w:rPr>
          <w:bCs/>
          <w:color w:val="000000"/>
          <w:szCs w:val="24"/>
        </w:rPr>
        <w:t>/d。为了满足园区发展需要，目前潘家坝污水处理厂正在实施扩建，新增处理能力为2.0万m</w:t>
      </w:r>
      <w:r>
        <w:rPr>
          <w:bCs/>
          <w:color w:val="000000"/>
          <w:szCs w:val="24"/>
          <w:vertAlign w:val="superscript"/>
        </w:rPr>
        <w:t>3</w:t>
      </w:r>
      <w:r>
        <w:rPr>
          <w:bCs/>
          <w:color w:val="000000"/>
          <w:szCs w:val="24"/>
        </w:rPr>
        <w:t>/d（扩建后潘家坝污水处理厂的处理能力将达到3.0万m</w:t>
      </w:r>
      <w:r>
        <w:rPr>
          <w:bCs/>
          <w:color w:val="000000"/>
          <w:szCs w:val="24"/>
          <w:vertAlign w:val="superscript"/>
        </w:rPr>
        <w:t>3</w:t>
      </w:r>
      <w:r>
        <w:rPr>
          <w:bCs/>
          <w:color w:val="000000"/>
          <w:szCs w:val="24"/>
        </w:rPr>
        <w:t>/d），目前扩建工程已建成1万m</w:t>
      </w:r>
      <w:r>
        <w:rPr>
          <w:bCs/>
          <w:color w:val="000000"/>
          <w:szCs w:val="24"/>
          <w:vertAlign w:val="superscript"/>
        </w:rPr>
        <w:t>3</w:t>
      </w:r>
      <w:r>
        <w:rPr>
          <w:bCs/>
          <w:color w:val="000000"/>
          <w:szCs w:val="24"/>
        </w:rPr>
        <w:t>/d处理能力，处于竣工环保验收阶段，总处理能力为2.0万m</w:t>
      </w:r>
      <w:r>
        <w:rPr>
          <w:bCs/>
          <w:color w:val="000000"/>
          <w:szCs w:val="24"/>
          <w:vertAlign w:val="superscript"/>
        </w:rPr>
        <w:t>3</w:t>
      </w:r>
      <w:r>
        <w:rPr>
          <w:bCs/>
          <w:color w:val="000000"/>
          <w:szCs w:val="24"/>
        </w:rPr>
        <w:t>/d。满足本项目废水处理的需求。建设单位与</w:t>
      </w:r>
      <w:r>
        <w:rPr>
          <w:color w:val="000000"/>
          <w:szCs w:val="24"/>
        </w:rPr>
        <w:t>潘家坝污水处理厂运营公司（</w:t>
      </w:r>
      <w:r>
        <w:rPr>
          <w:color w:val="000000"/>
        </w:rPr>
        <w:t>涪陵区拓源污水治理有限公司</w:t>
      </w:r>
      <w:r>
        <w:rPr>
          <w:color w:val="000000"/>
          <w:szCs w:val="24"/>
        </w:rPr>
        <w:t>）签订了污水处理服务合同。</w:t>
      </w:r>
    </w:p>
    <w:p w14:paraId="3482223D">
      <w:pPr>
        <w:pStyle w:val="43"/>
        <w:widowControl w:val="0"/>
        <w:spacing w:after="0" w:line="360" w:lineRule="auto"/>
        <w:ind w:left="0" w:leftChars="0" w:firstLine="480" w:firstLineChars="200"/>
        <w:rPr>
          <w:color w:val="000000"/>
          <w:kern w:val="2"/>
          <w:szCs w:val="24"/>
        </w:rPr>
      </w:pPr>
      <w:r>
        <w:rPr>
          <w:color w:val="000000"/>
          <w:szCs w:val="24"/>
        </w:rPr>
        <w:t>因此，本项目废水处理后排入潘家坝污水处理厂可行。</w:t>
      </w:r>
    </w:p>
    <w:p w14:paraId="4A7B812D">
      <w:pPr>
        <w:ind w:firstLine="480"/>
        <w:rPr>
          <w:color w:val="000000"/>
        </w:rPr>
      </w:pPr>
      <w:r>
        <w:rPr>
          <w:color w:val="000000"/>
          <w:szCs w:val="24"/>
        </w:rPr>
        <w:t>综上所述，本项目生产废水、生活污水产生量较少，污染物因子简单，依托现有废水处理设施处理可做到达标排放，措施可行</w:t>
      </w:r>
      <w:r>
        <w:rPr>
          <w:color w:val="000000"/>
        </w:rPr>
        <w:t>。</w:t>
      </w:r>
    </w:p>
    <w:bookmarkEnd w:id="718"/>
    <w:p w14:paraId="4075DD90">
      <w:pPr>
        <w:pStyle w:val="770"/>
        <w:rPr>
          <w:color w:val="000000"/>
        </w:rPr>
      </w:pPr>
      <w:bookmarkStart w:id="719" w:name="_Toc314211409"/>
      <w:bookmarkStart w:id="720" w:name="_Toc392511532"/>
      <w:bookmarkStart w:id="721" w:name="_Toc320897281"/>
      <w:bookmarkStart w:id="722" w:name="_Toc440766379"/>
      <w:bookmarkStart w:id="723" w:name="_Toc440766183"/>
      <w:bookmarkStart w:id="724" w:name="_Toc440766691"/>
      <w:bookmarkStart w:id="725" w:name="_Toc500376083"/>
      <w:bookmarkStart w:id="726" w:name="_Toc24898_WPSOffice_Level3"/>
      <w:bookmarkStart w:id="727" w:name="_Toc490585797"/>
      <w:bookmarkStart w:id="728" w:name="_Toc1610"/>
      <w:bookmarkStart w:id="729" w:name="_Toc462350330"/>
      <w:bookmarkStart w:id="730" w:name="_Toc488392472"/>
      <w:bookmarkStart w:id="731" w:name="_Toc423424086"/>
      <w:bookmarkStart w:id="732" w:name="_Toc404092132"/>
      <w:bookmarkStart w:id="733" w:name="_Toc500376074"/>
      <w:bookmarkStart w:id="734" w:name="_Toc368_WPSOffice_Level3"/>
      <w:r>
        <w:rPr>
          <w:color w:val="000000"/>
        </w:rPr>
        <w:t>7.3 噪声污染防治</w:t>
      </w:r>
      <w:bookmarkEnd w:id="719"/>
      <w:bookmarkEnd w:id="720"/>
      <w:bookmarkEnd w:id="721"/>
      <w:r>
        <w:rPr>
          <w:color w:val="000000"/>
        </w:rPr>
        <w:t>措施</w:t>
      </w:r>
      <w:bookmarkEnd w:id="722"/>
      <w:bookmarkEnd w:id="723"/>
      <w:bookmarkEnd w:id="724"/>
      <w:bookmarkEnd w:id="725"/>
      <w:bookmarkEnd w:id="726"/>
      <w:bookmarkEnd w:id="727"/>
      <w:bookmarkEnd w:id="728"/>
    </w:p>
    <w:p w14:paraId="6A7E000B">
      <w:pPr>
        <w:tabs>
          <w:tab w:val="left" w:pos="993"/>
        </w:tabs>
        <w:ind w:firstLine="480"/>
        <w:rPr>
          <w:bCs/>
          <w:color w:val="000000"/>
          <w:szCs w:val="24"/>
        </w:rPr>
      </w:pPr>
      <w:r>
        <w:rPr>
          <w:color w:val="000000"/>
        </w:rPr>
        <w:t>本项目运营期的噪声源主要为压缩机、各种泵类等，主要噪声声压级在75～100dB（A）之间，本项目选用低噪声设备，对设备采取建筑隔声、基础减振、消声，在厂区进行合理布局等措施，</w:t>
      </w:r>
      <w:r>
        <w:rPr>
          <w:color w:val="000000"/>
          <w:szCs w:val="24"/>
        </w:rPr>
        <w:t>降噪效果在20dB（A）左右</w:t>
      </w:r>
      <w:r>
        <w:rPr>
          <w:bCs/>
          <w:color w:val="000000"/>
          <w:szCs w:val="24"/>
        </w:rPr>
        <w:t>。</w:t>
      </w:r>
    </w:p>
    <w:p w14:paraId="0B51E511">
      <w:pPr>
        <w:tabs>
          <w:tab w:val="left" w:pos="993"/>
        </w:tabs>
        <w:ind w:firstLine="480"/>
        <w:rPr>
          <w:color w:val="000000"/>
        </w:rPr>
      </w:pPr>
      <w:r>
        <w:rPr>
          <w:bCs/>
          <w:color w:val="000000"/>
          <w:szCs w:val="24"/>
        </w:rPr>
        <w:t>以上措施成熟、可靠，</w:t>
      </w:r>
      <w:r>
        <w:rPr>
          <w:color w:val="000000"/>
          <w:szCs w:val="24"/>
        </w:rPr>
        <w:t>根据预测，厂界噪声满足《工业企业厂界环境噪声排放标准》（GB12348-2008）3类标准要求。</w:t>
      </w:r>
      <w:r>
        <w:rPr>
          <w:color w:val="000000"/>
        </w:rPr>
        <w:t>项目厂界周边200m无声环境敏感点分布，对周边居民声环境质量影响不大。</w:t>
      </w:r>
    </w:p>
    <w:p w14:paraId="31BAF5D7">
      <w:pPr>
        <w:pStyle w:val="770"/>
        <w:rPr>
          <w:color w:val="000000"/>
        </w:rPr>
      </w:pPr>
      <w:bookmarkStart w:id="735" w:name="_Toc32711"/>
      <w:r>
        <w:rPr>
          <w:color w:val="000000"/>
        </w:rPr>
        <w:t>7.4 固体废物处置措施</w:t>
      </w:r>
      <w:bookmarkEnd w:id="735"/>
    </w:p>
    <w:p w14:paraId="77FD67BA">
      <w:pPr>
        <w:ind w:firstLine="480"/>
        <w:rPr>
          <w:color w:val="000000"/>
        </w:rPr>
      </w:pPr>
      <w:r>
        <w:rPr>
          <w:color w:val="000000"/>
        </w:rPr>
        <w:t>本项目固体废物包括危险废物、一般工业固体废物和生活垃圾。</w:t>
      </w:r>
    </w:p>
    <w:p w14:paraId="6721598E">
      <w:pPr>
        <w:pStyle w:val="771"/>
        <w:rPr>
          <w:color w:val="000000"/>
        </w:rPr>
      </w:pPr>
      <w:r>
        <w:rPr>
          <w:color w:val="000000"/>
        </w:rPr>
        <w:t>7.4.1 危险废物处置措施</w:t>
      </w:r>
    </w:p>
    <w:p w14:paraId="2BE17CBF">
      <w:pPr>
        <w:ind w:firstLine="480" w:firstLineChars="200"/>
        <w:rPr>
          <w:color w:val="000000"/>
          <w:szCs w:val="22"/>
        </w:rPr>
      </w:pPr>
      <w:r>
        <w:rPr>
          <w:color w:val="000000"/>
        </w:rPr>
        <w:t>本项目危险废物主要为催化燃烧脱氢废催化剂，每2年更换一次，密闭罐可暂存于LNG工厂现有危废暂存间，后交危废资质单位处置。LNG工厂现有1个53.76m</w:t>
      </w:r>
      <w:r>
        <w:rPr>
          <w:color w:val="000000"/>
          <w:vertAlign w:val="superscript"/>
        </w:rPr>
        <w:t>2</w:t>
      </w:r>
      <w:r>
        <w:rPr>
          <w:color w:val="000000"/>
        </w:rPr>
        <w:t>的危废暂存间，已按《危险废物贮存污染控制标准》（GB 18597-2001）相关要求，落实了“四防”工作（防风、防雨、防晒、防渗漏），避免因日晒雨淋等产生二次污染。</w:t>
      </w:r>
    </w:p>
    <w:p w14:paraId="58393599">
      <w:pPr>
        <w:ind w:firstLine="480" w:firstLineChars="200"/>
        <w:rPr>
          <w:color w:val="000000"/>
        </w:rPr>
      </w:pPr>
      <w:r>
        <w:rPr>
          <w:color w:val="000000"/>
          <w:szCs w:val="22"/>
        </w:rPr>
        <w:t>企业除做好危废台账记录外，应按国家有关规定办理危险废物申报转移的“五联单”手续，厂内暂存时间不得超过1年。</w:t>
      </w:r>
      <w:r>
        <w:rPr>
          <w:color w:val="000000"/>
        </w:rPr>
        <w:t>在交有资质单位处理时，应严格按照《危险废物转移联单管理办法》办理危险废物转移联单，并由双方单位保留备查。应当在危险废物转移前三日内报告移出地环境保护行政主管部门，并同时将预期到达时间报告接受地环境保护行政主管部门。</w:t>
      </w:r>
    </w:p>
    <w:p w14:paraId="6B41FB40">
      <w:pPr>
        <w:pStyle w:val="771"/>
        <w:rPr>
          <w:color w:val="000000"/>
        </w:rPr>
      </w:pPr>
      <w:r>
        <w:rPr>
          <w:color w:val="000000"/>
        </w:rPr>
        <w:t>7.4.2 一般工业固体废物处置措施</w:t>
      </w:r>
    </w:p>
    <w:p w14:paraId="18497027">
      <w:pPr>
        <w:ind w:firstLine="480" w:firstLineChars="200"/>
        <w:rPr>
          <w:color w:val="000000"/>
        </w:rPr>
      </w:pPr>
      <w:r>
        <w:rPr>
          <w:color w:val="000000"/>
        </w:rPr>
        <w:t>本项目一般工业固体废物包括废干燥剂、废过滤膜、吸附脱氢废催化剂、低温精制废吸附剂、废瓷球等，分类收集、分类暂存于LNG工厂现有一般固废暂存间后交回收单位。LNG工厂现有1个9m</w:t>
      </w:r>
      <w:r>
        <w:rPr>
          <w:color w:val="000000"/>
          <w:vertAlign w:val="superscript"/>
        </w:rPr>
        <w:t>2</w:t>
      </w:r>
      <w:r>
        <w:rPr>
          <w:color w:val="000000"/>
        </w:rPr>
        <w:t>的一般固废暂存间，已按照《一般工业固体废物贮存和填埋污染控制标准》（GB18599-2020）、落实了“防渗漏、防雨淋、防扬尘等”相关规定。</w:t>
      </w:r>
    </w:p>
    <w:p w14:paraId="470E253E">
      <w:pPr>
        <w:rPr>
          <w:color w:val="000000"/>
        </w:rPr>
      </w:pPr>
      <w:r>
        <w:rPr>
          <w:color w:val="000000"/>
        </w:rPr>
        <w:t>7.4.3生活垃圾处置措施</w:t>
      </w:r>
    </w:p>
    <w:p w14:paraId="77A177D9">
      <w:pPr>
        <w:ind w:firstLine="480"/>
        <w:rPr>
          <w:color w:val="000000"/>
        </w:rPr>
      </w:pPr>
      <w:r>
        <w:rPr>
          <w:color w:val="000000"/>
        </w:rPr>
        <w:t>生活垃圾厂区内生活垃圾桶集中收集后交环卫部门统一处置。</w:t>
      </w:r>
    </w:p>
    <w:p w14:paraId="1D5CB6FE">
      <w:pPr>
        <w:ind w:firstLine="480"/>
        <w:rPr>
          <w:color w:val="000000"/>
        </w:rPr>
      </w:pPr>
      <w:r>
        <w:rPr>
          <w:color w:val="000000"/>
        </w:rPr>
        <w:t>以上固体废物处置措施可实现固体废物的分类、妥善、合理处置，可有效避免二次污染。</w:t>
      </w:r>
    </w:p>
    <w:p w14:paraId="60F6387B">
      <w:pPr>
        <w:pStyle w:val="770"/>
        <w:rPr>
          <w:color w:val="000000"/>
        </w:rPr>
      </w:pPr>
      <w:bookmarkStart w:id="736" w:name="_Toc31265"/>
      <w:r>
        <w:rPr>
          <w:color w:val="000000"/>
        </w:rPr>
        <w:t>7.5 地下水污染防治措施</w:t>
      </w:r>
      <w:bookmarkEnd w:id="729"/>
      <w:bookmarkEnd w:id="730"/>
      <w:bookmarkEnd w:id="731"/>
      <w:bookmarkEnd w:id="732"/>
      <w:bookmarkEnd w:id="733"/>
      <w:bookmarkEnd w:id="734"/>
      <w:bookmarkEnd w:id="736"/>
    </w:p>
    <w:p w14:paraId="47B3DF14">
      <w:pPr>
        <w:pStyle w:val="771"/>
        <w:rPr>
          <w:bCs w:val="0"/>
          <w:color w:val="000000"/>
        </w:rPr>
      </w:pPr>
      <w:bookmarkStart w:id="737" w:name="_Toc490585793"/>
      <w:bookmarkStart w:id="738" w:name="_Toc4597_WPSOffice_Level3"/>
      <w:bookmarkStart w:id="739" w:name="_Toc500376079"/>
      <w:r>
        <w:rPr>
          <w:bCs w:val="0"/>
          <w:color w:val="000000"/>
        </w:rPr>
        <w:t>7.5.1地下水污染防治原则</w:t>
      </w:r>
    </w:p>
    <w:p w14:paraId="7B902038">
      <w:pPr>
        <w:tabs>
          <w:tab w:val="left" w:pos="993"/>
        </w:tabs>
        <w:ind w:firstLine="480"/>
        <w:rPr>
          <w:color w:val="000000"/>
        </w:rPr>
      </w:pPr>
      <w:r>
        <w:rPr>
          <w:color w:val="000000"/>
        </w:rPr>
        <w:t>地下水污染防治措施坚持“源头控制、末端防治、污染监控、应急响应相结合”的原则，即采取主动控制和被动控制相结合的措施。</w:t>
      </w:r>
    </w:p>
    <w:p w14:paraId="07D30985">
      <w:pPr>
        <w:tabs>
          <w:tab w:val="left" w:pos="993"/>
        </w:tabs>
        <w:ind w:firstLine="480"/>
        <w:rPr>
          <w:color w:val="000000"/>
        </w:rPr>
      </w:pPr>
      <w:r>
        <w:rPr>
          <w:color w:val="000000"/>
        </w:rPr>
        <w:t>①源头动控制即从源头控制措施，项目区域施工时应严格按照</w:t>
      </w:r>
      <w:r>
        <w:rPr>
          <w:color w:val="000000"/>
          <w:szCs w:val="24"/>
        </w:rPr>
        <w:t>《重庆中石化通汇能源有限公司LNG工厂项目岩土工程勘察报告》相关要求进行施工，</w:t>
      </w:r>
      <w:r>
        <w:rPr>
          <w:color w:val="000000"/>
        </w:rPr>
        <w:t>各设施在平面布局时需充分考虑场地下方岩溶发育情况，尽量使生产装置、废水收集治理设施或构筑物等可能出现渗漏风险的设施避让地下暗河通道和溶洞。</w:t>
      </w:r>
    </w:p>
    <w:p w14:paraId="311EC5B3">
      <w:pPr>
        <w:tabs>
          <w:tab w:val="left" w:pos="993"/>
        </w:tabs>
        <w:ind w:firstLine="480"/>
        <w:rPr>
          <w:color w:val="000000"/>
        </w:rPr>
      </w:pPr>
      <w:r>
        <w:rPr>
          <w:color w:val="000000"/>
        </w:rPr>
        <w:t>另外，源头控制还包括在工艺、管道、设备、污水储存及处理构筑物采取相应措施，防止和降低污染物跑、冒、滴、漏，将污染物泄漏的环境风险事故降到最低程度；</w:t>
      </w:r>
    </w:p>
    <w:p w14:paraId="3C51C4C3">
      <w:pPr>
        <w:tabs>
          <w:tab w:val="left" w:pos="993"/>
        </w:tabs>
        <w:ind w:firstLine="480"/>
        <w:rPr>
          <w:color w:val="000000"/>
        </w:rPr>
      </w:pPr>
      <w:r>
        <w:rPr>
          <w:color w:val="000000"/>
        </w:rPr>
        <w:t>②末端防治即末端控制措施，主要包括厂内污染区地面的防渗措施和泄漏、渗漏污染物收集措施，即在污染区地面进行防渗处理，防止洒落地面的污染物渗入地下，并把滞留在地面的污染物收集起来，防止污染地下水；</w:t>
      </w:r>
    </w:p>
    <w:p w14:paraId="5871A499">
      <w:pPr>
        <w:tabs>
          <w:tab w:val="left" w:pos="993"/>
        </w:tabs>
        <w:ind w:firstLine="480"/>
        <w:rPr>
          <w:color w:val="000000"/>
        </w:rPr>
      </w:pPr>
      <w:r>
        <w:rPr>
          <w:color w:val="000000"/>
        </w:rPr>
        <w:t>③实施覆盖生产区的地下水污染监控系统，包括建立完善的监测制度、配备检测仪器和设备，设置地下水污染监控井，及时发现污染、及时控制；</w:t>
      </w:r>
    </w:p>
    <w:p w14:paraId="47B2DCB3">
      <w:pPr>
        <w:tabs>
          <w:tab w:val="left" w:pos="993"/>
        </w:tabs>
        <w:ind w:firstLine="480"/>
        <w:rPr>
          <w:color w:val="000000"/>
        </w:rPr>
      </w:pPr>
      <w:r>
        <w:rPr>
          <w:color w:val="000000"/>
        </w:rPr>
        <w:t>④应急响应措施，包括一旦发现地下水污染事故，立即启动应急预案、采取应急措施控制地下水污染，并使污染得到治理。</w:t>
      </w:r>
    </w:p>
    <w:p w14:paraId="5686D4E7">
      <w:pPr>
        <w:pStyle w:val="771"/>
        <w:rPr>
          <w:color w:val="000000"/>
        </w:rPr>
      </w:pPr>
      <w:r>
        <w:rPr>
          <w:bCs w:val="0"/>
          <w:color w:val="000000"/>
        </w:rPr>
        <w:t>7.5.2地下水污染</w:t>
      </w:r>
      <w:r>
        <w:rPr>
          <w:color w:val="000000"/>
        </w:rPr>
        <w:t>源头控制措施</w:t>
      </w:r>
    </w:p>
    <w:p w14:paraId="5DF4E349">
      <w:pPr>
        <w:numPr>
          <w:ilvl w:val="0"/>
          <w:numId w:val="6"/>
        </w:numPr>
        <w:tabs>
          <w:tab w:val="left" w:pos="993"/>
        </w:tabs>
        <w:ind w:firstLine="480"/>
        <w:rPr>
          <w:color w:val="000000"/>
        </w:rPr>
      </w:pPr>
      <w:r>
        <w:rPr>
          <w:color w:val="000000"/>
        </w:rPr>
        <w:t>本项目提氦装置区、废水收集管道等避开地下暗河通道、溶洞正上方。</w:t>
      </w:r>
    </w:p>
    <w:p w14:paraId="2252BE5D">
      <w:pPr>
        <w:numPr>
          <w:ilvl w:val="0"/>
          <w:numId w:val="6"/>
        </w:numPr>
        <w:tabs>
          <w:tab w:val="left" w:pos="993"/>
        </w:tabs>
        <w:ind w:firstLine="480"/>
        <w:rPr>
          <w:color w:val="000000"/>
        </w:rPr>
      </w:pPr>
      <w:r>
        <w:rPr>
          <w:color w:val="000000"/>
        </w:rPr>
        <w:t>选择先进、成熟、可靠的工艺技术和较清洁的原辅材料，对产生的废物进行合理的回用和治理；</w:t>
      </w:r>
    </w:p>
    <w:p w14:paraId="6A2CC353">
      <w:pPr>
        <w:tabs>
          <w:tab w:val="left" w:pos="993"/>
        </w:tabs>
        <w:ind w:firstLine="480"/>
        <w:rPr>
          <w:color w:val="000000"/>
        </w:rPr>
      </w:pPr>
      <w:r>
        <w:rPr>
          <w:color w:val="000000"/>
        </w:rPr>
        <w:t>（3）严格按照国家相关规范要求，对废水收集管道采取可视化设计，对工艺、管道、设备、污水储存及处理构筑物采取相应的措施，以防止和降低污染物的跑、冒、滴、漏，降低风险事故；</w:t>
      </w:r>
    </w:p>
    <w:p w14:paraId="27C51BAF">
      <w:pPr>
        <w:tabs>
          <w:tab w:val="left" w:pos="993"/>
        </w:tabs>
        <w:ind w:firstLine="480"/>
        <w:rPr>
          <w:color w:val="000000"/>
        </w:rPr>
      </w:pPr>
      <w:r>
        <w:rPr>
          <w:color w:val="000000"/>
        </w:rPr>
        <w:t>（4）优化排水系统设计，废水收集并经过处理后达标排放。</w:t>
      </w:r>
    </w:p>
    <w:p w14:paraId="06E18A76">
      <w:pPr>
        <w:tabs>
          <w:tab w:val="left" w:pos="993"/>
        </w:tabs>
        <w:ind w:firstLine="480"/>
        <w:rPr>
          <w:color w:val="000000"/>
        </w:rPr>
      </w:pPr>
      <w:r>
        <w:rPr>
          <w:color w:val="000000"/>
        </w:rPr>
        <w:t>（5）生产运行开始前进行试运行，检查设备、管线、及各池体构筑物的是否存在“跑冒滴漏”现象；</w:t>
      </w:r>
    </w:p>
    <w:p w14:paraId="10C6C815">
      <w:pPr>
        <w:tabs>
          <w:tab w:val="left" w:pos="993"/>
        </w:tabs>
        <w:ind w:firstLine="480"/>
        <w:rPr>
          <w:color w:val="000000"/>
        </w:rPr>
      </w:pPr>
      <w:r>
        <w:rPr>
          <w:color w:val="000000"/>
        </w:rPr>
        <w:t>（6）加强设备设施检查、维护、日常巡检工作，及时发现“跑冒滴漏”，尤其是对易</w:t>
      </w:r>
      <w:r>
        <w:rPr>
          <w:rFonts w:hint="eastAsia"/>
          <w:color w:val="000000"/>
          <w:lang w:eastAsia="zh-CN"/>
        </w:rPr>
        <w:t>泄漏</w:t>
      </w:r>
      <w:r>
        <w:rPr>
          <w:color w:val="000000"/>
        </w:rPr>
        <w:t>部位和重点设备要实施特保特护，避免“跑冒滴漏”出现、扩大。</w:t>
      </w:r>
    </w:p>
    <w:p w14:paraId="6D219B3A">
      <w:pPr>
        <w:pStyle w:val="2204"/>
        <w:ind w:firstLine="482"/>
        <w:rPr>
          <w:rFonts w:eastAsia="宋体"/>
          <w:b/>
          <w:color w:val="000000"/>
        </w:rPr>
      </w:pPr>
      <w:r>
        <w:rPr>
          <w:rFonts w:eastAsia="宋体"/>
          <w:b/>
          <w:color w:val="000000"/>
        </w:rPr>
        <w:t>“地勘报告”提出的工程措施：</w:t>
      </w:r>
    </w:p>
    <w:p w14:paraId="47448CC7">
      <w:pPr>
        <w:pStyle w:val="2204"/>
        <w:ind w:firstLine="480"/>
        <w:rPr>
          <w:rFonts w:eastAsia="宋体"/>
          <w:color w:val="000000"/>
        </w:rPr>
      </w:pPr>
      <w:r>
        <w:rPr>
          <w:rFonts w:eastAsia="宋体"/>
          <w:color w:val="000000"/>
        </w:rPr>
        <w:t>① 场地内回填应先修筑支挡结构，再回填，回填时加强对支挡结构的监测。</w:t>
      </w:r>
    </w:p>
    <w:p w14:paraId="51B28A08">
      <w:pPr>
        <w:pStyle w:val="2204"/>
        <w:ind w:firstLine="480"/>
        <w:rPr>
          <w:rFonts w:eastAsia="宋体"/>
          <w:color w:val="000000"/>
        </w:rPr>
      </w:pPr>
      <w:r>
        <w:rPr>
          <w:rFonts w:eastAsia="宋体"/>
          <w:color w:val="000000"/>
        </w:rPr>
        <w:t>② 基坑边坡严格按《建筑边坡工程技术规范》（GB50330-2002）及勘察设计要求进行施工。基坑边坡施工建议采用分段跳槽开挖、自上而下、及时支护的逆作法施工，分级支挡，每级开挖高度宜小于3m，边坡工程宜采用动态设计，信息施工法，并设置相应的变形观测点进行变形监测。</w:t>
      </w:r>
    </w:p>
    <w:p w14:paraId="41150E02">
      <w:pPr>
        <w:pStyle w:val="2204"/>
        <w:ind w:firstLine="480"/>
        <w:rPr>
          <w:rFonts w:eastAsia="宋体"/>
          <w:color w:val="000000"/>
        </w:rPr>
      </w:pPr>
      <w:r>
        <w:rPr>
          <w:rFonts w:eastAsia="宋体"/>
          <w:color w:val="000000"/>
        </w:rPr>
        <w:t>③ 加强基坑边坡及基础施工验槽工作，若开挖后地质情况与报告存在较大出入，应及时通知我院技术人员到现场进行处理，必要时应进行补充勘察。</w:t>
      </w:r>
    </w:p>
    <w:p w14:paraId="5832FA36">
      <w:pPr>
        <w:pStyle w:val="2204"/>
        <w:ind w:firstLine="480"/>
        <w:rPr>
          <w:rFonts w:eastAsia="宋体"/>
          <w:color w:val="000000"/>
        </w:rPr>
      </w:pPr>
      <w:r>
        <w:rPr>
          <w:rFonts w:eastAsia="宋体"/>
          <w:color w:val="000000"/>
        </w:rPr>
        <w:t>④ 由于岩溶发育的无规律性、勘探手段的局限性，场地中可能还有没有查明的溶洞，因此在采用灰岩作持力层时，施工时必须查明基础底下3d且5.0m深度范围内有无溶洞、破碎带、软弱夹层等不良地质现象，并符合《建筑地基基础设计规范》DBJ50-047-2006之有关规定。</w:t>
      </w:r>
    </w:p>
    <w:p w14:paraId="772C0B16">
      <w:pPr>
        <w:pStyle w:val="2204"/>
        <w:ind w:firstLine="480"/>
        <w:rPr>
          <w:rFonts w:eastAsia="宋体"/>
          <w:color w:val="000000"/>
        </w:rPr>
      </w:pPr>
      <w:r>
        <w:rPr>
          <w:rFonts w:eastAsia="宋体"/>
          <w:color w:val="000000"/>
        </w:rPr>
        <w:t>⑤ 在场平施工时，对于万丈坑及长坑落水洞，经专家现场论证及地质调查结果分析，可对其进行回填处理，其处理方式建议先采用大直径块石回填，然后在分层回填压实，地表按设计要求作防渗处理，并做沉降观测。</w:t>
      </w:r>
    </w:p>
    <w:p w14:paraId="6999D7AD">
      <w:pPr>
        <w:pStyle w:val="771"/>
        <w:rPr>
          <w:bCs w:val="0"/>
          <w:color w:val="000000"/>
        </w:rPr>
      </w:pPr>
      <w:r>
        <w:rPr>
          <w:bCs w:val="0"/>
          <w:color w:val="000000"/>
        </w:rPr>
        <w:t>7.5.3地下水污染</w:t>
      </w:r>
      <w:r>
        <w:rPr>
          <w:color w:val="000000"/>
        </w:rPr>
        <w:t>末端控制措施</w:t>
      </w:r>
    </w:p>
    <w:p w14:paraId="24395310">
      <w:pPr>
        <w:tabs>
          <w:tab w:val="left" w:pos="993"/>
        </w:tabs>
        <w:ind w:firstLine="480"/>
        <w:rPr>
          <w:color w:val="000000"/>
        </w:rPr>
      </w:pPr>
      <w:r>
        <w:rPr>
          <w:color w:val="000000"/>
        </w:rPr>
        <w:t>（1）厂区防渗</w:t>
      </w:r>
    </w:p>
    <w:p w14:paraId="4355CC9D">
      <w:pPr>
        <w:tabs>
          <w:tab w:val="left" w:pos="993"/>
        </w:tabs>
        <w:ind w:firstLine="480"/>
        <w:rPr>
          <w:color w:val="000000"/>
        </w:rPr>
      </w:pPr>
      <w:r>
        <w:rPr>
          <w:color w:val="000000"/>
        </w:rPr>
        <w:t>地面防渗工程设计原则：</w:t>
      </w:r>
    </w:p>
    <w:p w14:paraId="70D633F8">
      <w:pPr>
        <w:tabs>
          <w:tab w:val="left" w:pos="993"/>
        </w:tabs>
        <w:ind w:firstLine="480"/>
        <w:rPr>
          <w:color w:val="000000"/>
        </w:rPr>
      </w:pPr>
      <w:r>
        <w:rPr>
          <w:color w:val="000000"/>
        </w:rPr>
        <w:t>① 采用国内先进的防渗材料、技术和实施手段，杜绝项目对区域内地下水的影响，确保不因项目运行而对区域地下水造成任何污染影响，确保现有地下水水体功能。</w:t>
      </w:r>
    </w:p>
    <w:p w14:paraId="66B9BD14">
      <w:pPr>
        <w:tabs>
          <w:tab w:val="left" w:pos="993"/>
        </w:tabs>
        <w:ind w:firstLine="480"/>
        <w:rPr>
          <w:color w:val="000000"/>
        </w:rPr>
      </w:pPr>
      <w:r>
        <w:rPr>
          <w:color w:val="000000"/>
        </w:rPr>
        <w:t>② 坚持分区管理和控制原则，根据场址所在地的工程水文地质条件和全厂可能发生泄漏的物料性质，参照相应标准要求有针对性的分区，并分别设计地面防渗层结构。</w:t>
      </w:r>
    </w:p>
    <w:p w14:paraId="6AD576A6">
      <w:pPr>
        <w:tabs>
          <w:tab w:val="left" w:pos="993"/>
        </w:tabs>
        <w:ind w:firstLine="480"/>
        <w:rPr>
          <w:color w:val="000000"/>
        </w:rPr>
      </w:pPr>
      <w:r>
        <w:rPr>
          <w:color w:val="000000"/>
        </w:rPr>
        <w:t>③ 坚持“可视化”原则，在满足工程和防渗层结构标准要求的前提下，尽量在地表面实施防渗措施，便于泄漏物质的收集和及时发现破损的防渗层。</w:t>
      </w:r>
    </w:p>
    <w:p w14:paraId="6FF39E8D">
      <w:pPr>
        <w:tabs>
          <w:tab w:val="left" w:pos="993"/>
        </w:tabs>
        <w:ind w:firstLine="480"/>
        <w:rPr>
          <w:color w:val="000000"/>
        </w:rPr>
      </w:pPr>
      <w:r>
        <w:rPr>
          <w:color w:val="000000"/>
        </w:rPr>
        <w:t>④ 防渗层上渗漏污染物和防渗层内渗漏污染物收集系统与全厂“三废”处理措施统筹考虑，统一处理。</w:t>
      </w:r>
    </w:p>
    <w:p w14:paraId="3D372B55">
      <w:pPr>
        <w:tabs>
          <w:tab w:val="left" w:pos="993"/>
        </w:tabs>
        <w:ind w:firstLine="480"/>
        <w:rPr>
          <w:color w:val="000000"/>
        </w:rPr>
      </w:pPr>
      <w:r>
        <w:rPr>
          <w:color w:val="000000"/>
        </w:rPr>
        <w:t>参照《石油化工工程防渗技术规范》、</w:t>
      </w:r>
      <w:r>
        <w:rPr>
          <w:color w:val="000000"/>
          <w:szCs w:val="24"/>
        </w:rPr>
        <w:t>《石油化工企业防渗设计通则》（Q/SY1303-2010）</w:t>
      </w:r>
      <w:r>
        <w:rPr>
          <w:color w:val="000000"/>
        </w:rPr>
        <w:t>《危险废物贮存污染控制标准》、《环境影响评价技术导则—地下水环境》（HJ 610-2016），本项目分区防渗措施见表7.5.3-1。</w:t>
      </w:r>
    </w:p>
    <w:p w14:paraId="1C3CCF19">
      <w:pPr>
        <w:pStyle w:val="133"/>
        <w:outlineLvl w:val="9"/>
        <w:rPr>
          <w:rFonts w:ascii="Times New Roman" w:hAnsi="Times New Roman"/>
          <w:color w:val="000000"/>
          <w:lang w:val="en-US"/>
        </w:rPr>
      </w:pPr>
      <w:r>
        <w:rPr>
          <w:rFonts w:ascii="Times New Roman" w:hAnsi="Times New Roman"/>
          <w:color w:val="000000"/>
          <w:lang w:val="en-US"/>
        </w:rPr>
        <w:t>表7.5.3-1 项目分区防渗措施一览表</w:t>
      </w:r>
    </w:p>
    <w:tbl>
      <w:tblPr>
        <w:tblStyle w:val="73"/>
        <w:tblW w:w="85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5"/>
        <w:gridCol w:w="1150"/>
        <w:gridCol w:w="3902"/>
        <w:gridCol w:w="2873"/>
      </w:tblGrid>
      <w:tr w14:paraId="496D9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14:paraId="041F9FC2">
            <w:pPr>
              <w:pStyle w:val="816"/>
              <w:widowControl w:val="0"/>
              <w:autoSpaceDE w:val="0"/>
              <w:autoSpaceDN w:val="0"/>
              <w:jc w:val="center"/>
              <w:rPr>
                <w:color w:val="000000"/>
                <w:sz w:val="21"/>
              </w:rPr>
            </w:pPr>
            <w:r>
              <w:rPr>
                <w:color w:val="000000"/>
                <w:sz w:val="21"/>
              </w:rPr>
              <w:t>区号</w:t>
            </w:r>
          </w:p>
        </w:tc>
        <w:tc>
          <w:tcPr>
            <w:tcW w:w="1150" w:type="dxa"/>
            <w:tcBorders>
              <w:top w:val="single" w:color="auto" w:sz="4" w:space="0"/>
              <w:left w:val="single" w:color="auto" w:sz="4" w:space="0"/>
              <w:bottom w:val="single" w:color="auto" w:sz="4" w:space="0"/>
              <w:right w:val="single" w:color="auto" w:sz="4" w:space="0"/>
            </w:tcBorders>
            <w:vAlign w:val="center"/>
          </w:tcPr>
          <w:p w14:paraId="2D189FC9">
            <w:pPr>
              <w:pStyle w:val="816"/>
              <w:widowControl w:val="0"/>
              <w:autoSpaceDE w:val="0"/>
              <w:autoSpaceDN w:val="0"/>
              <w:jc w:val="center"/>
              <w:rPr>
                <w:color w:val="000000"/>
                <w:sz w:val="21"/>
              </w:rPr>
            </w:pPr>
            <w:r>
              <w:rPr>
                <w:color w:val="000000"/>
                <w:sz w:val="21"/>
              </w:rPr>
              <w:t>区划名称</w:t>
            </w:r>
          </w:p>
        </w:tc>
        <w:tc>
          <w:tcPr>
            <w:tcW w:w="3902" w:type="dxa"/>
            <w:tcBorders>
              <w:top w:val="single" w:color="auto" w:sz="4" w:space="0"/>
              <w:left w:val="single" w:color="auto" w:sz="4" w:space="0"/>
              <w:bottom w:val="single" w:color="auto" w:sz="4" w:space="0"/>
              <w:right w:val="single" w:color="auto" w:sz="4" w:space="0"/>
            </w:tcBorders>
            <w:vAlign w:val="center"/>
          </w:tcPr>
          <w:p w14:paraId="7BC1053D">
            <w:pPr>
              <w:pStyle w:val="816"/>
              <w:widowControl w:val="0"/>
              <w:autoSpaceDE w:val="0"/>
              <w:autoSpaceDN w:val="0"/>
              <w:jc w:val="center"/>
              <w:rPr>
                <w:color w:val="000000"/>
                <w:sz w:val="21"/>
              </w:rPr>
            </w:pPr>
            <w:r>
              <w:rPr>
                <w:color w:val="000000"/>
                <w:sz w:val="21"/>
                <w:lang w:eastAsia="zh-CN"/>
              </w:rPr>
              <w:t>本</w:t>
            </w:r>
            <w:r>
              <w:rPr>
                <w:color w:val="000000"/>
                <w:sz w:val="21"/>
              </w:rPr>
              <w:t>项目组成</w:t>
            </w:r>
          </w:p>
        </w:tc>
        <w:tc>
          <w:tcPr>
            <w:tcW w:w="2873" w:type="dxa"/>
            <w:tcBorders>
              <w:top w:val="single" w:color="auto" w:sz="4" w:space="0"/>
              <w:left w:val="single" w:color="auto" w:sz="4" w:space="0"/>
              <w:bottom w:val="single" w:color="auto" w:sz="4" w:space="0"/>
              <w:right w:val="single" w:color="auto" w:sz="4" w:space="0"/>
            </w:tcBorders>
            <w:vAlign w:val="center"/>
          </w:tcPr>
          <w:p w14:paraId="6B3959E0">
            <w:pPr>
              <w:pStyle w:val="816"/>
              <w:widowControl w:val="0"/>
              <w:autoSpaceDE w:val="0"/>
              <w:autoSpaceDN w:val="0"/>
              <w:jc w:val="center"/>
              <w:rPr>
                <w:color w:val="000000"/>
                <w:sz w:val="21"/>
              </w:rPr>
            </w:pPr>
            <w:r>
              <w:rPr>
                <w:color w:val="000000"/>
                <w:sz w:val="21"/>
              </w:rPr>
              <w:t>防治措施</w:t>
            </w:r>
          </w:p>
        </w:tc>
      </w:tr>
      <w:tr w14:paraId="35590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14:paraId="0E04C37B">
            <w:pPr>
              <w:pStyle w:val="816"/>
              <w:widowControl w:val="0"/>
              <w:autoSpaceDE w:val="0"/>
              <w:autoSpaceDN w:val="0"/>
              <w:jc w:val="center"/>
              <w:rPr>
                <w:color w:val="000000"/>
                <w:sz w:val="21"/>
              </w:rPr>
            </w:pPr>
            <w:r>
              <w:rPr>
                <w:color w:val="000000"/>
                <w:sz w:val="21"/>
              </w:rPr>
              <w:t>I</w:t>
            </w:r>
          </w:p>
        </w:tc>
        <w:tc>
          <w:tcPr>
            <w:tcW w:w="1150" w:type="dxa"/>
            <w:tcBorders>
              <w:top w:val="single" w:color="auto" w:sz="4" w:space="0"/>
              <w:left w:val="single" w:color="auto" w:sz="4" w:space="0"/>
              <w:bottom w:val="single" w:color="auto" w:sz="4" w:space="0"/>
              <w:right w:val="single" w:color="auto" w:sz="4" w:space="0"/>
            </w:tcBorders>
            <w:vAlign w:val="center"/>
          </w:tcPr>
          <w:p w14:paraId="3658B111">
            <w:pPr>
              <w:pStyle w:val="816"/>
              <w:widowControl w:val="0"/>
              <w:autoSpaceDE w:val="0"/>
              <w:autoSpaceDN w:val="0"/>
              <w:jc w:val="center"/>
              <w:rPr>
                <w:color w:val="000000"/>
                <w:sz w:val="21"/>
              </w:rPr>
            </w:pPr>
            <w:r>
              <w:rPr>
                <w:color w:val="000000"/>
                <w:sz w:val="21"/>
              </w:rPr>
              <w:t>重点防渗区</w:t>
            </w:r>
          </w:p>
        </w:tc>
        <w:tc>
          <w:tcPr>
            <w:tcW w:w="3902" w:type="dxa"/>
            <w:tcBorders>
              <w:top w:val="single" w:color="auto" w:sz="4" w:space="0"/>
              <w:left w:val="single" w:color="auto" w:sz="4" w:space="0"/>
              <w:bottom w:val="single" w:color="auto" w:sz="4" w:space="0"/>
              <w:right w:val="single" w:color="auto" w:sz="4" w:space="0"/>
            </w:tcBorders>
            <w:vAlign w:val="center"/>
          </w:tcPr>
          <w:p w14:paraId="6752593A">
            <w:pPr>
              <w:pStyle w:val="816"/>
              <w:widowControl w:val="0"/>
              <w:autoSpaceDE w:val="0"/>
              <w:autoSpaceDN w:val="0"/>
              <w:spacing w:line="240" w:lineRule="atLeast"/>
              <w:jc w:val="center"/>
              <w:rPr>
                <w:color w:val="000000"/>
                <w:sz w:val="21"/>
                <w:lang w:eastAsia="zh-CN"/>
              </w:rPr>
            </w:pPr>
            <w:r>
              <w:rPr>
                <w:color w:val="000000"/>
                <w:sz w:val="21"/>
                <w:lang w:eastAsia="zh-CN"/>
              </w:rPr>
              <w:t>提氦装置区、污水收集设施及污水管沟</w:t>
            </w:r>
          </w:p>
        </w:tc>
        <w:tc>
          <w:tcPr>
            <w:tcW w:w="2873" w:type="dxa"/>
            <w:tcBorders>
              <w:top w:val="single" w:color="auto" w:sz="4" w:space="0"/>
              <w:left w:val="single" w:color="auto" w:sz="4" w:space="0"/>
              <w:bottom w:val="single" w:color="auto" w:sz="4" w:space="0"/>
              <w:right w:val="single" w:color="auto" w:sz="4" w:space="0"/>
            </w:tcBorders>
            <w:vAlign w:val="center"/>
          </w:tcPr>
          <w:p w14:paraId="13CAA789">
            <w:pPr>
              <w:pStyle w:val="816"/>
              <w:widowControl w:val="0"/>
              <w:autoSpaceDE w:val="0"/>
              <w:autoSpaceDN w:val="0"/>
              <w:spacing w:line="324" w:lineRule="auto"/>
              <w:ind w:left="898" w:right="19" w:hanging="788"/>
              <w:jc w:val="center"/>
              <w:rPr>
                <w:color w:val="000000"/>
                <w:sz w:val="21"/>
                <w:lang w:val="zh-CN" w:eastAsia="zh-CN" w:bidi="zh-CN"/>
              </w:rPr>
            </w:pPr>
            <w:r>
              <w:rPr>
                <w:color w:val="000000"/>
                <w:sz w:val="21"/>
                <w:lang w:eastAsia="zh-CN"/>
              </w:rPr>
              <w:t>等效粘土防渗层 Mb≥6m，K≤1×10</w:t>
            </w:r>
            <w:r>
              <w:rPr>
                <w:color w:val="000000"/>
                <w:sz w:val="21"/>
                <w:vertAlign w:val="superscript"/>
                <w:lang w:eastAsia="zh-CN"/>
              </w:rPr>
              <w:t>-7</w:t>
            </w:r>
            <w:r>
              <w:rPr>
                <w:color w:val="000000"/>
                <w:sz w:val="21"/>
                <w:lang w:eastAsia="zh-CN"/>
              </w:rPr>
              <w:t>cm/s；</w:t>
            </w:r>
          </w:p>
        </w:tc>
      </w:tr>
      <w:tr w14:paraId="2B8CD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14:paraId="2350950E">
            <w:pPr>
              <w:pStyle w:val="816"/>
              <w:widowControl w:val="0"/>
              <w:autoSpaceDE w:val="0"/>
              <w:autoSpaceDN w:val="0"/>
              <w:jc w:val="center"/>
              <w:rPr>
                <w:color w:val="000000"/>
                <w:sz w:val="21"/>
              </w:rPr>
            </w:pPr>
            <w:r>
              <w:rPr>
                <w:color w:val="000000"/>
                <w:sz w:val="21"/>
              </w:rPr>
              <w:t>II</w:t>
            </w:r>
          </w:p>
        </w:tc>
        <w:tc>
          <w:tcPr>
            <w:tcW w:w="1150" w:type="dxa"/>
            <w:tcBorders>
              <w:top w:val="single" w:color="auto" w:sz="4" w:space="0"/>
              <w:left w:val="single" w:color="auto" w:sz="4" w:space="0"/>
              <w:bottom w:val="single" w:color="auto" w:sz="4" w:space="0"/>
              <w:right w:val="single" w:color="auto" w:sz="4" w:space="0"/>
            </w:tcBorders>
            <w:vAlign w:val="center"/>
          </w:tcPr>
          <w:p w14:paraId="3C0B3BC6">
            <w:pPr>
              <w:pStyle w:val="816"/>
              <w:widowControl w:val="0"/>
              <w:autoSpaceDE w:val="0"/>
              <w:autoSpaceDN w:val="0"/>
              <w:jc w:val="center"/>
              <w:rPr>
                <w:color w:val="000000"/>
                <w:sz w:val="21"/>
              </w:rPr>
            </w:pPr>
            <w:r>
              <w:rPr>
                <w:color w:val="000000"/>
                <w:sz w:val="21"/>
              </w:rPr>
              <w:t>一般防渗区</w:t>
            </w:r>
          </w:p>
        </w:tc>
        <w:tc>
          <w:tcPr>
            <w:tcW w:w="3902" w:type="dxa"/>
            <w:tcBorders>
              <w:top w:val="single" w:color="auto" w:sz="4" w:space="0"/>
              <w:left w:val="single" w:color="auto" w:sz="4" w:space="0"/>
              <w:bottom w:val="single" w:color="auto" w:sz="4" w:space="0"/>
              <w:right w:val="single" w:color="auto" w:sz="4" w:space="0"/>
            </w:tcBorders>
            <w:vAlign w:val="center"/>
          </w:tcPr>
          <w:p w14:paraId="61395753">
            <w:pPr>
              <w:pStyle w:val="816"/>
              <w:widowControl w:val="0"/>
              <w:autoSpaceDE w:val="0"/>
              <w:autoSpaceDN w:val="0"/>
              <w:spacing w:line="249" w:lineRule="auto"/>
              <w:jc w:val="center"/>
              <w:rPr>
                <w:color w:val="000000"/>
                <w:sz w:val="21"/>
                <w:lang w:eastAsia="zh-CN"/>
              </w:rPr>
            </w:pPr>
            <w:r>
              <w:rPr>
                <w:color w:val="000000"/>
                <w:sz w:val="21"/>
                <w:lang w:eastAsia="zh-CN"/>
              </w:rPr>
              <w:t>装卸及储存单元</w:t>
            </w:r>
          </w:p>
        </w:tc>
        <w:tc>
          <w:tcPr>
            <w:tcW w:w="2873" w:type="dxa"/>
            <w:tcBorders>
              <w:top w:val="single" w:color="auto" w:sz="4" w:space="0"/>
              <w:left w:val="single" w:color="auto" w:sz="4" w:space="0"/>
              <w:bottom w:val="single" w:color="auto" w:sz="4" w:space="0"/>
              <w:right w:val="single" w:color="auto" w:sz="4" w:space="0"/>
            </w:tcBorders>
            <w:vAlign w:val="center"/>
          </w:tcPr>
          <w:p w14:paraId="14376DF7">
            <w:pPr>
              <w:pStyle w:val="816"/>
              <w:widowControl w:val="0"/>
              <w:autoSpaceDE w:val="0"/>
              <w:autoSpaceDN w:val="0"/>
              <w:jc w:val="center"/>
              <w:rPr>
                <w:color w:val="000000"/>
                <w:sz w:val="21"/>
                <w:lang w:eastAsia="zh-CN"/>
              </w:rPr>
            </w:pPr>
            <w:r>
              <w:rPr>
                <w:color w:val="000000"/>
                <w:spacing w:val="-6"/>
                <w:sz w:val="21"/>
                <w:lang w:eastAsia="zh-CN"/>
              </w:rPr>
              <w:t xml:space="preserve">等效粘土防渗层 </w:t>
            </w:r>
            <w:r>
              <w:rPr>
                <w:color w:val="000000"/>
                <w:spacing w:val="-4"/>
                <w:sz w:val="21"/>
                <w:lang w:eastAsia="zh-CN"/>
              </w:rPr>
              <w:t>Mb≥1.5m，K≤1×10</w:t>
            </w:r>
            <w:r>
              <w:rPr>
                <w:color w:val="000000"/>
                <w:spacing w:val="-4"/>
                <w:sz w:val="21"/>
                <w:vertAlign w:val="superscript"/>
                <w:lang w:eastAsia="zh-CN"/>
              </w:rPr>
              <w:t>-7</w:t>
            </w:r>
            <w:r>
              <w:rPr>
                <w:color w:val="000000"/>
                <w:spacing w:val="-4"/>
                <w:sz w:val="21"/>
                <w:lang w:eastAsia="zh-CN"/>
              </w:rPr>
              <w:t xml:space="preserve">cm/s； </w:t>
            </w:r>
          </w:p>
        </w:tc>
      </w:tr>
      <w:tr w14:paraId="326DE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14:paraId="0A190538">
            <w:pPr>
              <w:pStyle w:val="816"/>
              <w:widowControl w:val="0"/>
              <w:autoSpaceDE w:val="0"/>
              <w:autoSpaceDN w:val="0"/>
              <w:jc w:val="center"/>
              <w:rPr>
                <w:color w:val="000000"/>
                <w:sz w:val="21"/>
              </w:rPr>
            </w:pPr>
            <w:r>
              <w:rPr>
                <w:color w:val="000000"/>
                <w:sz w:val="21"/>
              </w:rPr>
              <w:t>Ⅲ</w:t>
            </w:r>
          </w:p>
        </w:tc>
        <w:tc>
          <w:tcPr>
            <w:tcW w:w="1150" w:type="dxa"/>
            <w:tcBorders>
              <w:top w:val="single" w:color="auto" w:sz="4" w:space="0"/>
              <w:left w:val="single" w:color="auto" w:sz="4" w:space="0"/>
              <w:bottom w:val="single" w:color="auto" w:sz="4" w:space="0"/>
              <w:right w:val="single" w:color="auto" w:sz="4" w:space="0"/>
            </w:tcBorders>
            <w:vAlign w:val="center"/>
          </w:tcPr>
          <w:p w14:paraId="0E7CC576">
            <w:pPr>
              <w:pStyle w:val="816"/>
              <w:widowControl w:val="0"/>
              <w:autoSpaceDE w:val="0"/>
              <w:autoSpaceDN w:val="0"/>
              <w:jc w:val="center"/>
              <w:rPr>
                <w:color w:val="000000"/>
                <w:sz w:val="21"/>
              </w:rPr>
            </w:pPr>
            <w:r>
              <w:rPr>
                <w:color w:val="000000"/>
                <w:sz w:val="21"/>
              </w:rPr>
              <w:t>简单防渗区</w:t>
            </w:r>
          </w:p>
        </w:tc>
        <w:tc>
          <w:tcPr>
            <w:tcW w:w="3902" w:type="dxa"/>
            <w:tcBorders>
              <w:top w:val="single" w:color="auto" w:sz="4" w:space="0"/>
              <w:left w:val="single" w:color="auto" w:sz="4" w:space="0"/>
              <w:bottom w:val="single" w:color="auto" w:sz="4" w:space="0"/>
              <w:right w:val="single" w:color="auto" w:sz="4" w:space="0"/>
            </w:tcBorders>
            <w:vAlign w:val="center"/>
          </w:tcPr>
          <w:p w14:paraId="784423CC">
            <w:pPr>
              <w:pStyle w:val="816"/>
              <w:widowControl w:val="0"/>
              <w:autoSpaceDE w:val="0"/>
              <w:autoSpaceDN w:val="0"/>
              <w:jc w:val="center"/>
              <w:rPr>
                <w:color w:val="000000"/>
                <w:sz w:val="21"/>
                <w:lang w:eastAsia="zh-CN"/>
              </w:rPr>
            </w:pPr>
            <w:r>
              <w:rPr>
                <w:color w:val="000000"/>
                <w:sz w:val="21"/>
                <w:lang w:eastAsia="zh-CN"/>
              </w:rPr>
              <w:t>除以上区域的其余部分</w:t>
            </w:r>
          </w:p>
        </w:tc>
        <w:tc>
          <w:tcPr>
            <w:tcW w:w="2873" w:type="dxa"/>
            <w:tcBorders>
              <w:top w:val="single" w:color="auto" w:sz="4" w:space="0"/>
              <w:left w:val="single" w:color="auto" w:sz="4" w:space="0"/>
              <w:bottom w:val="single" w:color="auto" w:sz="4" w:space="0"/>
              <w:right w:val="single" w:color="auto" w:sz="4" w:space="0"/>
            </w:tcBorders>
            <w:vAlign w:val="center"/>
          </w:tcPr>
          <w:p w14:paraId="2F1899E0">
            <w:pPr>
              <w:pStyle w:val="816"/>
              <w:widowControl w:val="0"/>
              <w:autoSpaceDE w:val="0"/>
              <w:autoSpaceDN w:val="0"/>
              <w:jc w:val="center"/>
              <w:rPr>
                <w:color w:val="000000"/>
                <w:sz w:val="21"/>
              </w:rPr>
            </w:pPr>
            <w:r>
              <w:rPr>
                <w:color w:val="000000"/>
                <w:sz w:val="21"/>
              </w:rPr>
              <w:t>地面硬化即可</w:t>
            </w:r>
          </w:p>
        </w:tc>
      </w:tr>
    </w:tbl>
    <w:p w14:paraId="61E4C7A7">
      <w:pPr>
        <w:pStyle w:val="2"/>
        <w:ind w:left="0" w:leftChars="0" w:firstLine="0" w:firstLineChars="0"/>
        <w:rPr>
          <w:rFonts w:ascii="Times New Roman" w:hAnsi="Times New Roman" w:cs="Times New Roman"/>
          <w:color w:val="000000"/>
        </w:rPr>
      </w:pPr>
      <w:r>
        <w:rPr>
          <w:rFonts w:ascii="Times New Roman" w:hAnsi="Times New Roman" w:cs="Times New Roman"/>
          <w:color w:val="000000"/>
        </w:rPr>
        <w:t>备注：依托工程已按要求做了分区防渗，本表不再列出。</w:t>
      </w:r>
    </w:p>
    <w:p w14:paraId="29578352">
      <w:pPr>
        <w:tabs>
          <w:tab w:val="left" w:pos="993"/>
        </w:tabs>
        <w:ind w:firstLine="480"/>
        <w:rPr>
          <w:color w:val="000000"/>
        </w:rPr>
      </w:pPr>
      <w:r>
        <w:rPr>
          <w:color w:val="000000"/>
        </w:rPr>
        <w:t>（2）泄漏、渗漏污染物收集措施</w:t>
      </w:r>
    </w:p>
    <w:p w14:paraId="1F2FDB35">
      <w:pPr>
        <w:tabs>
          <w:tab w:val="left" w:pos="993"/>
        </w:tabs>
        <w:ind w:firstLine="480"/>
        <w:rPr>
          <w:color w:val="000000"/>
        </w:rPr>
      </w:pPr>
      <w:r>
        <w:rPr>
          <w:color w:val="000000"/>
        </w:rPr>
        <w:fldChar w:fldCharType="begin"/>
      </w:r>
      <w:r>
        <w:rPr>
          <w:color w:val="000000"/>
        </w:rPr>
        <w:instrText xml:space="preserve"> = 1 \* GB3 </w:instrText>
      </w:r>
      <w:r>
        <w:rPr>
          <w:color w:val="000000"/>
        </w:rPr>
        <w:fldChar w:fldCharType="separate"/>
      </w:r>
      <w:r>
        <w:rPr>
          <w:color w:val="000000"/>
        </w:rPr>
        <w:t>①</w:t>
      </w:r>
      <w:r>
        <w:rPr>
          <w:color w:val="000000"/>
        </w:rPr>
        <w:fldChar w:fldCharType="end"/>
      </w:r>
      <w:r>
        <w:rPr>
          <w:color w:val="000000"/>
        </w:rPr>
        <w:t>提氦装置区地面做防渗措施，四周设置导流沟、收集井及切换阀，连通事故池；</w:t>
      </w:r>
    </w:p>
    <w:p w14:paraId="4923A0D1">
      <w:pPr>
        <w:tabs>
          <w:tab w:val="left" w:pos="993"/>
        </w:tabs>
        <w:ind w:firstLine="480"/>
        <w:rPr>
          <w:color w:val="000000"/>
        </w:rPr>
      </w:pPr>
      <w:r>
        <w:rPr>
          <w:color w:val="000000"/>
        </w:rPr>
        <w:fldChar w:fldCharType="begin"/>
      </w:r>
      <w:r>
        <w:rPr>
          <w:color w:val="000000"/>
        </w:rPr>
        <w:instrText xml:space="preserve"> = 2 \* GB3 </w:instrText>
      </w:r>
      <w:r>
        <w:rPr>
          <w:color w:val="000000"/>
        </w:rPr>
        <w:fldChar w:fldCharType="separate"/>
      </w:r>
      <w:r>
        <w:rPr>
          <w:color w:val="000000"/>
        </w:rPr>
        <w:t>②</w:t>
      </w:r>
      <w:r>
        <w:rPr>
          <w:color w:val="000000"/>
        </w:rPr>
        <w:fldChar w:fldCharType="end"/>
      </w:r>
      <w:r>
        <w:rPr>
          <w:color w:val="000000"/>
        </w:rPr>
        <w:t>装卸及储存单元设置环形沟、收集井及切换阀，可切换至事故池；</w:t>
      </w:r>
    </w:p>
    <w:p w14:paraId="1B99195F">
      <w:pPr>
        <w:tabs>
          <w:tab w:val="left" w:pos="993"/>
        </w:tabs>
        <w:ind w:firstLine="480"/>
        <w:rPr>
          <w:color w:val="000000"/>
        </w:rPr>
      </w:pPr>
      <w:r>
        <w:rPr>
          <w:color w:val="000000"/>
        </w:rPr>
        <w:fldChar w:fldCharType="begin"/>
      </w:r>
      <w:r>
        <w:rPr>
          <w:color w:val="000000"/>
        </w:rPr>
        <w:instrText xml:space="preserve"> = 3 \* GB3 </w:instrText>
      </w:r>
      <w:r>
        <w:rPr>
          <w:color w:val="000000"/>
        </w:rPr>
        <w:fldChar w:fldCharType="separate"/>
      </w:r>
      <w:r>
        <w:rPr>
          <w:color w:val="000000"/>
        </w:rPr>
        <w:t>③</w:t>
      </w:r>
      <w:r>
        <w:rPr>
          <w:color w:val="000000"/>
        </w:rPr>
        <w:fldChar w:fldCharType="end"/>
      </w:r>
      <w:r>
        <w:rPr>
          <w:color w:val="000000"/>
        </w:rPr>
        <w:t>危险废物使用符合国家标准的专门容器分类收集，危废暂存间进行防腐防渗维护。</w:t>
      </w:r>
    </w:p>
    <w:p w14:paraId="68A44450">
      <w:pPr>
        <w:pStyle w:val="771"/>
        <w:rPr>
          <w:bCs w:val="0"/>
          <w:color w:val="000000"/>
        </w:rPr>
      </w:pPr>
      <w:r>
        <w:rPr>
          <w:bCs w:val="0"/>
          <w:color w:val="000000"/>
        </w:rPr>
        <w:t>7.5.4地下水环境监测与管理</w:t>
      </w:r>
    </w:p>
    <w:p w14:paraId="56434CE4">
      <w:pPr>
        <w:tabs>
          <w:tab w:val="left" w:pos="993"/>
        </w:tabs>
        <w:ind w:firstLine="480"/>
        <w:rPr>
          <w:color w:val="000000"/>
        </w:rPr>
      </w:pPr>
      <w:r>
        <w:rPr>
          <w:color w:val="000000"/>
        </w:rPr>
        <w:t>（1）建立地下水环境监测管理体系，包括制定地下水环境影响跟踪监测计划、建立地下水环境影响跟踪监测制度、配备先进的监测仪器和设备，以便及时发现问题，采取措施；</w:t>
      </w:r>
    </w:p>
    <w:p w14:paraId="20E7A2D0">
      <w:pPr>
        <w:tabs>
          <w:tab w:val="left" w:pos="993"/>
        </w:tabs>
        <w:ind w:firstLine="480"/>
        <w:rPr>
          <w:color w:val="000000"/>
          <w:szCs w:val="24"/>
        </w:rPr>
      </w:pPr>
      <w:r>
        <w:rPr>
          <w:color w:val="000000"/>
        </w:rPr>
        <w:t>（2）在建设项目场地、上游和下游各布设一个监测点位，共计三个监测点位，分别为厂区地下水环境影响跟踪监测井、场地上游背景值监控井、场地下游污染扩散监控井。</w:t>
      </w:r>
      <w:r>
        <w:rPr>
          <w:color w:val="000000"/>
          <w:szCs w:val="24"/>
          <w:lang w:val="zh-TW"/>
        </w:rPr>
        <w:t>上游</w:t>
      </w:r>
      <w:r>
        <w:rPr>
          <w:color w:val="000000"/>
          <w:szCs w:val="24"/>
        </w:rPr>
        <w:t>监测点位可利用</w:t>
      </w:r>
      <w:r>
        <w:rPr>
          <w:color w:val="000000"/>
          <w:szCs w:val="24"/>
          <w:lang w:val="zh-TW" w:eastAsia="zh-TW"/>
        </w:rPr>
        <w:t>园区现有地下水监控井</w:t>
      </w:r>
      <w:r>
        <w:rPr>
          <w:color w:val="000000"/>
          <w:szCs w:val="24"/>
          <w:lang w:val="zh-TW"/>
        </w:rPr>
        <w:t>（</w:t>
      </w:r>
      <w:r>
        <w:rPr>
          <w:color w:val="000000"/>
          <w:szCs w:val="24"/>
        </w:rPr>
        <w:t>D2井</w:t>
      </w:r>
      <w:r>
        <w:rPr>
          <w:color w:val="000000"/>
          <w:szCs w:val="24"/>
          <w:lang w:val="zh-TW"/>
        </w:rPr>
        <w:t>）</w:t>
      </w:r>
      <w:r>
        <w:rPr>
          <w:color w:val="000000"/>
          <w:szCs w:val="24"/>
        </w:rPr>
        <w:t>、</w:t>
      </w:r>
      <w:r>
        <w:rPr>
          <w:color w:val="000000"/>
          <w:szCs w:val="24"/>
          <w:lang w:val="zh-TW"/>
        </w:rPr>
        <w:t>下游</w:t>
      </w:r>
      <w:r>
        <w:rPr>
          <w:color w:val="000000"/>
          <w:szCs w:val="24"/>
        </w:rPr>
        <w:t>监测点位可利用</w:t>
      </w:r>
      <w:r>
        <w:rPr>
          <w:color w:val="000000"/>
          <w:szCs w:val="24"/>
          <w:lang w:val="zh-TW" w:eastAsia="zh-TW"/>
        </w:rPr>
        <w:t>园区现有地下水监控井</w:t>
      </w:r>
      <w:r>
        <w:rPr>
          <w:color w:val="000000"/>
          <w:szCs w:val="24"/>
          <w:lang w:val="zh-TW"/>
        </w:rPr>
        <w:t>（</w:t>
      </w:r>
      <w:r>
        <w:rPr>
          <w:color w:val="000000"/>
          <w:szCs w:val="24"/>
        </w:rPr>
        <w:t>D3井</w:t>
      </w:r>
      <w:r>
        <w:rPr>
          <w:color w:val="000000"/>
          <w:szCs w:val="24"/>
          <w:lang w:val="zh-TW"/>
        </w:rPr>
        <w:t>）</w:t>
      </w:r>
      <w:r>
        <w:rPr>
          <w:color w:val="000000"/>
          <w:szCs w:val="24"/>
          <w:lang w:val="zh-TW" w:eastAsia="zh-TW"/>
        </w:rPr>
        <w:t>；场地</w:t>
      </w:r>
      <w:r>
        <w:rPr>
          <w:color w:val="000000"/>
          <w:szCs w:val="24"/>
          <w:lang w:val="zh-TW"/>
        </w:rPr>
        <w:t>（</w:t>
      </w:r>
      <w:r>
        <w:rPr>
          <w:color w:val="000000"/>
          <w:szCs w:val="24"/>
        </w:rPr>
        <w:t>场地东南</w:t>
      </w:r>
      <w:r>
        <w:rPr>
          <w:color w:val="000000"/>
          <w:szCs w:val="24"/>
          <w:lang w:val="zh-TW"/>
        </w:rPr>
        <w:t>）新设地下水监测井。</w:t>
      </w:r>
    </w:p>
    <w:p w14:paraId="771031F6">
      <w:pPr>
        <w:pStyle w:val="771"/>
        <w:rPr>
          <w:bCs w:val="0"/>
          <w:color w:val="000000"/>
        </w:rPr>
      </w:pPr>
      <w:r>
        <w:rPr>
          <w:bCs w:val="0"/>
          <w:color w:val="000000"/>
        </w:rPr>
        <w:t>7.5.5应急响应</w:t>
      </w:r>
    </w:p>
    <w:p w14:paraId="04901B0A">
      <w:pPr>
        <w:tabs>
          <w:tab w:val="left" w:pos="993"/>
        </w:tabs>
        <w:ind w:firstLine="480"/>
        <w:rPr>
          <w:color w:val="000000"/>
        </w:rPr>
      </w:pPr>
      <w:r>
        <w:rPr>
          <w:color w:val="000000"/>
        </w:rPr>
        <w:t>制定地下水污染应急响应预案，明确污染状况下应采取的控制污染源、切断污染途径等措施。如下：</w:t>
      </w:r>
    </w:p>
    <w:p w14:paraId="72C20E3C">
      <w:pPr>
        <w:tabs>
          <w:tab w:val="left" w:pos="993"/>
        </w:tabs>
        <w:ind w:firstLine="480"/>
        <w:rPr>
          <w:color w:val="000000"/>
        </w:rPr>
      </w:pPr>
      <w:r>
        <w:rPr>
          <w:color w:val="000000"/>
        </w:rPr>
        <w:t>①一旦发生地下水污染事故，应立即启动应急预案；</w:t>
      </w:r>
    </w:p>
    <w:p w14:paraId="0AF76F58">
      <w:pPr>
        <w:tabs>
          <w:tab w:val="left" w:pos="993"/>
        </w:tabs>
        <w:ind w:firstLine="480"/>
        <w:rPr>
          <w:color w:val="000000"/>
        </w:rPr>
      </w:pPr>
      <w:r>
        <w:rPr>
          <w:color w:val="000000"/>
        </w:rPr>
        <w:t>②查明并切断污染源；</w:t>
      </w:r>
    </w:p>
    <w:p w14:paraId="1BABA735">
      <w:pPr>
        <w:tabs>
          <w:tab w:val="left" w:pos="993"/>
        </w:tabs>
        <w:ind w:firstLine="480"/>
        <w:rPr>
          <w:color w:val="000000"/>
        </w:rPr>
      </w:pPr>
      <w:r>
        <w:rPr>
          <w:color w:val="000000"/>
        </w:rPr>
        <w:t>③探明地下水污染深度、范围和污染程度；</w:t>
      </w:r>
    </w:p>
    <w:p w14:paraId="7A34D365">
      <w:pPr>
        <w:tabs>
          <w:tab w:val="left" w:pos="993"/>
        </w:tabs>
        <w:ind w:firstLine="480"/>
        <w:rPr>
          <w:color w:val="000000"/>
        </w:rPr>
      </w:pPr>
      <w:r>
        <w:rPr>
          <w:color w:val="000000"/>
        </w:rPr>
        <w:t>④依据探明的地下水污染情况，合理布置浅井，并进行试抽工作；</w:t>
      </w:r>
    </w:p>
    <w:p w14:paraId="65929DC0">
      <w:pPr>
        <w:tabs>
          <w:tab w:val="left" w:pos="993"/>
        </w:tabs>
        <w:ind w:firstLine="480"/>
        <w:rPr>
          <w:color w:val="000000"/>
        </w:rPr>
      </w:pPr>
      <w:r>
        <w:rPr>
          <w:color w:val="000000"/>
        </w:rPr>
        <w:t>⑤依据抽水设计方案进行施工，抽取被污染的地下水体，并依据各井孔出水情况进行调整；</w:t>
      </w:r>
    </w:p>
    <w:p w14:paraId="549121F9">
      <w:pPr>
        <w:tabs>
          <w:tab w:val="left" w:pos="993"/>
        </w:tabs>
        <w:ind w:firstLine="480"/>
        <w:rPr>
          <w:color w:val="000000"/>
        </w:rPr>
      </w:pPr>
      <w:r>
        <w:rPr>
          <w:color w:val="000000"/>
        </w:rPr>
        <w:t>⑥将抽取的地下水进行集中收集处理，并送实验室进行化验分析；</w:t>
      </w:r>
    </w:p>
    <w:p w14:paraId="6A13D338">
      <w:pPr>
        <w:tabs>
          <w:tab w:val="left" w:pos="993"/>
        </w:tabs>
        <w:ind w:firstLine="480"/>
        <w:rPr>
          <w:color w:val="000000"/>
        </w:rPr>
      </w:pPr>
      <w:r>
        <w:rPr>
          <w:color w:val="000000"/>
        </w:rPr>
        <w:t>⑦当地下水中特征污染物浓度满足地下水功能区划的标准后，逐步停止抽水，并进行土壤修复治理工作。</w:t>
      </w:r>
    </w:p>
    <w:p w14:paraId="17D08AB8">
      <w:pPr>
        <w:tabs>
          <w:tab w:val="left" w:pos="993"/>
        </w:tabs>
        <w:ind w:firstLine="480"/>
        <w:rPr>
          <w:color w:val="000000"/>
        </w:rPr>
      </w:pPr>
      <w:r>
        <w:rPr>
          <w:color w:val="000000"/>
        </w:rPr>
        <w:t>采取以上地下水污染防治措施后，能达到防渗要求，可有效防治地下水污染。</w:t>
      </w:r>
      <w:bookmarkEnd w:id="737"/>
      <w:bookmarkEnd w:id="738"/>
      <w:bookmarkEnd w:id="739"/>
      <w:bookmarkStart w:id="740" w:name="_Toc320897283"/>
      <w:bookmarkStart w:id="741" w:name="_Toc314211411"/>
      <w:bookmarkStart w:id="742" w:name="_Toc392511534"/>
      <w:bookmarkStart w:id="743" w:name="_Toc440766381"/>
      <w:bookmarkStart w:id="744" w:name="_Toc20385_WPSOffice_Level3"/>
      <w:bookmarkStart w:id="745" w:name="_Toc500376085"/>
      <w:bookmarkStart w:id="746" w:name="_Toc440766693"/>
      <w:bookmarkStart w:id="747" w:name="_Toc490585799"/>
      <w:bookmarkStart w:id="748" w:name="_Toc440766185"/>
    </w:p>
    <w:p w14:paraId="4B740CFC">
      <w:pPr>
        <w:pStyle w:val="770"/>
        <w:rPr>
          <w:color w:val="000000"/>
        </w:rPr>
      </w:pPr>
      <w:bookmarkStart w:id="749" w:name="_Toc30545"/>
      <w:r>
        <w:rPr>
          <w:color w:val="000000"/>
        </w:rPr>
        <w:t>7.6 土壤污染防治措施</w:t>
      </w:r>
      <w:bookmarkEnd w:id="749"/>
    </w:p>
    <w:p w14:paraId="7D4FBEB0">
      <w:pPr>
        <w:pStyle w:val="771"/>
        <w:rPr>
          <w:bCs w:val="0"/>
          <w:color w:val="000000"/>
        </w:rPr>
      </w:pPr>
      <w:r>
        <w:rPr>
          <w:bCs w:val="0"/>
          <w:color w:val="000000"/>
        </w:rPr>
        <w:t>7.6.1土壤污染控制措施</w:t>
      </w:r>
    </w:p>
    <w:p w14:paraId="0D321D64">
      <w:pPr>
        <w:tabs>
          <w:tab w:val="left" w:pos="993"/>
        </w:tabs>
        <w:ind w:firstLine="480"/>
        <w:rPr>
          <w:color w:val="000000"/>
          <w:szCs w:val="24"/>
        </w:rPr>
      </w:pPr>
      <w:r>
        <w:rPr>
          <w:color w:val="000000"/>
          <w:szCs w:val="24"/>
        </w:rPr>
        <w:t>（1）源头控制措施</w:t>
      </w:r>
    </w:p>
    <w:p w14:paraId="06F772C1">
      <w:pPr>
        <w:tabs>
          <w:tab w:val="left" w:pos="993"/>
        </w:tabs>
        <w:ind w:firstLine="480"/>
        <w:rPr>
          <w:color w:val="000000"/>
          <w:szCs w:val="24"/>
        </w:rPr>
      </w:pPr>
      <w:r>
        <w:rPr>
          <w:color w:val="000000"/>
          <w:szCs w:val="24"/>
        </w:rPr>
        <w:t>从原料和产品储存、装卸、运输、生产过程、污染处理装置等全过程控制各种有毒有害原辅材料泄漏（含跑、冒、滴、漏），同时对有害物质可能泄漏到地面的区域采取防渗措施，阻止其进入土壤中，即从源头到末端全方位采取控制措施，防止项目的建设对土壤造成污染。</w:t>
      </w:r>
    </w:p>
    <w:p w14:paraId="2E814C36">
      <w:pPr>
        <w:tabs>
          <w:tab w:val="left" w:pos="993"/>
        </w:tabs>
        <w:ind w:firstLine="480"/>
        <w:rPr>
          <w:color w:val="000000"/>
          <w:szCs w:val="24"/>
        </w:rPr>
      </w:pPr>
      <w:r>
        <w:rPr>
          <w:color w:val="000000"/>
          <w:szCs w:val="24"/>
        </w:rPr>
        <w:t>保证废气处理措施运行良好，可有效降低大气污染物对环境的排放，降低大气沉降对土壤的影响。</w:t>
      </w:r>
    </w:p>
    <w:p w14:paraId="7FBE874F">
      <w:pPr>
        <w:tabs>
          <w:tab w:val="left" w:pos="993"/>
        </w:tabs>
        <w:ind w:firstLine="480"/>
        <w:rPr>
          <w:color w:val="000000"/>
          <w:szCs w:val="24"/>
        </w:rPr>
      </w:pPr>
      <w:r>
        <w:rPr>
          <w:color w:val="000000"/>
          <w:szCs w:val="24"/>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398DD94D">
      <w:pPr>
        <w:tabs>
          <w:tab w:val="left" w:pos="993"/>
        </w:tabs>
        <w:ind w:firstLine="480"/>
        <w:rPr>
          <w:color w:val="000000"/>
          <w:szCs w:val="24"/>
        </w:rPr>
      </w:pPr>
      <w:r>
        <w:rPr>
          <w:color w:val="000000"/>
          <w:szCs w:val="24"/>
        </w:rPr>
        <w:t>（2）过程防控措施</w:t>
      </w:r>
    </w:p>
    <w:p w14:paraId="66630389">
      <w:pPr>
        <w:tabs>
          <w:tab w:val="left" w:pos="993"/>
        </w:tabs>
        <w:ind w:firstLine="480"/>
        <w:rPr>
          <w:color w:val="000000"/>
          <w:szCs w:val="24"/>
        </w:rPr>
      </w:pPr>
      <w:r>
        <w:rPr>
          <w:color w:val="000000"/>
          <w:szCs w:val="24"/>
        </w:rPr>
        <w:t>从大气沉降、地面漫流、垂直入渗三个途径分别进行控制：</w:t>
      </w:r>
    </w:p>
    <w:p w14:paraId="27331919">
      <w:pPr>
        <w:tabs>
          <w:tab w:val="left" w:pos="993"/>
        </w:tabs>
        <w:ind w:firstLine="480"/>
        <w:rPr>
          <w:color w:val="000000"/>
          <w:szCs w:val="24"/>
        </w:rPr>
      </w:pPr>
      <w:r>
        <w:rPr>
          <w:color w:val="000000"/>
          <w:szCs w:val="24"/>
        </w:rPr>
        <w:t>①大气沉降污染防控：</w:t>
      </w:r>
      <w:r>
        <w:rPr>
          <w:color w:val="000000"/>
        </w:rPr>
        <w:t>加强废气处理设施的管理，确保大气</w:t>
      </w:r>
      <w:r>
        <w:rPr>
          <w:color w:val="000000"/>
          <w:szCs w:val="24"/>
        </w:rPr>
        <w:t>污染物的达标排放；加强厂区的绿化工作，尽量选择适宜当地环境且对大气污染物具有较强吸附能力的植物，从而控制污染物通过大气沉降影响土壤环境。</w:t>
      </w:r>
    </w:p>
    <w:p w14:paraId="3746D59E">
      <w:pPr>
        <w:tabs>
          <w:tab w:val="left" w:pos="993"/>
        </w:tabs>
        <w:ind w:firstLine="480"/>
        <w:rPr>
          <w:color w:val="000000"/>
          <w:szCs w:val="24"/>
        </w:rPr>
      </w:pPr>
      <w:r>
        <w:rPr>
          <w:color w:val="000000"/>
          <w:szCs w:val="24"/>
        </w:rPr>
        <w:t>②地面漫流污染防控：</w:t>
      </w:r>
      <w:r>
        <w:rPr>
          <w:color w:val="000000"/>
        </w:rPr>
        <w:t>全面落实“单元—厂区—园区”三级事故废水防控措施，有效拦截初期雨水及事故废水，杜绝发生地面漫流，进入土壤。</w:t>
      </w:r>
    </w:p>
    <w:p w14:paraId="2F96FF1C">
      <w:pPr>
        <w:tabs>
          <w:tab w:val="left" w:pos="993"/>
        </w:tabs>
        <w:ind w:firstLine="480"/>
        <w:rPr>
          <w:color w:val="000000"/>
          <w:szCs w:val="24"/>
        </w:rPr>
      </w:pPr>
      <w:r>
        <w:rPr>
          <w:color w:val="000000"/>
          <w:szCs w:val="24"/>
        </w:rPr>
        <w:t>③垂直入渗污染防控：严格按照地下水章节防渗分区及防渗要求，采取相应的防渗措施。</w:t>
      </w:r>
    </w:p>
    <w:p w14:paraId="297C3917">
      <w:pPr>
        <w:tabs>
          <w:tab w:val="left" w:pos="993"/>
        </w:tabs>
        <w:ind w:firstLine="480"/>
        <w:rPr>
          <w:color w:val="000000"/>
          <w:szCs w:val="24"/>
        </w:rPr>
      </w:pPr>
      <w:r>
        <w:rPr>
          <w:color w:val="000000"/>
          <w:szCs w:val="24"/>
        </w:rPr>
        <w:t>（3）建立土壤污染隐患排查治理制度，定期对重点区域、重点设施开展隐患排查。发现污染隐患的，应当制定整改方案，及时采取技术、管理措施消除隐患。隐患排查、治理情况应当如实记录并建立档案。</w:t>
      </w:r>
    </w:p>
    <w:p w14:paraId="3014F57E">
      <w:pPr>
        <w:tabs>
          <w:tab w:val="left" w:pos="993"/>
        </w:tabs>
        <w:ind w:firstLine="480"/>
        <w:rPr>
          <w:color w:val="000000"/>
          <w:szCs w:val="24"/>
        </w:rPr>
      </w:pPr>
      <w:r>
        <w:rPr>
          <w:color w:val="000000"/>
          <w:szCs w:val="24"/>
        </w:rPr>
        <w:t>（4）按照相关技术规范要求，自行或者委托第三方定期开展土壤监测，重点监测存在污染隐患的区域和设施周边的土壤、地下水，并按照规定公开相关信息。</w:t>
      </w:r>
    </w:p>
    <w:p w14:paraId="68308A73">
      <w:pPr>
        <w:tabs>
          <w:tab w:val="left" w:pos="993"/>
        </w:tabs>
        <w:ind w:firstLine="480"/>
        <w:rPr>
          <w:color w:val="000000"/>
          <w:szCs w:val="24"/>
        </w:rPr>
      </w:pPr>
      <w:r>
        <w:rPr>
          <w:color w:val="000000"/>
          <w:szCs w:val="24"/>
        </w:rPr>
        <w:t>（5）在隐患排查、监测等活动中发现项目用地土壤存在污染迹象的，应当排查污染源，查明污染原因，采取措施防止新增污染，并参照污染地块土壤环境管理有关规定及时开展土壤环境调查与风险评估，根据调查与风险评估结果采取风险管控或者治理与修复等措施。</w:t>
      </w:r>
    </w:p>
    <w:p w14:paraId="60B19F5E">
      <w:pPr>
        <w:tabs>
          <w:tab w:val="left" w:pos="993"/>
        </w:tabs>
        <w:ind w:firstLine="480"/>
        <w:rPr>
          <w:color w:val="000000"/>
          <w:szCs w:val="24"/>
        </w:rPr>
      </w:pPr>
      <w:r>
        <w:rPr>
          <w:color w:val="000000"/>
          <w:szCs w:val="24"/>
        </w:rPr>
        <w:t>拆除涉及有毒有害物质的生产设施设备、构筑物和污染治理设施的，应当按照有关规定，事先制定企业拆除活动污染防治方案，并在拆除活动前十五个工作日报所在地生态环境、工业和信息化主管部门备案。</w:t>
      </w:r>
    </w:p>
    <w:p w14:paraId="5CEDB090">
      <w:pPr>
        <w:tabs>
          <w:tab w:val="left" w:pos="993"/>
        </w:tabs>
        <w:ind w:firstLine="480"/>
        <w:rPr>
          <w:color w:val="000000"/>
          <w:szCs w:val="24"/>
        </w:rPr>
      </w:pPr>
      <w:r>
        <w:rPr>
          <w:color w:val="000000"/>
          <w:szCs w:val="24"/>
        </w:rPr>
        <w:t>企业拆除活动污染防治方案应当包括被拆除生产设施设备、构筑物和污染治理设施的基本情况、拆除活动全过程土壤污染防治的技术要求、针对周边环境的污染防治要求等内容。</w:t>
      </w:r>
    </w:p>
    <w:p w14:paraId="3B9F18BC">
      <w:pPr>
        <w:tabs>
          <w:tab w:val="left" w:pos="993"/>
        </w:tabs>
        <w:ind w:firstLine="480"/>
        <w:rPr>
          <w:color w:val="000000"/>
          <w:szCs w:val="24"/>
        </w:rPr>
      </w:pPr>
      <w:r>
        <w:rPr>
          <w:color w:val="000000"/>
          <w:szCs w:val="24"/>
        </w:rPr>
        <w:t>拆除活动应当严格按照有关规定实施残留物料和污染物、污染设备和设施的安全处理处置，并做好拆除活动相关记录，防范拆除活动污染土壤和地下水。拆除活动相关记录应当长期保存。</w:t>
      </w:r>
    </w:p>
    <w:p w14:paraId="69F0D15C">
      <w:pPr>
        <w:pStyle w:val="771"/>
        <w:rPr>
          <w:bCs w:val="0"/>
          <w:color w:val="000000"/>
        </w:rPr>
      </w:pPr>
      <w:r>
        <w:rPr>
          <w:bCs w:val="0"/>
          <w:color w:val="000000"/>
        </w:rPr>
        <w:t>7.6.2环境跟踪监测</w:t>
      </w:r>
    </w:p>
    <w:p w14:paraId="630EC0DA">
      <w:pPr>
        <w:tabs>
          <w:tab w:val="left" w:pos="993"/>
        </w:tabs>
        <w:ind w:firstLine="480"/>
        <w:rPr>
          <w:color w:val="000000"/>
          <w:szCs w:val="24"/>
        </w:rPr>
      </w:pPr>
      <w:r>
        <w:rPr>
          <w:color w:val="000000"/>
          <w:szCs w:val="24"/>
        </w:rPr>
        <w:t>根据《环境影响评价技术导则 土壤环境（试行）》（HJ964-2018），本项目应进行土壤环境跟踪监测。</w:t>
      </w:r>
      <w:r>
        <w:rPr>
          <w:color w:val="000000"/>
        </w:rPr>
        <w:t>在建设项目工艺装置区东侧（表层样）、工艺装置区内（柱状样）和装卸及储存单元（表层样）各布设一个监测点位，共计三个监测点位，分别为背景监测点、垂直入渗监控点、大气沉降监控点。</w:t>
      </w:r>
    </w:p>
    <w:p w14:paraId="01298261">
      <w:pPr>
        <w:pStyle w:val="770"/>
        <w:rPr>
          <w:color w:val="000000"/>
        </w:rPr>
      </w:pPr>
      <w:bookmarkStart w:id="750" w:name="_Toc6388"/>
      <w:r>
        <w:rPr>
          <w:color w:val="000000"/>
        </w:rPr>
        <w:t>7.7环保措施统计及投资</w:t>
      </w:r>
      <w:bookmarkEnd w:id="740"/>
      <w:bookmarkEnd w:id="741"/>
      <w:bookmarkEnd w:id="742"/>
      <w:r>
        <w:rPr>
          <w:color w:val="000000"/>
        </w:rPr>
        <w:t>估算</w:t>
      </w:r>
      <w:bookmarkEnd w:id="743"/>
      <w:bookmarkEnd w:id="744"/>
      <w:bookmarkEnd w:id="745"/>
      <w:bookmarkEnd w:id="746"/>
      <w:bookmarkEnd w:id="747"/>
      <w:bookmarkEnd w:id="748"/>
      <w:bookmarkEnd w:id="750"/>
    </w:p>
    <w:p w14:paraId="0B46AF20">
      <w:pPr>
        <w:ind w:firstLine="480"/>
        <w:rPr>
          <w:color w:val="000000"/>
        </w:rPr>
      </w:pPr>
      <w:r>
        <w:rPr>
          <w:color w:val="000000"/>
          <w:szCs w:val="24"/>
        </w:rPr>
        <w:t>本项目总投资为5321万元，其中环保投资费用约295万元，占项目总投资的0.9%。采取的环保措施及投资情况详见表7.7-1。</w:t>
      </w:r>
    </w:p>
    <w:p w14:paraId="69BC0BCC">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7</w:t>
      </w:r>
      <w:r>
        <w:rPr>
          <w:rFonts w:ascii="Times New Roman" w:hAnsi="Times New Roman"/>
          <w:color w:val="000000"/>
        </w:rPr>
        <w:t>.</w:t>
      </w:r>
      <w:r>
        <w:rPr>
          <w:rFonts w:ascii="Times New Roman" w:hAnsi="Times New Roman"/>
          <w:color w:val="000000"/>
          <w:lang w:val="en-US"/>
        </w:rPr>
        <w:t>7</w:t>
      </w:r>
      <w:r>
        <w:rPr>
          <w:rFonts w:ascii="Times New Roman" w:hAnsi="Times New Roman"/>
          <w:color w:val="000000"/>
        </w:rPr>
        <w:t xml:space="preserve">-1  </w:t>
      </w:r>
      <w:r>
        <w:rPr>
          <w:rFonts w:ascii="Times New Roman" w:hAnsi="Times New Roman"/>
          <w:color w:val="000000"/>
          <w:lang w:val="en-US"/>
        </w:rPr>
        <w:t>本项目</w:t>
      </w:r>
      <w:r>
        <w:rPr>
          <w:rFonts w:ascii="Times New Roman" w:hAnsi="Times New Roman"/>
          <w:color w:val="000000"/>
        </w:rPr>
        <w:t>环保投资概算表</w:t>
      </w:r>
    </w:p>
    <w:tbl>
      <w:tblPr>
        <w:tblStyle w:val="7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2251"/>
        <w:gridCol w:w="4150"/>
        <w:gridCol w:w="1313"/>
      </w:tblGrid>
      <w:tr w14:paraId="60F5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91" w:type="pct"/>
            <w:gridSpan w:val="2"/>
            <w:tcBorders>
              <w:top w:val="single" w:color="auto" w:sz="4" w:space="0"/>
              <w:left w:val="single" w:color="auto" w:sz="4" w:space="0"/>
              <w:bottom w:val="single" w:color="auto" w:sz="4" w:space="0"/>
              <w:right w:val="single" w:color="auto" w:sz="4" w:space="0"/>
            </w:tcBorders>
            <w:vAlign w:val="center"/>
          </w:tcPr>
          <w:p w14:paraId="743BDCCC">
            <w:pPr>
              <w:autoSpaceDE w:val="0"/>
              <w:autoSpaceDN w:val="0"/>
              <w:spacing w:line="240" w:lineRule="auto"/>
              <w:jc w:val="center"/>
              <w:textAlignment w:val="baseline"/>
              <w:rPr>
                <w:color w:val="000000"/>
                <w:sz w:val="20"/>
                <w:szCs w:val="20"/>
              </w:rPr>
            </w:pPr>
            <w:r>
              <w:rPr>
                <w:color w:val="000000"/>
                <w:sz w:val="20"/>
                <w:szCs w:val="20"/>
              </w:rPr>
              <w:t>污染源</w:t>
            </w:r>
          </w:p>
        </w:tc>
        <w:tc>
          <w:tcPr>
            <w:tcW w:w="2437" w:type="pct"/>
            <w:tcBorders>
              <w:top w:val="single" w:color="auto" w:sz="4" w:space="0"/>
              <w:left w:val="single" w:color="auto" w:sz="4" w:space="0"/>
              <w:bottom w:val="single" w:color="auto" w:sz="4" w:space="0"/>
              <w:right w:val="single" w:color="auto" w:sz="4" w:space="0"/>
            </w:tcBorders>
            <w:vAlign w:val="center"/>
          </w:tcPr>
          <w:p w14:paraId="3EBB4424">
            <w:pPr>
              <w:autoSpaceDE w:val="0"/>
              <w:autoSpaceDN w:val="0"/>
              <w:spacing w:line="240" w:lineRule="auto"/>
              <w:jc w:val="center"/>
              <w:textAlignment w:val="baseline"/>
              <w:rPr>
                <w:color w:val="000000"/>
                <w:sz w:val="20"/>
                <w:szCs w:val="20"/>
              </w:rPr>
            </w:pPr>
            <w:r>
              <w:rPr>
                <w:color w:val="000000"/>
                <w:sz w:val="20"/>
                <w:szCs w:val="20"/>
              </w:rPr>
              <w:t>环境保护措施</w:t>
            </w:r>
          </w:p>
        </w:tc>
        <w:tc>
          <w:tcPr>
            <w:tcW w:w="771" w:type="pct"/>
            <w:tcBorders>
              <w:top w:val="single" w:color="auto" w:sz="4" w:space="0"/>
              <w:left w:val="single" w:color="auto" w:sz="4" w:space="0"/>
              <w:bottom w:val="single" w:color="auto" w:sz="4" w:space="0"/>
              <w:right w:val="single" w:color="auto" w:sz="4" w:space="0"/>
            </w:tcBorders>
            <w:vAlign w:val="center"/>
          </w:tcPr>
          <w:p w14:paraId="344DF787">
            <w:pPr>
              <w:autoSpaceDE w:val="0"/>
              <w:autoSpaceDN w:val="0"/>
              <w:spacing w:line="240" w:lineRule="auto"/>
              <w:jc w:val="center"/>
              <w:textAlignment w:val="baseline"/>
              <w:rPr>
                <w:color w:val="000000"/>
                <w:sz w:val="20"/>
                <w:szCs w:val="20"/>
              </w:rPr>
            </w:pPr>
            <w:r>
              <w:rPr>
                <w:color w:val="000000"/>
                <w:sz w:val="20"/>
                <w:szCs w:val="20"/>
              </w:rPr>
              <w:t>投资（万元）</w:t>
            </w:r>
          </w:p>
        </w:tc>
      </w:tr>
      <w:tr w14:paraId="1110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9" w:type="pct"/>
            <w:vMerge w:val="restart"/>
            <w:tcBorders>
              <w:top w:val="single" w:color="auto" w:sz="4" w:space="0"/>
              <w:left w:val="single" w:color="auto" w:sz="4" w:space="0"/>
              <w:right w:val="single" w:color="auto" w:sz="4" w:space="0"/>
            </w:tcBorders>
            <w:vAlign w:val="center"/>
          </w:tcPr>
          <w:p w14:paraId="7BEC8B26">
            <w:pPr>
              <w:autoSpaceDE w:val="0"/>
              <w:autoSpaceDN w:val="0"/>
              <w:spacing w:line="240" w:lineRule="auto"/>
              <w:jc w:val="center"/>
              <w:textAlignment w:val="baseline"/>
              <w:rPr>
                <w:color w:val="000000"/>
                <w:sz w:val="20"/>
                <w:szCs w:val="20"/>
              </w:rPr>
            </w:pPr>
            <w:r>
              <w:rPr>
                <w:color w:val="000000"/>
                <w:sz w:val="20"/>
                <w:szCs w:val="20"/>
              </w:rPr>
              <w:t>废气</w:t>
            </w:r>
          </w:p>
        </w:tc>
        <w:tc>
          <w:tcPr>
            <w:tcW w:w="1321" w:type="pct"/>
            <w:tcBorders>
              <w:top w:val="single" w:color="auto" w:sz="4" w:space="0"/>
              <w:left w:val="single" w:color="auto" w:sz="4" w:space="0"/>
              <w:right w:val="single" w:color="auto" w:sz="4" w:space="0"/>
            </w:tcBorders>
            <w:vAlign w:val="center"/>
          </w:tcPr>
          <w:p w14:paraId="057AC639">
            <w:pPr>
              <w:autoSpaceDE w:val="0"/>
              <w:autoSpaceDN w:val="0"/>
              <w:spacing w:line="240" w:lineRule="auto"/>
              <w:jc w:val="center"/>
              <w:textAlignment w:val="baseline"/>
              <w:rPr>
                <w:color w:val="000000"/>
                <w:sz w:val="20"/>
                <w:szCs w:val="20"/>
              </w:rPr>
            </w:pPr>
            <w:r>
              <w:rPr>
                <w:color w:val="000000"/>
                <w:sz w:val="20"/>
                <w:szCs w:val="20"/>
              </w:rPr>
              <w:t>吸附脱氢再生尾气G3、脱碳干燥再生尾气G4</w:t>
            </w:r>
          </w:p>
        </w:tc>
        <w:tc>
          <w:tcPr>
            <w:tcW w:w="2437" w:type="pct"/>
            <w:tcBorders>
              <w:top w:val="single" w:color="auto" w:sz="4" w:space="0"/>
              <w:left w:val="single" w:color="auto" w:sz="4" w:space="0"/>
              <w:bottom w:val="single" w:color="auto" w:sz="4" w:space="0"/>
              <w:right w:val="single" w:color="auto" w:sz="4" w:space="0"/>
            </w:tcBorders>
            <w:vAlign w:val="center"/>
          </w:tcPr>
          <w:p w14:paraId="62132A54">
            <w:pPr>
              <w:autoSpaceDE w:val="0"/>
              <w:autoSpaceDN w:val="0"/>
              <w:spacing w:line="240" w:lineRule="auto"/>
              <w:jc w:val="center"/>
              <w:textAlignment w:val="baseline"/>
              <w:rPr>
                <w:color w:val="000000"/>
                <w:sz w:val="20"/>
                <w:szCs w:val="20"/>
              </w:rPr>
            </w:pPr>
            <w:r>
              <w:rPr>
                <w:color w:val="000000"/>
                <w:sz w:val="20"/>
                <w:szCs w:val="20"/>
              </w:rPr>
              <w:t>直接放空</w:t>
            </w:r>
          </w:p>
        </w:tc>
        <w:tc>
          <w:tcPr>
            <w:tcW w:w="771" w:type="pct"/>
            <w:tcBorders>
              <w:top w:val="single" w:color="auto" w:sz="4" w:space="0"/>
              <w:left w:val="single" w:color="auto" w:sz="4" w:space="0"/>
              <w:bottom w:val="single" w:color="auto" w:sz="4" w:space="0"/>
              <w:right w:val="single" w:color="auto" w:sz="4" w:space="0"/>
            </w:tcBorders>
            <w:vAlign w:val="center"/>
          </w:tcPr>
          <w:p w14:paraId="1EFC5BCF">
            <w:pPr>
              <w:autoSpaceDE w:val="0"/>
              <w:autoSpaceDN w:val="0"/>
              <w:spacing w:line="240" w:lineRule="auto"/>
              <w:jc w:val="center"/>
              <w:textAlignment w:val="baseline"/>
              <w:rPr>
                <w:color w:val="000000"/>
                <w:sz w:val="20"/>
                <w:szCs w:val="20"/>
              </w:rPr>
            </w:pPr>
            <w:r>
              <w:rPr>
                <w:color w:val="000000"/>
                <w:sz w:val="20"/>
                <w:szCs w:val="20"/>
              </w:rPr>
              <w:t>/</w:t>
            </w:r>
          </w:p>
        </w:tc>
      </w:tr>
      <w:tr w14:paraId="0C55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9" w:type="pct"/>
            <w:vMerge w:val="continue"/>
            <w:tcBorders>
              <w:left w:val="single" w:color="auto" w:sz="4" w:space="0"/>
              <w:right w:val="single" w:color="auto" w:sz="4" w:space="0"/>
            </w:tcBorders>
            <w:vAlign w:val="center"/>
          </w:tcPr>
          <w:p w14:paraId="71F04EE2">
            <w:pPr>
              <w:autoSpaceDE w:val="0"/>
              <w:autoSpaceDN w:val="0"/>
              <w:spacing w:line="240" w:lineRule="auto"/>
              <w:jc w:val="center"/>
              <w:textAlignment w:val="baseline"/>
              <w:rPr>
                <w:color w:val="000000"/>
                <w:sz w:val="20"/>
                <w:szCs w:val="20"/>
              </w:rPr>
            </w:pPr>
          </w:p>
        </w:tc>
        <w:tc>
          <w:tcPr>
            <w:tcW w:w="1321" w:type="pct"/>
            <w:tcBorders>
              <w:top w:val="single" w:color="auto" w:sz="4" w:space="0"/>
              <w:left w:val="single" w:color="auto" w:sz="4" w:space="0"/>
              <w:right w:val="single" w:color="auto" w:sz="4" w:space="0"/>
            </w:tcBorders>
            <w:vAlign w:val="center"/>
          </w:tcPr>
          <w:p w14:paraId="6625D79C">
            <w:pPr>
              <w:autoSpaceDE w:val="0"/>
              <w:autoSpaceDN w:val="0"/>
              <w:spacing w:line="240" w:lineRule="auto"/>
              <w:jc w:val="center"/>
              <w:textAlignment w:val="baseline"/>
              <w:rPr>
                <w:color w:val="000000"/>
                <w:sz w:val="20"/>
                <w:szCs w:val="20"/>
              </w:rPr>
            </w:pPr>
            <w:r>
              <w:rPr>
                <w:color w:val="000000"/>
                <w:sz w:val="20"/>
                <w:szCs w:val="20"/>
              </w:rPr>
              <w:t>本项目压缩脱碳干燥再生尾气G1、部分深冷分离尾气G2）</w:t>
            </w:r>
          </w:p>
        </w:tc>
        <w:tc>
          <w:tcPr>
            <w:tcW w:w="2437" w:type="pct"/>
            <w:tcBorders>
              <w:top w:val="single" w:color="auto" w:sz="4" w:space="0"/>
              <w:left w:val="single" w:color="auto" w:sz="4" w:space="0"/>
              <w:bottom w:val="single" w:color="auto" w:sz="4" w:space="0"/>
              <w:right w:val="single" w:color="auto" w:sz="4" w:space="0"/>
            </w:tcBorders>
            <w:vAlign w:val="center"/>
          </w:tcPr>
          <w:p w14:paraId="49F800F1">
            <w:pPr>
              <w:autoSpaceDE w:val="0"/>
              <w:autoSpaceDN w:val="0"/>
              <w:spacing w:line="240" w:lineRule="auto"/>
              <w:jc w:val="center"/>
              <w:textAlignment w:val="baseline"/>
              <w:rPr>
                <w:color w:val="000000"/>
                <w:sz w:val="20"/>
                <w:szCs w:val="20"/>
                <w:lang w:val="zh-CN"/>
              </w:rPr>
            </w:pPr>
            <w:r>
              <w:rPr>
                <w:color w:val="000000"/>
                <w:sz w:val="20"/>
                <w:szCs w:val="20"/>
              </w:rPr>
              <w:t>依托LNG工厂</w:t>
            </w:r>
            <w:r>
              <w:rPr>
                <w:color w:val="000000"/>
                <w:sz w:val="20"/>
                <w:szCs w:val="20"/>
                <w:lang w:val="zh-CN"/>
              </w:rPr>
              <w:t>80m高的</w:t>
            </w:r>
          </w:p>
          <w:p w14:paraId="08A80F94">
            <w:pPr>
              <w:autoSpaceDE w:val="0"/>
              <w:autoSpaceDN w:val="0"/>
              <w:spacing w:line="240" w:lineRule="auto"/>
              <w:jc w:val="center"/>
              <w:textAlignment w:val="baseline"/>
              <w:rPr>
                <w:color w:val="000000"/>
                <w:sz w:val="20"/>
                <w:szCs w:val="20"/>
              </w:rPr>
            </w:pPr>
            <w:r>
              <w:rPr>
                <w:color w:val="000000"/>
                <w:sz w:val="20"/>
                <w:szCs w:val="20"/>
                <w:lang w:val="zh-CN"/>
              </w:rPr>
              <w:t>高架火炬</w:t>
            </w:r>
            <w:r>
              <w:rPr>
                <w:color w:val="000000"/>
                <w:sz w:val="20"/>
                <w:szCs w:val="20"/>
              </w:rPr>
              <w:t>燃烧后排放</w:t>
            </w:r>
          </w:p>
        </w:tc>
        <w:tc>
          <w:tcPr>
            <w:tcW w:w="771" w:type="pct"/>
            <w:tcBorders>
              <w:top w:val="single" w:color="auto" w:sz="4" w:space="0"/>
              <w:left w:val="single" w:color="auto" w:sz="4" w:space="0"/>
              <w:bottom w:val="single" w:color="auto" w:sz="4" w:space="0"/>
              <w:right w:val="single" w:color="auto" w:sz="4" w:space="0"/>
            </w:tcBorders>
            <w:vAlign w:val="center"/>
          </w:tcPr>
          <w:p w14:paraId="3B31C995">
            <w:pPr>
              <w:autoSpaceDE w:val="0"/>
              <w:autoSpaceDN w:val="0"/>
              <w:spacing w:line="240" w:lineRule="auto"/>
              <w:jc w:val="center"/>
              <w:textAlignment w:val="baseline"/>
              <w:rPr>
                <w:color w:val="000000"/>
                <w:sz w:val="20"/>
                <w:szCs w:val="20"/>
              </w:rPr>
            </w:pPr>
            <w:r>
              <w:rPr>
                <w:color w:val="000000"/>
                <w:sz w:val="20"/>
                <w:szCs w:val="20"/>
              </w:rPr>
              <w:t>利旧，管道铺设计入设备投资</w:t>
            </w:r>
          </w:p>
        </w:tc>
      </w:tr>
      <w:tr w14:paraId="682F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9" w:type="pct"/>
            <w:vMerge w:val="restart"/>
            <w:tcBorders>
              <w:left w:val="single" w:color="auto" w:sz="4" w:space="0"/>
              <w:right w:val="single" w:color="auto" w:sz="4" w:space="0"/>
            </w:tcBorders>
            <w:vAlign w:val="center"/>
          </w:tcPr>
          <w:p w14:paraId="2C76E63F">
            <w:pPr>
              <w:autoSpaceDE w:val="0"/>
              <w:autoSpaceDN w:val="0"/>
              <w:spacing w:line="240" w:lineRule="auto"/>
              <w:jc w:val="center"/>
              <w:textAlignment w:val="baseline"/>
              <w:rPr>
                <w:color w:val="000000"/>
                <w:sz w:val="20"/>
                <w:szCs w:val="20"/>
              </w:rPr>
            </w:pPr>
            <w:r>
              <w:rPr>
                <w:color w:val="000000"/>
                <w:sz w:val="20"/>
                <w:szCs w:val="20"/>
              </w:rPr>
              <w:t>废水</w:t>
            </w:r>
          </w:p>
        </w:tc>
        <w:tc>
          <w:tcPr>
            <w:tcW w:w="1321" w:type="pct"/>
            <w:tcBorders>
              <w:left w:val="single" w:color="auto" w:sz="4" w:space="0"/>
              <w:right w:val="single" w:color="auto" w:sz="4" w:space="0"/>
            </w:tcBorders>
            <w:vAlign w:val="center"/>
          </w:tcPr>
          <w:p w14:paraId="0E329933">
            <w:pPr>
              <w:autoSpaceDE w:val="0"/>
              <w:autoSpaceDN w:val="0"/>
              <w:spacing w:line="240" w:lineRule="auto"/>
              <w:jc w:val="center"/>
              <w:textAlignment w:val="baseline"/>
              <w:rPr>
                <w:color w:val="000000"/>
                <w:sz w:val="20"/>
                <w:szCs w:val="20"/>
              </w:rPr>
            </w:pPr>
            <w:r>
              <w:rPr>
                <w:color w:val="000000"/>
                <w:sz w:val="20"/>
                <w:szCs w:val="20"/>
              </w:rPr>
              <w:t>生产废水W1</w:t>
            </w:r>
          </w:p>
          <w:p w14:paraId="592E78C9">
            <w:pPr>
              <w:autoSpaceDE w:val="0"/>
              <w:autoSpaceDN w:val="0"/>
              <w:spacing w:line="240" w:lineRule="auto"/>
              <w:jc w:val="center"/>
              <w:textAlignment w:val="baseline"/>
              <w:rPr>
                <w:color w:val="000000"/>
                <w:sz w:val="20"/>
                <w:szCs w:val="20"/>
              </w:rPr>
            </w:pPr>
          </w:p>
        </w:tc>
        <w:tc>
          <w:tcPr>
            <w:tcW w:w="2437" w:type="pct"/>
            <w:tcBorders>
              <w:top w:val="single" w:color="auto" w:sz="4" w:space="0"/>
              <w:left w:val="single" w:color="auto" w:sz="4" w:space="0"/>
              <w:right w:val="single" w:color="auto" w:sz="4" w:space="0"/>
            </w:tcBorders>
            <w:vAlign w:val="center"/>
          </w:tcPr>
          <w:p w14:paraId="20B13D7F">
            <w:pPr>
              <w:autoSpaceDE w:val="0"/>
              <w:autoSpaceDN w:val="0"/>
              <w:spacing w:line="240" w:lineRule="auto"/>
              <w:jc w:val="center"/>
              <w:textAlignment w:val="baseline"/>
              <w:rPr>
                <w:color w:val="000000"/>
                <w:sz w:val="20"/>
                <w:szCs w:val="20"/>
              </w:rPr>
            </w:pPr>
            <w:r>
              <w:rPr>
                <w:color w:val="000000"/>
                <w:sz w:val="20"/>
                <w:szCs w:val="20"/>
              </w:rPr>
              <w:t>生产废水池</w:t>
            </w:r>
          </w:p>
        </w:tc>
        <w:tc>
          <w:tcPr>
            <w:tcW w:w="771" w:type="pct"/>
            <w:vMerge w:val="restart"/>
            <w:tcBorders>
              <w:top w:val="single" w:color="auto" w:sz="4" w:space="0"/>
              <w:left w:val="single" w:color="auto" w:sz="4" w:space="0"/>
              <w:right w:val="single" w:color="auto" w:sz="4" w:space="0"/>
            </w:tcBorders>
            <w:vAlign w:val="center"/>
          </w:tcPr>
          <w:p w14:paraId="6D085A24">
            <w:pPr>
              <w:autoSpaceDE w:val="0"/>
              <w:autoSpaceDN w:val="0"/>
              <w:spacing w:line="240" w:lineRule="auto"/>
              <w:jc w:val="center"/>
              <w:textAlignment w:val="baseline"/>
              <w:rPr>
                <w:color w:val="000000"/>
                <w:sz w:val="20"/>
                <w:szCs w:val="20"/>
              </w:rPr>
            </w:pPr>
            <w:r>
              <w:rPr>
                <w:color w:val="000000"/>
                <w:sz w:val="20"/>
                <w:szCs w:val="20"/>
              </w:rPr>
              <w:t>利旧，管道铺设计入设备投资</w:t>
            </w:r>
          </w:p>
          <w:p w14:paraId="2F50C5AB">
            <w:pPr>
              <w:autoSpaceDE w:val="0"/>
              <w:autoSpaceDN w:val="0"/>
              <w:spacing w:line="240" w:lineRule="auto"/>
              <w:jc w:val="center"/>
              <w:textAlignment w:val="baseline"/>
              <w:rPr>
                <w:color w:val="000000"/>
                <w:sz w:val="20"/>
                <w:szCs w:val="20"/>
              </w:rPr>
            </w:pPr>
          </w:p>
        </w:tc>
      </w:tr>
      <w:tr w14:paraId="007A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9" w:type="pct"/>
            <w:vMerge w:val="continue"/>
            <w:tcBorders>
              <w:left w:val="single" w:color="auto" w:sz="4" w:space="0"/>
              <w:right w:val="single" w:color="auto" w:sz="4" w:space="0"/>
            </w:tcBorders>
            <w:vAlign w:val="center"/>
          </w:tcPr>
          <w:p w14:paraId="745172F4">
            <w:pPr>
              <w:autoSpaceDE w:val="0"/>
              <w:autoSpaceDN w:val="0"/>
              <w:spacing w:line="240" w:lineRule="auto"/>
              <w:jc w:val="center"/>
              <w:textAlignment w:val="baseline"/>
              <w:rPr>
                <w:color w:val="000000"/>
                <w:sz w:val="20"/>
                <w:szCs w:val="20"/>
              </w:rPr>
            </w:pPr>
          </w:p>
        </w:tc>
        <w:tc>
          <w:tcPr>
            <w:tcW w:w="1321" w:type="pct"/>
            <w:tcBorders>
              <w:left w:val="single" w:color="auto" w:sz="4" w:space="0"/>
              <w:right w:val="single" w:color="auto" w:sz="4" w:space="0"/>
            </w:tcBorders>
            <w:vAlign w:val="center"/>
          </w:tcPr>
          <w:p w14:paraId="1B593A51">
            <w:pPr>
              <w:autoSpaceDE w:val="0"/>
              <w:autoSpaceDN w:val="0"/>
              <w:spacing w:line="240" w:lineRule="auto"/>
              <w:jc w:val="center"/>
              <w:textAlignment w:val="baseline"/>
              <w:rPr>
                <w:color w:val="000000"/>
                <w:sz w:val="20"/>
                <w:szCs w:val="20"/>
              </w:rPr>
            </w:pPr>
            <w:r>
              <w:rPr>
                <w:color w:val="000000"/>
                <w:sz w:val="20"/>
                <w:szCs w:val="20"/>
              </w:rPr>
              <w:t>生活污水W2</w:t>
            </w:r>
          </w:p>
          <w:p w14:paraId="26CF09DA">
            <w:pPr>
              <w:autoSpaceDE w:val="0"/>
              <w:autoSpaceDN w:val="0"/>
              <w:spacing w:line="240" w:lineRule="auto"/>
              <w:jc w:val="center"/>
              <w:textAlignment w:val="baseline"/>
              <w:rPr>
                <w:color w:val="000000"/>
                <w:sz w:val="20"/>
                <w:szCs w:val="20"/>
              </w:rPr>
            </w:pPr>
          </w:p>
        </w:tc>
        <w:tc>
          <w:tcPr>
            <w:tcW w:w="2437" w:type="pct"/>
            <w:tcBorders>
              <w:top w:val="single" w:color="auto" w:sz="4" w:space="0"/>
              <w:left w:val="single" w:color="auto" w:sz="4" w:space="0"/>
              <w:right w:val="single" w:color="auto" w:sz="4" w:space="0"/>
            </w:tcBorders>
            <w:vAlign w:val="center"/>
          </w:tcPr>
          <w:p w14:paraId="23EACFF6">
            <w:pPr>
              <w:autoSpaceDE w:val="0"/>
              <w:autoSpaceDN w:val="0"/>
              <w:spacing w:line="240" w:lineRule="auto"/>
              <w:jc w:val="center"/>
              <w:textAlignment w:val="baseline"/>
              <w:rPr>
                <w:color w:val="000000"/>
                <w:sz w:val="20"/>
                <w:szCs w:val="20"/>
              </w:rPr>
            </w:pPr>
            <w:r>
              <w:rPr>
                <w:color w:val="000000"/>
                <w:sz w:val="20"/>
                <w:szCs w:val="20"/>
              </w:rPr>
              <w:t>化粪池</w:t>
            </w:r>
          </w:p>
        </w:tc>
        <w:tc>
          <w:tcPr>
            <w:tcW w:w="771" w:type="pct"/>
            <w:vMerge w:val="continue"/>
            <w:tcBorders>
              <w:left w:val="single" w:color="auto" w:sz="4" w:space="0"/>
              <w:right w:val="single" w:color="auto" w:sz="4" w:space="0"/>
            </w:tcBorders>
            <w:vAlign w:val="center"/>
          </w:tcPr>
          <w:p w14:paraId="003A93E7">
            <w:pPr>
              <w:autoSpaceDE w:val="0"/>
              <w:autoSpaceDN w:val="0"/>
              <w:spacing w:line="240" w:lineRule="auto"/>
              <w:jc w:val="center"/>
              <w:textAlignment w:val="baseline"/>
              <w:rPr>
                <w:color w:val="000000"/>
                <w:sz w:val="20"/>
                <w:szCs w:val="20"/>
              </w:rPr>
            </w:pPr>
          </w:p>
        </w:tc>
      </w:tr>
      <w:tr w14:paraId="0474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469" w:type="pct"/>
            <w:tcBorders>
              <w:top w:val="single" w:color="auto" w:sz="4" w:space="0"/>
              <w:left w:val="single" w:color="auto" w:sz="4" w:space="0"/>
              <w:bottom w:val="single" w:color="auto" w:sz="4" w:space="0"/>
              <w:right w:val="single" w:color="auto" w:sz="4" w:space="0"/>
            </w:tcBorders>
            <w:vAlign w:val="center"/>
          </w:tcPr>
          <w:p w14:paraId="5B8281DB">
            <w:pPr>
              <w:autoSpaceDE w:val="0"/>
              <w:autoSpaceDN w:val="0"/>
              <w:spacing w:line="240" w:lineRule="auto"/>
              <w:jc w:val="center"/>
              <w:textAlignment w:val="baseline"/>
              <w:rPr>
                <w:color w:val="000000"/>
                <w:sz w:val="20"/>
                <w:szCs w:val="20"/>
              </w:rPr>
            </w:pPr>
            <w:r>
              <w:rPr>
                <w:color w:val="000000"/>
                <w:sz w:val="20"/>
                <w:szCs w:val="20"/>
              </w:rPr>
              <w:t>噪声</w:t>
            </w:r>
          </w:p>
        </w:tc>
        <w:tc>
          <w:tcPr>
            <w:tcW w:w="1321" w:type="pct"/>
            <w:tcBorders>
              <w:top w:val="single" w:color="auto" w:sz="4" w:space="0"/>
              <w:left w:val="single" w:color="auto" w:sz="4" w:space="0"/>
              <w:bottom w:val="single" w:color="auto" w:sz="4" w:space="0"/>
              <w:right w:val="single" w:color="auto" w:sz="4" w:space="0"/>
            </w:tcBorders>
            <w:vAlign w:val="center"/>
          </w:tcPr>
          <w:p w14:paraId="2012328B">
            <w:pPr>
              <w:autoSpaceDE w:val="0"/>
              <w:autoSpaceDN w:val="0"/>
              <w:spacing w:line="240" w:lineRule="auto"/>
              <w:jc w:val="center"/>
              <w:textAlignment w:val="baseline"/>
              <w:rPr>
                <w:color w:val="000000"/>
                <w:sz w:val="20"/>
                <w:szCs w:val="20"/>
              </w:rPr>
            </w:pPr>
            <w:r>
              <w:rPr>
                <w:color w:val="000000"/>
                <w:sz w:val="20"/>
                <w:szCs w:val="20"/>
              </w:rPr>
              <w:t>设备噪声</w:t>
            </w:r>
          </w:p>
        </w:tc>
        <w:tc>
          <w:tcPr>
            <w:tcW w:w="2437" w:type="pct"/>
            <w:tcBorders>
              <w:top w:val="single" w:color="auto" w:sz="4" w:space="0"/>
              <w:left w:val="single" w:color="auto" w:sz="4" w:space="0"/>
              <w:bottom w:val="single" w:color="auto" w:sz="4" w:space="0"/>
              <w:right w:val="single" w:color="auto" w:sz="4" w:space="0"/>
            </w:tcBorders>
            <w:vAlign w:val="center"/>
          </w:tcPr>
          <w:p w14:paraId="253AFAD5">
            <w:pPr>
              <w:autoSpaceDE w:val="0"/>
              <w:autoSpaceDN w:val="0"/>
              <w:spacing w:line="240" w:lineRule="auto"/>
              <w:jc w:val="center"/>
              <w:textAlignment w:val="baseline"/>
              <w:rPr>
                <w:color w:val="000000"/>
                <w:sz w:val="20"/>
                <w:szCs w:val="20"/>
              </w:rPr>
            </w:pPr>
            <w:r>
              <w:rPr>
                <w:color w:val="000000"/>
                <w:sz w:val="20"/>
                <w:szCs w:val="20"/>
              </w:rPr>
              <w:t>消声、隔声、减振等隔声降噪措施</w:t>
            </w:r>
          </w:p>
        </w:tc>
        <w:tc>
          <w:tcPr>
            <w:tcW w:w="771" w:type="pct"/>
            <w:tcBorders>
              <w:top w:val="single" w:color="auto" w:sz="4" w:space="0"/>
              <w:left w:val="single" w:color="auto" w:sz="4" w:space="0"/>
              <w:bottom w:val="single" w:color="auto" w:sz="4" w:space="0"/>
              <w:right w:val="single" w:color="auto" w:sz="4" w:space="0"/>
            </w:tcBorders>
            <w:vAlign w:val="center"/>
          </w:tcPr>
          <w:p w14:paraId="0F31128A">
            <w:pPr>
              <w:autoSpaceDE w:val="0"/>
              <w:autoSpaceDN w:val="0"/>
              <w:spacing w:line="240" w:lineRule="auto"/>
              <w:jc w:val="center"/>
              <w:textAlignment w:val="baseline"/>
              <w:rPr>
                <w:color w:val="000000"/>
                <w:sz w:val="20"/>
                <w:szCs w:val="20"/>
              </w:rPr>
            </w:pPr>
            <w:r>
              <w:rPr>
                <w:color w:val="000000"/>
                <w:sz w:val="20"/>
                <w:szCs w:val="20"/>
              </w:rPr>
              <w:t>2</w:t>
            </w:r>
          </w:p>
        </w:tc>
      </w:tr>
      <w:tr w14:paraId="3B70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9" w:type="pct"/>
            <w:vMerge w:val="restart"/>
            <w:tcBorders>
              <w:top w:val="single" w:color="auto" w:sz="4" w:space="0"/>
              <w:left w:val="single" w:color="auto" w:sz="4" w:space="0"/>
              <w:bottom w:val="single" w:color="auto" w:sz="4" w:space="0"/>
              <w:right w:val="single" w:color="auto" w:sz="4" w:space="0"/>
            </w:tcBorders>
            <w:vAlign w:val="center"/>
          </w:tcPr>
          <w:p w14:paraId="02222E4A">
            <w:pPr>
              <w:autoSpaceDE w:val="0"/>
              <w:autoSpaceDN w:val="0"/>
              <w:spacing w:line="240" w:lineRule="auto"/>
              <w:jc w:val="center"/>
              <w:textAlignment w:val="baseline"/>
              <w:rPr>
                <w:color w:val="000000"/>
                <w:sz w:val="20"/>
                <w:szCs w:val="20"/>
              </w:rPr>
            </w:pPr>
            <w:r>
              <w:rPr>
                <w:color w:val="000000"/>
                <w:sz w:val="20"/>
                <w:szCs w:val="20"/>
              </w:rPr>
              <w:t>固体废物</w:t>
            </w:r>
          </w:p>
        </w:tc>
        <w:tc>
          <w:tcPr>
            <w:tcW w:w="1321" w:type="pct"/>
            <w:tcBorders>
              <w:top w:val="single" w:color="auto" w:sz="4" w:space="0"/>
              <w:left w:val="single" w:color="auto" w:sz="4" w:space="0"/>
              <w:bottom w:val="single" w:color="auto" w:sz="4" w:space="0"/>
              <w:right w:val="single" w:color="auto" w:sz="4" w:space="0"/>
            </w:tcBorders>
            <w:vAlign w:val="center"/>
          </w:tcPr>
          <w:p w14:paraId="7E37F7D7">
            <w:pPr>
              <w:autoSpaceDE w:val="0"/>
              <w:autoSpaceDN w:val="0"/>
              <w:spacing w:line="240" w:lineRule="auto"/>
              <w:jc w:val="center"/>
              <w:textAlignment w:val="baseline"/>
              <w:rPr>
                <w:color w:val="000000"/>
                <w:sz w:val="20"/>
                <w:szCs w:val="20"/>
              </w:rPr>
            </w:pPr>
            <w:r>
              <w:rPr>
                <w:color w:val="000000"/>
                <w:sz w:val="20"/>
                <w:szCs w:val="20"/>
              </w:rPr>
              <w:t>危险废物</w:t>
            </w:r>
          </w:p>
        </w:tc>
        <w:tc>
          <w:tcPr>
            <w:tcW w:w="2437" w:type="pct"/>
            <w:tcBorders>
              <w:top w:val="single" w:color="auto" w:sz="4" w:space="0"/>
              <w:left w:val="single" w:color="auto" w:sz="4" w:space="0"/>
              <w:bottom w:val="single" w:color="auto" w:sz="4" w:space="0"/>
              <w:right w:val="single" w:color="auto" w:sz="4" w:space="0"/>
            </w:tcBorders>
            <w:vAlign w:val="center"/>
          </w:tcPr>
          <w:p w14:paraId="0B6F31C2">
            <w:pPr>
              <w:autoSpaceDE w:val="0"/>
              <w:autoSpaceDN w:val="0"/>
              <w:spacing w:line="240" w:lineRule="auto"/>
              <w:jc w:val="center"/>
              <w:textAlignment w:val="baseline"/>
              <w:rPr>
                <w:color w:val="000000"/>
                <w:sz w:val="20"/>
                <w:szCs w:val="20"/>
              </w:rPr>
            </w:pPr>
            <w:r>
              <w:rPr>
                <w:color w:val="000000"/>
                <w:sz w:val="20"/>
                <w:szCs w:val="20"/>
              </w:rPr>
              <w:t>分类收集，危废暂存间分类暂存，定期交有资质单位处置。依托LNG工厂现有危废暂存间。</w:t>
            </w:r>
          </w:p>
        </w:tc>
        <w:tc>
          <w:tcPr>
            <w:tcW w:w="771" w:type="pct"/>
            <w:tcBorders>
              <w:top w:val="single" w:color="auto" w:sz="4" w:space="0"/>
              <w:left w:val="single" w:color="auto" w:sz="4" w:space="0"/>
              <w:bottom w:val="single" w:color="auto" w:sz="4" w:space="0"/>
              <w:right w:val="single" w:color="auto" w:sz="4" w:space="0"/>
            </w:tcBorders>
            <w:vAlign w:val="center"/>
          </w:tcPr>
          <w:p w14:paraId="7D26FA0F">
            <w:pPr>
              <w:autoSpaceDE w:val="0"/>
              <w:autoSpaceDN w:val="0"/>
              <w:spacing w:line="240" w:lineRule="auto"/>
              <w:jc w:val="center"/>
              <w:textAlignment w:val="baseline"/>
              <w:rPr>
                <w:color w:val="000000"/>
                <w:sz w:val="20"/>
                <w:szCs w:val="20"/>
              </w:rPr>
            </w:pPr>
            <w:r>
              <w:rPr>
                <w:color w:val="000000"/>
                <w:sz w:val="20"/>
                <w:szCs w:val="20"/>
              </w:rPr>
              <w:t>/</w:t>
            </w:r>
          </w:p>
        </w:tc>
      </w:tr>
      <w:tr w14:paraId="2D28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9" w:type="pct"/>
            <w:vMerge w:val="continue"/>
            <w:tcBorders>
              <w:top w:val="single" w:color="auto" w:sz="4" w:space="0"/>
              <w:left w:val="single" w:color="auto" w:sz="4" w:space="0"/>
              <w:bottom w:val="single" w:color="auto" w:sz="4" w:space="0"/>
              <w:right w:val="single" w:color="auto" w:sz="4" w:space="0"/>
            </w:tcBorders>
            <w:vAlign w:val="center"/>
          </w:tcPr>
          <w:p w14:paraId="338552DD">
            <w:pPr>
              <w:autoSpaceDE w:val="0"/>
              <w:autoSpaceDN w:val="0"/>
              <w:spacing w:line="240" w:lineRule="auto"/>
              <w:jc w:val="center"/>
              <w:textAlignment w:val="baseline"/>
              <w:rPr>
                <w:color w:val="000000"/>
                <w:sz w:val="20"/>
                <w:szCs w:val="20"/>
              </w:rPr>
            </w:pPr>
          </w:p>
        </w:tc>
        <w:tc>
          <w:tcPr>
            <w:tcW w:w="1321" w:type="pct"/>
            <w:tcBorders>
              <w:top w:val="single" w:color="auto" w:sz="4" w:space="0"/>
              <w:left w:val="single" w:color="auto" w:sz="4" w:space="0"/>
              <w:bottom w:val="single" w:color="auto" w:sz="4" w:space="0"/>
              <w:right w:val="single" w:color="auto" w:sz="4" w:space="0"/>
            </w:tcBorders>
            <w:vAlign w:val="center"/>
          </w:tcPr>
          <w:p w14:paraId="337C114E">
            <w:pPr>
              <w:autoSpaceDE w:val="0"/>
              <w:autoSpaceDN w:val="0"/>
              <w:spacing w:line="240" w:lineRule="auto"/>
              <w:jc w:val="center"/>
              <w:textAlignment w:val="baseline"/>
              <w:rPr>
                <w:color w:val="000000"/>
                <w:sz w:val="20"/>
                <w:szCs w:val="20"/>
              </w:rPr>
            </w:pPr>
            <w:r>
              <w:rPr>
                <w:color w:val="000000"/>
                <w:sz w:val="20"/>
                <w:szCs w:val="20"/>
              </w:rPr>
              <w:t>一般工业固体废物</w:t>
            </w:r>
          </w:p>
        </w:tc>
        <w:tc>
          <w:tcPr>
            <w:tcW w:w="2437" w:type="pct"/>
            <w:tcBorders>
              <w:top w:val="single" w:color="auto" w:sz="4" w:space="0"/>
              <w:left w:val="single" w:color="auto" w:sz="4" w:space="0"/>
              <w:bottom w:val="single" w:color="auto" w:sz="4" w:space="0"/>
              <w:right w:val="single" w:color="auto" w:sz="4" w:space="0"/>
            </w:tcBorders>
            <w:vAlign w:val="center"/>
          </w:tcPr>
          <w:p w14:paraId="73BB128E">
            <w:pPr>
              <w:autoSpaceDE w:val="0"/>
              <w:autoSpaceDN w:val="0"/>
              <w:spacing w:line="240" w:lineRule="auto"/>
              <w:jc w:val="center"/>
              <w:textAlignment w:val="baseline"/>
              <w:rPr>
                <w:color w:val="000000"/>
                <w:sz w:val="20"/>
                <w:szCs w:val="20"/>
              </w:rPr>
            </w:pPr>
            <w:r>
              <w:rPr>
                <w:color w:val="000000"/>
                <w:sz w:val="20"/>
                <w:szCs w:val="20"/>
              </w:rPr>
              <w:t>分类收集，一般固废暂存间分类暂存，交由回收单位。依托LNG工厂现有一般固废暂存间。</w:t>
            </w:r>
          </w:p>
        </w:tc>
        <w:tc>
          <w:tcPr>
            <w:tcW w:w="771" w:type="pct"/>
            <w:tcBorders>
              <w:top w:val="single" w:color="auto" w:sz="4" w:space="0"/>
              <w:left w:val="single" w:color="auto" w:sz="4" w:space="0"/>
              <w:bottom w:val="single" w:color="auto" w:sz="4" w:space="0"/>
              <w:right w:val="single" w:color="auto" w:sz="4" w:space="0"/>
            </w:tcBorders>
            <w:vAlign w:val="center"/>
          </w:tcPr>
          <w:p w14:paraId="66312D54">
            <w:pPr>
              <w:autoSpaceDE w:val="0"/>
              <w:autoSpaceDN w:val="0"/>
              <w:spacing w:line="240" w:lineRule="auto"/>
              <w:jc w:val="center"/>
              <w:textAlignment w:val="baseline"/>
              <w:rPr>
                <w:color w:val="000000"/>
                <w:sz w:val="20"/>
                <w:szCs w:val="20"/>
              </w:rPr>
            </w:pPr>
            <w:r>
              <w:rPr>
                <w:color w:val="000000"/>
                <w:sz w:val="20"/>
                <w:szCs w:val="20"/>
              </w:rPr>
              <w:t>/</w:t>
            </w:r>
          </w:p>
        </w:tc>
      </w:tr>
      <w:tr w14:paraId="7692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9" w:type="pct"/>
            <w:vMerge w:val="continue"/>
            <w:tcBorders>
              <w:top w:val="single" w:color="auto" w:sz="4" w:space="0"/>
              <w:left w:val="single" w:color="auto" w:sz="4" w:space="0"/>
              <w:bottom w:val="single" w:color="auto" w:sz="4" w:space="0"/>
              <w:right w:val="single" w:color="auto" w:sz="4" w:space="0"/>
            </w:tcBorders>
            <w:vAlign w:val="center"/>
          </w:tcPr>
          <w:p w14:paraId="09B5CE7D">
            <w:pPr>
              <w:autoSpaceDE w:val="0"/>
              <w:autoSpaceDN w:val="0"/>
              <w:spacing w:line="240" w:lineRule="auto"/>
              <w:jc w:val="center"/>
              <w:textAlignment w:val="baseline"/>
              <w:rPr>
                <w:color w:val="000000"/>
                <w:sz w:val="20"/>
                <w:szCs w:val="20"/>
              </w:rPr>
            </w:pPr>
          </w:p>
        </w:tc>
        <w:tc>
          <w:tcPr>
            <w:tcW w:w="1321" w:type="pct"/>
            <w:tcBorders>
              <w:top w:val="single" w:color="auto" w:sz="4" w:space="0"/>
              <w:left w:val="single" w:color="auto" w:sz="4" w:space="0"/>
              <w:bottom w:val="single" w:color="auto" w:sz="4" w:space="0"/>
              <w:right w:val="single" w:color="auto" w:sz="4" w:space="0"/>
            </w:tcBorders>
            <w:vAlign w:val="center"/>
          </w:tcPr>
          <w:p w14:paraId="2ACF48E9">
            <w:pPr>
              <w:autoSpaceDE w:val="0"/>
              <w:autoSpaceDN w:val="0"/>
              <w:spacing w:line="240" w:lineRule="auto"/>
              <w:jc w:val="center"/>
              <w:textAlignment w:val="baseline"/>
              <w:rPr>
                <w:color w:val="000000"/>
                <w:sz w:val="20"/>
                <w:szCs w:val="20"/>
              </w:rPr>
            </w:pPr>
            <w:r>
              <w:rPr>
                <w:color w:val="000000"/>
                <w:sz w:val="20"/>
                <w:szCs w:val="20"/>
              </w:rPr>
              <w:t>生活垃圾</w:t>
            </w:r>
          </w:p>
        </w:tc>
        <w:tc>
          <w:tcPr>
            <w:tcW w:w="2437" w:type="pct"/>
            <w:tcBorders>
              <w:top w:val="single" w:color="auto" w:sz="4" w:space="0"/>
              <w:left w:val="single" w:color="auto" w:sz="4" w:space="0"/>
              <w:bottom w:val="single" w:color="auto" w:sz="4" w:space="0"/>
              <w:right w:val="single" w:color="auto" w:sz="4" w:space="0"/>
            </w:tcBorders>
            <w:vAlign w:val="center"/>
          </w:tcPr>
          <w:p w14:paraId="10736D4B">
            <w:pPr>
              <w:autoSpaceDE w:val="0"/>
              <w:autoSpaceDN w:val="0"/>
              <w:spacing w:line="240" w:lineRule="auto"/>
              <w:jc w:val="center"/>
              <w:textAlignment w:val="baseline"/>
              <w:rPr>
                <w:color w:val="000000"/>
                <w:sz w:val="20"/>
                <w:szCs w:val="20"/>
              </w:rPr>
            </w:pPr>
            <w:r>
              <w:rPr>
                <w:color w:val="000000"/>
                <w:sz w:val="20"/>
                <w:szCs w:val="20"/>
              </w:rPr>
              <w:t>厂区内生活垃圾桶集中收集后交环卫部门统一处置。</w:t>
            </w:r>
          </w:p>
        </w:tc>
        <w:tc>
          <w:tcPr>
            <w:tcW w:w="771" w:type="pct"/>
            <w:tcBorders>
              <w:top w:val="single" w:color="auto" w:sz="4" w:space="0"/>
              <w:left w:val="single" w:color="auto" w:sz="4" w:space="0"/>
              <w:bottom w:val="single" w:color="auto" w:sz="4" w:space="0"/>
              <w:right w:val="single" w:color="auto" w:sz="4" w:space="0"/>
            </w:tcBorders>
            <w:vAlign w:val="center"/>
          </w:tcPr>
          <w:p w14:paraId="07D19876">
            <w:pPr>
              <w:autoSpaceDE w:val="0"/>
              <w:autoSpaceDN w:val="0"/>
              <w:spacing w:line="240" w:lineRule="auto"/>
              <w:jc w:val="center"/>
              <w:textAlignment w:val="baseline"/>
              <w:rPr>
                <w:color w:val="000000"/>
                <w:sz w:val="20"/>
                <w:szCs w:val="20"/>
              </w:rPr>
            </w:pPr>
            <w:r>
              <w:rPr>
                <w:color w:val="000000"/>
                <w:sz w:val="20"/>
                <w:szCs w:val="20"/>
              </w:rPr>
              <w:t>计入管理费用</w:t>
            </w:r>
          </w:p>
        </w:tc>
      </w:tr>
      <w:tr w14:paraId="5B2F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9" w:type="pct"/>
            <w:vMerge w:val="restart"/>
            <w:tcBorders>
              <w:top w:val="single" w:color="auto" w:sz="4" w:space="0"/>
              <w:left w:val="single" w:color="auto" w:sz="4" w:space="0"/>
              <w:right w:val="single" w:color="auto" w:sz="4" w:space="0"/>
            </w:tcBorders>
            <w:vAlign w:val="center"/>
          </w:tcPr>
          <w:p w14:paraId="24897171">
            <w:pPr>
              <w:autoSpaceDE w:val="0"/>
              <w:autoSpaceDN w:val="0"/>
              <w:spacing w:line="240" w:lineRule="auto"/>
              <w:jc w:val="center"/>
              <w:textAlignment w:val="baseline"/>
              <w:rPr>
                <w:color w:val="000000"/>
                <w:sz w:val="20"/>
                <w:szCs w:val="20"/>
              </w:rPr>
            </w:pPr>
            <w:r>
              <w:rPr>
                <w:color w:val="000000"/>
                <w:sz w:val="20"/>
                <w:szCs w:val="20"/>
              </w:rPr>
              <w:t>地下水及土壤</w:t>
            </w:r>
          </w:p>
        </w:tc>
        <w:tc>
          <w:tcPr>
            <w:tcW w:w="1321" w:type="pct"/>
            <w:tcBorders>
              <w:top w:val="single" w:color="auto" w:sz="4" w:space="0"/>
              <w:left w:val="single" w:color="auto" w:sz="4" w:space="0"/>
              <w:bottom w:val="single" w:color="auto" w:sz="4" w:space="0"/>
              <w:right w:val="single" w:color="auto" w:sz="4" w:space="0"/>
            </w:tcBorders>
            <w:vAlign w:val="center"/>
          </w:tcPr>
          <w:p w14:paraId="4D60E502">
            <w:pPr>
              <w:autoSpaceDE w:val="0"/>
              <w:autoSpaceDN w:val="0"/>
              <w:spacing w:line="240" w:lineRule="auto"/>
              <w:jc w:val="center"/>
              <w:textAlignment w:val="baseline"/>
              <w:rPr>
                <w:color w:val="000000"/>
                <w:sz w:val="20"/>
                <w:szCs w:val="20"/>
              </w:rPr>
            </w:pPr>
            <w:r>
              <w:rPr>
                <w:color w:val="000000"/>
                <w:sz w:val="20"/>
                <w:szCs w:val="20"/>
              </w:rPr>
              <w:t>分区防渗</w:t>
            </w:r>
          </w:p>
        </w:tc>
        <w:tc>
          <w:tcPr>
            <w:tcW w:w="2437" w:type="pct"/>
            <w:tcBorders>
              <w:top w:val="single" w:color="auto" w:sz="4" w:space="0"/>
              <w:left w:val="single" w:color="auto" w:sz="4" w:space="0"/>
              <w:bottom w:val="single" w:color="auto" w:sz="4" w:space="0"/>
              <w:right w:val="single" w:color="auto" w:sz="4" w:space="0"/>
            </w:tcBorders>
            <w:vAlign w:val="center"/>
          </w:tcPr>
          <w:p w14:paraId="5F3F9A58">
            <w:pPr>
              <w:autoSpaceDE w:val="0"/>
              <w:autoSpaceDN w:val="0"/>
              <w:spacing w:line="240" w:lineRule="auto"/>
              <w:jc w:val="center"/>
              <w:textAlignment w:val="baseline"/>
              <w:rPr>
                <w:color w:val="000000"/>
                <w:sz w:val="20"/>
                <w:szCs w:val="20"/>
              </w:rPr>
            </w:pPr>
            <w:r>
              <w:rPr>
                <w:color w:val="000000"/>
                <w:sz w:val="20"/>
                <w:szCs w:val="20"/>
              </w:rPr>
              <w:t>进行分区防渗，提氦装置区、生产废水收集管沟为重点防渗区，防渗性能不低于等效粘土防渗层 Mb≥6m，K≤1×10-7cm/s；装卸及储运单元为一般防渗区，防渗性能不低于等效粘土防渗层 Mb≥1.5m，K≤1×10-7cm/s；其余部分简单防渗。</w:t>
            </w:r>
          </w:p>
        </w:tc>
        <w:tc>
          <w:tcPr>
            <w:tcW w:w="771" w:type="pct"/>
            <w:tcBorders>
              <w:top w:val="single" w:color="auto" w:sz="4" w:space="0"/>
              <w:left w:val="single" w:color="auto" w:sz="4" w:space="0"/>
              <w:bottom w:val="single" w:color="auto" w:sz="4" w:space="0"/>
              <w:right w:val="single" w:color="auto" w:sz="4" w:space="0"/>
            </w:tcBorders>
            <w:vAlign w:val="center"/>
          </w:tcPr>
          <w:p w14:paraId="351C2244">
            <w:pPr>
              <w:autoSpaceDE w:val="0"/>
              <w:autoSpaceDN w:val="0"/>
              <w:spacing w:line="240" w:lineRule="auto"/>
              <w:jc w:val="center"/>
              <w:textAlignment w:val="baseline"/>
              <w:rPr>
                <w:color w:val="000000"/>
                <w:sz w:val="20"/>
                <w:szCs w:val="20"/>
              </w:rPr>
            </w:pPr>
            <w:r>
              <w:rPr>
                <w:color w:val="000000"/>
                <w:sz w:val="20"/>
                <w:szCs w:val="20"/>
              </w:rPr>
              <w:t>18</w:t>
            </w:r>
          </w:p>
        </w:tc>
      </w:tr>
      <w:tr w14:paraId="7583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9" w:type="pct"/>
            <w:vMerge w:val="continue"/>
            <w:tcBorders>
              <w:left w:val="single" w:color="auto" w:sz="4" w:space="0"/>
              <w:right w:val="single" w:color="auto" w:sz="4" w:space="0"/>
            </w:tcBorders>
            <w:vAlign w:val="center"/>
          </w:tcPr>
          <w:p w14:paraId="6A5328B5">
            <w:pPr>
              <w:autoSpaceDE w:val="0"/>
              <w:autoSpaceDN w:val="0"/>
              <w:spacing w:line="240" w:lineRule="auto"/>
              <w:jc w:val="center"/>
              <w:textAlignment w:val="baseline"/>
              <w:rPr>
                <w:color w:val="000000"/>
                <w:sz w:val="20"/>
                <w:szCs w:val="20"/>
              </w:rPr>
            </w:pPr>
          </w:p>
        </w:tc>
        <w:tc>
          <w:tcPr>
            <w:tcW w:w="1321" w:type="pct"/>
            <w:tcBorders>
              <w:top w:val="single" w:color="auto" w:sz="4" w:space="0"/>
              <w:left w:val="single" w:color="auto" w:sz="4" w:space="0"/>
              <w:bottom w:val="single" w:color="auto" w:sz="4" w:space="0"/>
              <w:right w:val="single" w:color="auto" w:sz="4" w:space="0"/>
            </w:tcBorders>
            <w:vAlign w:val="center"/>
          </w:tcPr>
          <w:p w14:paraId="375E6287">
            <w:pPr>
              <w:autoSpaceDE w:val="0"/>
              <w:autoSpaceDN w:val="0"/>
              <w:spacing w:line="240" w:lineRule="auto"/>
              <w:jc w:val="center"/>
              <w:textAlignment w:val="baseline"/>
              <w:rPr>
                <w:color w:val="000000"/>
                <w:sz w:val="20"/>
                <w:szCs w:val="20"/>
              </w:rPr>
            </w:pPr>
            <w:r>
              <w:rPr>
                <w:color w:val="000000"/>
                <w:sz w:val="20"/>
                <w:szCs w:val="20"/>
              </w:rPr>
              <w:t>地下水环境监控</w:t>
            </w:r>
          </w:p>
        </w:tc>
        <w:tc>
          <w:tcPr>
            <w:tcW w:w="2437" w:type="pct"/>
            <w:tcBorders>
              <w:top w:val="single" w:color="auto" w:sz="4" w:space="0"/>
              <w:left w:val="single" w:color="auto" w:sz="4" w:space="0"/>
              <w:bottom w:val="single" w:color="auto" w:sz="4" w:space="0"/>
              <w:right w:val="single" w:color="auto" w:sz="4" w:space="0"/>
            </w:tcBorders>
            <w:vAlign w:val="center"/>
          </w:tcPr>
          <w:p w14:paraId="67D93AB1">
            <w:pPr>
              <w:autoSpaceDE w:val="0"/>
              <w:autoSpaceDN w:val="0"/>
              <w:spacing w:line="240" w:lineRule="auto"/>
              <w:jc w:val="center"/>
              <w:textAlignment w:val="baseline"/>
              <w:rPr>
                <w:color w:val="000000"/>
                <w:sz w:val="20"/>
                <w:szCs w:val="20"/>
              </w:rPr>
            </w:pPr>
            <w:r>
              <w:rPr>
                <w:color w:val="000000"/>
                <w:sz w:val="20"/>
                <w:szCs w:val="20"/>
              </w:rPr>
              <w:t>在建设项目场地东南侧布设一个地下水监测点位，利用园区上游、下游各1个地下水监测点位。</w:t>
            </w:r>
          </w:p>
        </w:tc>
        <w:tc>
          <w:tcPr>
            <w:tcW w:w="771" w:type="pct"/>
            <w:tcBorders>
              <w:top w:val="single" w:color="auto" w:sz="4" w:space="0"/>
              <w:left w:val="single" w:color="auto" w:sz="4" w:space="0"/>
              <w:bottom w:val="single" w:color="auto" w:sz="4" w:space="0"/>
              <w:right w:val="single" w:color="auto" w:sz="4" w:space="0"/>
            </w:tcBorders>
            <w:vAlign w:val="center"/>
          </w:tcPr>
          <w:p w14:paraId="1BAF8EF0">
            <w:pPr>
              <w:autoSpaceDE w:val="0"/>
              <w:autoSpaceDN w:val="0"/>
              <w:spacing w:line="240" w:lineRule="auto"/>
              <w:jc w:val="center"/>
              <w:textAlignment w:val="baseline"/>
              <w:rPr>
                <w:color w:val="000000"/>
                <w:sz w:val="20"/>
                <w:szCs w:val="20"/>
              </w:rPr>
            </w:pPr>
            <w:r>
              <w:rPr>
                <w:color w:val="000000"/>
                <w:sz w:val="20"/>
                <w:szCs w:val="20"/>
              </w:rPr>
              <w:t>3</w:t>
            </w:r>
          </w:p>
        </w:tc>
      </w:tr>
      <w:tr w14:paraId="20ED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9" w:type="pct"/>
            <w:vMerge w:val="continue"/>
            <w:tcBorders>
              <w:left w:val="single" w:color="auto" w:sz="4" w:space="0"/>
              <w:right w:val="single" w:color="auto" w:sz="4" w:space="0"/>
            </w:tcBorders>
            <w:vAlign w:val="center"/>
          </w:tcPr>
          <w:p w14:paraId="61FE57EB">
            <w:pPr>
              <w:autoSpaceDE w:val="0"/>
              <w:autoSpaceDN w:val="0"/>
              <w:spacing w:line="240" w:lineRule="auto"/>
              <w:jc w:val="center"/>
              <w:textAlignment w:val="baseline"/>
              <w:rPr>
                <w:color w:val="000000"/>
                <w:sz w:val="20"/>
                <w:szCs w:val="20"/>
              </w:rPr>
            </w:pPr>
          </w:p>
        </w:tc>
        <w:tc>
          <w:tcPr>
            <w:tcW w:w="1321" w:type="pct"/>
            <w:tcBorders>
              <w:top w:val="single" w:color="auto" w:sz="4" w:space="0"/>
              <w:left w:val="single" w:color="auto" w:sz="4" w:space="0"/>
              <w:bottom w:val="single" w:color="auto" w:sz="4" w:space="0"/>
              <w:right w:val="single" w:color="auto" w:sz="4" w:space="0"/>
            </w:tcBorders>
            <w:vAlign w:val="center"/>
          </w:tcPr>
          <w:p w14:paraId="48401D35">
            <w:pPr>
              <w:autoSpaceDE w:val="0"/>
              <w:autoSpaceDN w:val="0"/>
              <w:spacing w:line="240" w:lineRule="auto"/>
              <w:jc w:val="center"/>
              <w:textAlignment w:val="baseline"/>
              <w:rPr>
                <w:color w:val="000000"/>
                <w:sz w:val="20"/>
                <w:szCs w:val="20"/>
              </w:rPr>
            </w:pPr>
            <w:r>
              <w:rPr>
                <w:color w:val="000000"/>
                <w:sz w:val="20"/>
                <w:szCs w:val="20"/>
              </w:rPr>
              <w:t>土壤环境监控</w:t>
            </w:r>
          </w:p>
        </w:tc>
        <w:tc>
          <w:tcPr>
            <w:tcW w:w="2437" w:type="pct"/>
            <w:tcBorders>
              <w:top w:val="single" w:color="auto" w:sz="4" w:space="0"/>
              <w:left w:val="single" w:color="auto" w:sz="4" w:space="0"/>
              <w:bottom w:val="single" w:color="auto" w:sz="4" w:space="0"/>
              <w:right w:val="single" w:color="auto" w:sz="4" w:space="0"/>
            </w:tcBorders>
            <w:vAlign w:val="center"/>
          </w:tcPr>
          <w:p w14:paraId="400C45B7">
            <w:pPr>
              <w:autoSpaceDE w:val="0"/>
              <w:autoSpaceDN w:val="0"/>
              <w:spacing w:line="240" w:lineRule="auto"/>
              <w:jc w:val="center"/>
              <w:textAlignment w:val="baseline"/>
              <w:rPr>
                <w:color w:val="000000"/>
                <w:sz w:val="20"/>
                <w:szCs w:val="20"/>
              </w:rPr>
            </w:pPr>
            <w:r>
              <w:rPr>
                <w:color w:val="000000"/>
                <w:sz w:val="20"/>
                <w:szCs w:val="20"/>
              </w:rPr>
              <w:t>在建设项目工艺装置区东侧（表层样）、工艺装置区内（柱状样）和装卸及储存单元（表层样）各布设一个监测点位，共计三个监测点位，分别为背景监测点、垂直入渗监控点、大气沉降监控点。</w:t>
            </w:r>
          </w:p>
        </w:tc>
        <w:tc>
          <w:tcPr>
            <w:tcW w:w="771" w:type="pct"/>
            <w:tcBorders>
              <w:top w:val="single" w:color="auto" w:sz="4" w:space="0"/>
              <w:left w:val="single" w:color="auto" w:sz="4" w:space="0"/>
              <w:bottom w:val="single" w:color="auto" w:sz="4" w:space="0"/>
              <w:right w:val="single" w:color="auto" w:sz="4" w:space="0"/>
            </w:tcBorders>
            <w:vAlign w:val="center"/>
          </w:tcPr>
          <w:p w14:paraId="27B811D6">
            <w:pPr>
              <w:autoSpaceDE w:val="0"/>
              <w:autoSpaceDN w:val="0"/>
              <w:spacing w:line="240" w:lineRule="auto"/>
              <w:jc w:val="center"/>
              <w:textAlignment w:val="baseline"/>
              <w:rPr>
                <w:color w:val="000000"/>
                <w:sz w:val="20"/>
                <w:szCs w:val="20"/>
              </w:rPr>
            </w:pPr>
            <w:r>
              <w:rPr>
                <w:color w:val="000000"/>
                <w:sz w:val="20"/>
                <w:szCs w:val="20"/>
              </w:rPr>
              <w:t>2</w:t>
            </w:r>
          </w:p>
        </w:tc>
      </w:tr>
      <w:tr w14:paraId="7D3C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91" w:type="pct"/>
            <w:gridSpan w:val="2"/>
            <w:vMerge w:val="restart"/>
            <w:tcBorders>
              <w:top w:val="single" w:color="auto" w:sz="4" w:space="0"/>
              <w:left w:val="single" w:color="auto" w:sz="4" w:space="0"/>
              <w:right w:val="single" w:color="auto" w:sz="4" w:space="0"/>
            </w:tcBorders>
            <w:vAlign w:val="center"/>
          </w:tcPr>
          <w:p w14:paraId="607C4CFA">
            <w:pPr>
              <w:autoSpaceDE w:val="0"/>
              <w:autoSpaceDN w:val="0"/>
              <w:spacing w:line="240" w:lineRule="auto"/>
              <w:jc w:val="center"/>
              <w:textAlignment w:val="baseline"/>
              <w:rPr>
                <w:color w:val="000000"/>
                <w:sz w:val="20"/>
                <w:szCs w:val="20"/>
              </w:rPr>
            </w:pPr>
            <w:r>
              <w:rPr>
                <w:color w:val="000000"/>
                <w:sz w:val="20"/>
                <w:szCs w:val="20"/>
              </w:rPr>
              <w:t>环境风险</w:t>
            </w:r>
          </w:p>
        </w:tc>
        <w:tc>
          <w:tcPr>
            <w:tcW w:w="2437" w:type="pct"/>
            <w:tcBorders>
              <w:top w:val="single" w:color="auto" w:sz="4" w:space="0"/>
              <w:left w:val="single" w:color="auto" w:sz="4" w:space="0"/>
              <w:bottom w:val="single" w:color="auto" w:sz="4" w:space="0"/>
              <w:right w:val="single" w:color="auto" w:sz="4" w:space="0"/>
            </w:tcBorders>
            <w:vAlign w:val="center"/>
          </w:tcPr>
          <w:p w14:paraId="6BA91804">
            <w:pPr>
              <w:autoSpaceDE w:val="0"/>
              <w:autoSpaceDN w:val="0"/>
              <w:spacing w:line="240" w:lineRule="auto"/>
              <w:jc w:val="center"/>
              <w:textAlignment w:val="baseline"/>
              <w:rPr>
                <w:color w:val="000000"/>
                <w:sz w:val="20"/>
                <w:szCs w:val="20"/>
              </w:rPr>
            </w:pPr>
            <w:r>
              <w:rPr>
                <w:color w:val="000000"/>
                <w:sz w:val="20"/>
                <w:szCs w:val="20"/>
              </w:rPr>
              <w:t>项目提氦装置区、钢瓶充装区设边沟和收集井，与现有事故废水收集系统连通，事故水池依托LNG工厂现有事故水池。提氦装置区设置可燃气体泄漏探测器等。</w:t>
            </w:r>
          </w:p>
        </w:tc>
        <w:tc>
          <w:tcPr>
            <w:tcW w:w="771" w:type="pct"/>
            <w:vMerge w:val="restart"/>
            <w:tcBorders>
              <w:top w:val="single" w:color="auto" w:sz="4" w:space="0"/>
              <w:left w:val="single" w:color="auto" w:sz="4" w:space="0"/>
              <w:right w:val="single" w:color="auto" w:sz="4" w:space="0"/>
            </w:tcBorders>
            <w:vAlign w:val="center"/>
          </w:tcPr>
          <w:p w14:paraId="3A177023">
            <w:pPr>
              <w:autoSpaceDE w:val="0"/>
              <w:autoSpaceDN w:val="0"/>
              <w:spacing w:line="240" w:lineRule="auto"/>
              <w:jc w:val="center"/>
              <w:textAlignment w:val="baseline"/>
              <w:rPr>
                <w:color w:val="000000"/>
                <w:sz w:val="20"/>
                <w:szCs w:val="20"/>
              </w:rPr>
            </w:pPr>
            <w:r>
              <w:rPr>
                <w:color w:val="000000"/>
                <w:sz w:val="20"/>
                <w:szCs w:val="20"/>
              </w:rPr>
              <w:t>15</w:t>
            </w:r>
          </w:p>
        </w:tc>
      </w:tr>
      <w:tr w14:paraId="36B0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91" w:type="pct"/>
            <w:gridSpan w:val="2"/>
            <w:vMerge w:val="continue"/>
            <w:tcBorders>
              <w:left w:val="single" w:color="auto" w:sz="4" w:space="0"/>
              <w:bottom w:val="single" w:color="auto" w:sz="4" w:space="0"/>
              <w:right w:val="single" w:color="auto" w:sz="4" w:space="0"/>
            </w:tcBorders>
            <w:vAlign w:val="center"/>
          </w:tcPr>
          <w:p w14:paraId="7444900A">
            <w:pPr>
              <w:autoSpaceDE w:val="0"/>
              <w:autoSpaceDN w:val="0"/>
              <w:spacing w:line="240" w:lineRule="auto"/>
              <w:jc w:val="center"/>
              <w:textAlignment w:val="baseline"/>
              <w:rPr>
                <w:color w:val="000000"/>
                <w:sz w:val="20"/>
                <w:szCs w:val="20"/>
              </w:rPr>
            </w:pPr>
          </w:p>
        </w:tc>
        <w:tc>
          <w:tcPr>
            <w:tcW w:w="2437" w:type="pct"/>
            <w:tcBorders>
              <w:top w:val="single" w:color="auto" w:sz="4" w:space="0"/>
              <w:left w:val="single" w:color="auto" w:sz="4" w:space="0"/>
              <w:bottom w:val="single" w:color="auto" w:sz="4" w:space="0"/>
              <w:right w:val="single" w:color="auto" w:sz="4" w:space="0"/>
            </w:tcBorders>
            <w:vAlign w:val="center"/>
          </w:tcPr>
          <w:p w14:paraId="4106CBE4">
            <w:pPr>
              <w:autoSpaceDE w:val="0"/>
              <w:autoSpaceDN w:val="0"/>
              <w:spacing w:line="240" w:lineRule="auto"/>
              <w:jc w:val="center"/>
              <w:textAlignment w:val="baseline"/>
              <w:rPr>
                <w:color w:val="000000"/>
                <w:sz w:val="20"/>
                <w:szCs w:val="20"/>
              </w:rPr>
            </w:pPr>
            <w:r>
              <w:rPr>
                <w:color w:val="000000"/>
                <w:sz w:val="20"/>
                <w:szCs w:val="20"/>
              </w:rPr>
              <w:t>设置应急设施，配备物资，修订事故应急救援预案等</w:t>
            </w:r>
          </w:p>
        </w:tc>
        <w:tc>
          <w:tcPr>
            <w:tcW w:w="771" w:type="pct"/>
            <w:vMerge w:val="continue"/>
            <w:tcBorders>
              <w:left w:val="single" w:color="auto" w:sz="4" w:space="0"/>
              <w:bottom w:val="single" w:color="auto" w:sz="4" w:space="0"/>
              <w:right w:val="single" w:color="auto" w:sz="4" w:space="0"/>
            </w:tcBorders>
            <w:vAlign w:val="center"/>
          </w:tcPr>
          <w:p w14:paraId="00F738C8">
            <w:pPr>
              <w:autoSpaceDE w:val="0"/>
              <w:autoSpaceDN w:val="0"/>
              <w:spacing w:line="240" w:lineRule="auto"/>
              <w:jc w:val="center"/>
              <w:textAlignment w:val="baseline"/>
              <w:rPr>
                <w:color w:val="000000"/>
                <w:sz w:val="20"/>
                <w:szCs w:val="20"/>
              </w:rPr>
            </w:pPr>
          </w:p>
        </w:tc>
      </w:tr>
      <w:tr w14:paraId="6A87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91" w:type="pct"/>
            <w:gridSpan w:val="2"/>
            <w:tcBorders>
              <w:top w:val="single" w:color="auto" w:sz="4" w:space="0"/>
              <w:left w:val="single" w:color="auto" w:sz="4" w:space="0"/>
              <w:bottom w:val="single" w:color="auto" w:sz="4" w:space="0"/>
              <w:right w:val="single" w:color="auto" w:sz="4" w:space="0"/>
            </w:tcBorders>
            <w:vAlign w:val="center"/>
          </w:tcPr>
          <w:p w14:paraId="1A1A1A8D">
            <w:pPr>
              <w:autoSpaceDE w:val="0"/>
              <w:autoSpaceDN w:val="0"/>
              <w:spacing w:line="240" w:lineRule="auto"/>
              <w:jc w:val="center"/>
              <w:textAlignment w:val="baseline"/>
              <w:rPr>
                <w:color w:val="000000"/>
                <w:sz w:val="20"/>
                <w:szCs w:val="20"/>
              </w:rPr>
            </w:pPr>
            <w:r>
              <w:rPr>
                <w:color w:val="000000"/>
                <w:sz w:val="20"/>
                <w:szCs w:val="20"/>
              </w:rPr>
              <w:t>合计</w:t>
            </w:r>
          </w:p>
        </w:tc>
        <w:tc>
          <w:tcPr>
            <w:tcW w:w="2437" w:type="pct"/>
            <w:tcBorders>
              <w:top w:val="single" w:color="auto" w:sz="4" w:space="0"/>
              <w:left w:val="single" w:color="auto" w:sz="4" w:space="0"/>
              <w:bottom w:val="single" w:color="auto" w:sz="4" w:space="0"/>
              <w:right w:val="single" w:color="auto" w:sz="4" w:space="0"/>
            </w:tcBorders>
            <w:vAlign w:val="center"/>
          </w:tcPr>
          <w:p w14:paraId="1E08C824">
            <w:pPr>
              <w:autoSpaceDE w:val="0"/>
              <w:autoSpaceDN w:val="0"/>
              <w:spacing w:line="240" w:lineRule="auto"/>
              <w:jc w:val="center"/>
              <w:textAlignment w:val="baseline"/>
              <w:rPr>
                <w:color w:val="000000"/>
                <w:sz w:val="20"/>
                <w:szCs w:val="20"/>
              </w:rPr>
            </w:pPr>
            <w:r>
              <w:rPr>
                <w:color w:val="000000"/>
                <w:sz w:val="20"/>
                <w:szCs w:val="20"/>
              </w:rPr>
              <w:t>/</w:t>
            </w:r>
          </w:p>
        </w:tc>
        <w:tc>
          <w:tcPr>
            <w:tcW w:w="771" w:type="pct"/>
            <w:tcBorders>
              <w:top w:val="single" w:color="auto" w:sz="4" w:space="0"/>
              <w:left w:val="single" w:color="auto" w:sz="4" w:space="0"/>
              <w:bottom w:val="single" w:color="auto" w:sz="4" w:space="0"/>
              <w:right w:val="single" w:color="auto" w:sz="4" w:space="0"/>
            </w:tcBorders>
            <w:vAlign w:val="center"/>
          </w:tcPr>
          <w:p w14:paraId="18E48525">
            <w:pPr>
              <w:autoSpaceDE w:val="0"/>
              <w:autoSpaceDN w:val="0"/>
              <w:spacing w:line="240" w:lineRule="auto"/>
              <w:jc w:val="center"/>
              <w:textAlignment w:val="baseline"/>
              <w:rPr>
                <w:color w:val="000000"/>
                <w:sz w:val="20"/>
                <w:szCs w:val="20"/>
              </w:rPr>
            </w:pPr>
            <w:r>
              <w:rPr>
                <w:color w:val="000000"/>
                <w:sz w:val="20"/>
                <w:szCs w:val="20"/>
              </w:rPr>
              <w:t>40</w:t>
            </w:r>
          </w:p>
        </w:tc>
      </w:tr>
      <w:bookmarkEnd w:id="712"/>
      <w:bookmarkEnd w:id="713"/>
    </w:tbl>
    <w:p w14:paraId="70445324">
      <w:pPr>
        <w:pStyle w:val="2"/>
        <w:ind w:left="480"/>
        <w:rPr>
          <w:rFonts w:ascii="Times New Roman" w:hAnsi="Times New Roman" w:cs="Times New Roman"/>
          <w:color w:val="000000"/>
        </w:rPr>
      </w:pPr>
    </w:p>
    <w:p w14:paraId="27C5997A">
      <w:pPr>
        <w:pStyle w:val="2"/>
        <w:ind w:left="480"/>
        <w:rPr>
          <w:rFonts w:ascii="Times New Roman" w:hAnsi="Times New Roman" w:cs="Times New Roman"/>
          <w:color w:val="000000"/>
        </w:rPr>
      </w:pPr>
    </w:p>
    <w:p w14:paraId="06845D52">
      <w:pPr>
        <w:pStyle w:val="2"/>
        <w:ind w:left="480"/>
        <w:rPr>
          <w:rFonts w:ascii="Times New Roman" w:hAnsi="Times New Roman" w:cs="Times New Roman"/>
          <w:color w:val="000000"/>
        </w:rPr>
        <w:sectPr>
          <w:pgSz w:w="11905" w:h="16838"/>
          <w:pgMar w:top="1440" w:right="1803" w:bottom="1440" w:left="1803" w:header="850" w:footer="907" w:gutter="0"/>
          <w:cols w:space="720" w:num="1"/>
          <w:docGrid w:type="lines" w:linePitch="332" w:charSpace="0"/>
        </w:sectPr>
      </w:pPr>
    </w:p>
    <w:p w14:paraId="7E8BD22F">
      <w:pPr>
        <w:pStyle w:val="781"/>
        <w:rPr>
          <w:color w:val="000000"/>
        </w:rPr>
      </w:pPr>
      <w:bookmarkStart w:id="751" w:name="_Toc449353985"/>
      <w:bookmarkStart w:id="752" w:name="_Toc461100540"/>
      <w:bookmarkStart w:id="753" w:name="_Toc15499421"/>
      <w:bookmarkStart w:id="754" w:name="_Toc364270579"/>
      <w:bookmarkStart w:id="755" w:name="_Toc3744"/>
      <w:bookmarkStart w:id="756" w:name="_Toc450674671"/>
      <w:bookmarkStart w:id="757" w:name="_Toc15499661"/>
      <w:bookmarkStart w:id="758" w:name="_Toc21961541"/>
      <w:bookmarkStart w:id="759" w:name="_Toc458070980"/>
      <w:bookmarkStart w:id="760" w:name="_Toc458021411"/>
      <w:r>
        <w:rPr>
          <w:color w:val="000000"/>
        </w:rPr>
        <w:t>8 环境经济损益分析</w:t>
      </w:r>
      <w:bookmarkEnd w:id="751"/>
      <w:bookmarkEnd w:id="752"/>
      <w:bookmarkEnd w:id="753"/>
      <w:bookmarkEnd w:id="754"/>
      <w:bookmarkEnd w:id="755"/>
      <w:bookmarkEnd w:id="756"/>
      <w:bookmarkEnd w:id="757"/>
      <w:bookmarkEnd w:id="758"/>
      <w:bookmarkEnd w:id="759"/>
      <w:bookmarkEnd w:id="760"/>
    </w:p>
    <w:p w14:paraId="1D31B1A1">
      <w:pPr>
        <w:tabs>
          <w:tab w:val="left" w:pos="993"/>
        </w:tabs>
        <w:ind w:firstLine="480"/>
        <w:rPr>
          <w:color w:val="000000"/>
        </w:rPr>
      </w:pPr>
      <w:r>
        <w:rPr>
          <w:color w:val="000000"/>
        </w:rPr>
        <w:t>环境影响经济损益分析，就是估算某一项目所引起环境影响的经济价值，并将环境影响的价值纳入项目的经济分析（即费用效益分析）中去，以判断这些环境影响对该项目的可行性会产生多大的影响。对负面的影响，估算出的是环境成本；对正面的影响，估算出的是环境效益。</w:t>
      </w:r>
    </w:p>
    <w:p w14:paraId="39F391B1">
      <w:pPr>
        <w:tabs>
          <w:tab w:val="left" w:pos="993"/>
        </w:tabs>
        <w:ind w:firstLine="480"/>
        <w:rPr>
          <w:color w:val="000000"/>
        </w:rPr>
      </w:pPr>
      <w:r>
        <w:rPr>
          <w:color w:val="000000"/>
        </w:rPr>
        <w:t>环境影响经济损益分析是通过核算建设项目拟投入的环保投资和所能收到的环保效益，比较其大小，以评估建设项目环保投资的经济价值，使建设项目设计更加合理、更加完善。</w:t>
      </w:r>
    </w:p>
    <w:p w14:paraId="1C035483">
      <w:pPr>
        <w:tabs>
          <w:tab w:val="left" w:pos="993"/>
        </w:tabs>
        <w:ind w:firstLine="480"/>
        <w:rPr>
          <w:color w:val="000000"/>
        </w:rPr>
      </w:pPr>
      <w:r>
        <w:rPr>
          <w:color w:val="000000"/>
        </w:rPr>
        <w:t>本评价采用费用—效益法，分析比较本项目的环保费用与环保效益的大小。</w:t>
      </w:r>
      <w:bookmarkStart w:id="761" w:name="_Toc235859625"/>
      <w:bookmarkStart w:id="762" w:name="_Toc239415864"/>
      <w:bookmarkStart w:id="763" w:name="_Toc235850535"/>
      <w:bookmarkStart w:id="764" w:name="_Toc257212867"/>
    </w:p>
    <w:bookmarkEnd w:id="761"/>
    <w:bookmarkEnd w:id="762"/>
    <w:bookmarkEnd w:id="763"/>
    <w:bookmarkEnd w:id="764"/>
    <w:p w14:paraId="02E3981B">
      <w:pPr>
        <w:pStyle w:val="770"/>
        <w:rPr>
          <w:color w:val="000000"/>
        </w:rPr>
      </w:pPr>
      <w:bookmarkStart w:id="765" w:name="_Toc27471"/>
      <w:r>
        <w:rPr>
          <w:color w:val="000000"/>
        </w:rPr>
        <w:fldChar w:fldCharType="begin"/>
      </w:r>
      <w:r>
        <w:rPr>
          <w:color w:val="000000"/>
        </w:rPr>
        <w:instrText xml:space="preserve"> HYPERLINK \l "_Toc246479247" </w:instrText>
      </w:r>
      <w:r>
        <w:rPr>
          <w:color w:val="000000"/>
        </w:rPr>
        <w:fldChar w:fldCharType="separate"/>
      </w:r>
      <w:bookmarkStart w:id="766" w:name="_Toc458021412"/>
      <w:bookmarkStart w:id="767" w:name="_Toc364270580"/>
      <w:bookmarkStart w:id="768" w:name="_Toc461100541"/>
      <w:bookmarkStart w:id="769" w:name="_Toc265175151"/>
      <w:bookmarkStart w:id="770" w:name="_Toc450674672"/>
      <w:bookmarkStart w:id="771" w:name="_Toc21961542"/>
      <w:bookmarkStart w:id="772" w:name="_Toc458070981"/>
      <w:bookmarkStart w:id="773" w:name="_Toc449353986"/>
      <w:bookmarkStart w:id="774" w:name="_Toc15499662"/>
      <w:bookmarkStart w:id="775" w:name="_Toc15499422"/>
      <w:r>
        <w:rPr>
          <w:color w:val="000000"/>
        </w:rPr>
        <w:t>8.1 环境保护费用</w:t>
      </w:r>
      <w:bookmarkEnd w:id="766"/>
      <w:bookmarkEnd w:id="767"/>
      <w:bookmarkEnd w:id="768"/>
      <w:bookmarkEnd w:id="769"/>
      <w:bookmarkEnd w:id="770"/>
      <w:bookmarkEnd w:id="771"/>
      <w:bookmarkEnd w:id="772"/>
      <w:bookmarkEnd w:id="773"/>
      <w:bookmarkEnd w:id="774"/>
      <w:bookmarkEnd w:id="775"/>
      <w:r>
        <w:rPr>
          <w:color w:val="000000"/>
        </w:rPr>
        <w:fldChar w:fldCharType="end"/>
      </w:r>
      <w:bookmarkEnd w:id="765"/>
    </w:p>
    <w:p w14:paraId="6BB19E10">
      <w:pPr>
        <w:pStyle w:val="771"/>
        <w:rPr>
          <w:color w:val="000000"/>
        </w:rPr>
      </w:pPr>
      <w:r>
        <w:fldChar w:fldCharType="begin"/>
      </w:r>
      <w:r>
        <w:instrText xml:space="preserve"> HYPERLINK \l "_Toc246479248" </w:instrText>
      </w:r>
      <w:r>
        <w:fldChar w:fldCharType="separate"/>
      </w:r>
      <w:bookmarkStart w:id="776" w:name="_Toc449353987"/>
      <w:bookmarkStart w:id="777" w:name="_Toc21961543"/>
      <w:bookmarkStart w:id="778" w:name="_Toc461100542"/>
      <w:bookmarkStart w:id="779" w:name="_Toc15499663"/>
      <w:bookmarkStart w:id="780" w:name="_Toc450674673"/>
      <w:bookmarkStart w:id="781" w:name="_Toc458070982"/>
      <w:bookmarkStart w:id="782" w:name="_Toc458021413"/>
      <w:bookmarkStart w:id="783" w:name="_Toc15499423"/>
      <w:r>
        <w:rPr>
          <w:color w:val="000000"/>
        </w:rPr>
        <w:t>8.1.1环保设施投资</w:t>
      </w:r>
      <w:bookmarkEnd w:id="776"/>
      <w:bookmarkEnd w:id="777"/>
      <w:bookmarkEnd w:id="778"/>
      <w:bookmarkEnd w:id="779"/>
      <w:bookmarkEnd w:id="780"/>
      <w:bookmarkEnd w:id="781"/>
      <w:bookmarkEnd w:id="782"/>
      <w:bookmarkEnd w:id="783"/>
      <w:r>
        <w:rPr>
          <w:color w:val="000000"/>
        </w:rPr>
        <w:fldChar w:fldCharType="end"/>
      </w:r>
    </w:p>
    <w:p w14:paraId="27E4B723">
      <w:pPr>
        <w:tabs>
          <w:tab w:val="left" w:pos="993"/>
        </w:tabs>
        <w:ind w:firstLine="480"/>
        <w:rPr>
          <w:color w:val="000000"/>
        </w:rPr>
      </w:pPr>
      <w:r>
        <w:rPr>
          <w:color w:val="000000"/>
        </w:rPr>
        <w:t>本项目环保投资共计为40万元，主要用于本项目噪声治理，地下水及土壤污染防控，环境风险防控等。</w:t>
      </w:r>
    </w:p>
    <w:p w14:paraId="69F6AD43">
      <w:pPr>
        <w:pStyle w:val="771"/>
        <w:rPr>
          <w:color w:val="000000"/>
        </w:rPr>
      </w:pPr>
      <w:r>
        <w:fldChar w:fldCharType="begin"/>
      </w:r>
      <w:r>
        <w:instrText xml:space="preserve"> HYPERLINK \l "_Toc246479249" </w:instrText>
      </w:r>
      <w:r>
        <w:fldChar w:fldCharType="separate"/>
      </w:r>
      <w:bookmarkStart w:id="784" w:name="_Toc15499664"/>
      <w:bookmarkStart w:id="785" w:name="_Toc450674674"/>
      <w:bookmarkStart w:id="786" w:name="_Toc15499424"/>
      <w:bookmarkStart w:id="787" w:name="_Toc21961544"/>
      <w:bookmarkStart w:id="788" w:name="_Toc461100543"/>
      <w:bookmarkStart w:id="789" w:name="_Toc458070983"/>
      <w:bookmarkStart w:id="790" w:name="_Toc449353988"/>
      <w:bookmarkStart w:id="791" w:name="_Toc458021414"/>
      <w:r>
        <w:rPr>
          <w:color w:val="000000"/>
        </w:rPr>
        <w:t>8.1.2环保运行费用</w:t>
      </w:r>
      <w:bookmarkEnd w:id="784"/>
      <w:bookmarkEnd w:id="785"/>
      <w:bookmarkEnd w:id="786"/>
      <w:bookmarkEnd w:id="787"/>
      <w:bookmarkEnd w:id="788"/>
      <w:bookmarkEnd w:id="789"/>
      <w:bookmarkEnd w:id="790"/>
      <w:bookmarkEnd w:id="791"/>
      <w:r>
        <w:rPr>
          <w:color w:val="000000"/>
        </w:rPr>
        <w:fldChar w:fldCharType="end"/>
      </w:r>
    </w:p>
    <w:p w14:paraId="1BF7B938">
      <w:pPr>
        <w:tabs>
          <w:tab w:val="left" w:pos="993"/>
        </w:tabs>
        <w:ind w:firstLine="480"/>
        <w:rPr>
          <w:color w:val="000000"/>
        </w:rPr>
      </w:pPr>
      <w:r>
        <w:rPr>
          <w:color w:val="000000"/>
        </w:rPr>
        <w:t>运行费用是充分保证环保措施的使用效率、维持其正常运行而消耗的费用，主要包括材料费、水电费、设备维护费用等（不包含人工费）。经估算。工程运行生产后，环保设施运行费用预计为5万元/a。</w:t>
      </w:r>
    </w:p>
    <w:p w14:paraId="45E7F058">
      <w:pPr>
        <w:pStyle w:val="771"/>
        <w:rPr>
          <w:color w:val="000000"/>
        </w:rPr>
      </w:pPr>
      <w:r>
        <w:fldChar w:fldCharType="begin"/>
      </w:r>
      <w:r>
        <w:instrText xml:space="preserve"> HYPERLINK \l "_Toc246479250" </w:instrText>
      </w:r>
      <w:r>
        <w:fldChar w:fldCharType="separate"/>
      </w:r>
      <w:bookmarkStart w:id="792" w:name="_Toc458021415"/>
      <w:bookmarkStart w:id="793" w:name="_Toc449353989"/>
      <w:bookmarkStart w:id="794" w:name="_Toc461100544"/>
      <w:bookmarkStart w:id="795" w:name="_Toc458070984"/>
      <w:bookmarkStart w:id="796" w:name="_Toc450674675"/>
      <w:bookmarkStart w:id="797" w:name="_Toc15499425"/>
      <w:bookmarkStart w:id="798" w:name="_Toc21961545"/>
      <w:bookmarkStart w:id="799" w:name="_Toc15499665"/>
      <w:r>
        <w:rPr>
          <w:color w:val="000000"/>
        </w:rPr>
        <w:t>8.2.3环境保护费用</w:t>
      </w:r>
      <w:bookmarkEnd w:id="792"/>
      <w:bookmarkEnd w:id="793"/>
      <w:bookmarkEnd w:id="794"/>
      <w:bookmarkEnd w:id="795"/>
      <w:bookmarkEnd w:id="796"/>
      <w:bookmarkEnd w:id="797"/>
      <w:bookmarkEnd w:id="798"/>
      <w:bookmarkEnd w:id="799"/>
      <w:r>
        <w:rPr>
          <w:color w:val="000000"/>
        </w:rPr>
        <w:fldChar w:fldCharType="end"/>
      </w:r>
    </w:p>
    <w:p w14:paraId="059042C6">
      <w:pPr>
        <w:tabs>
          <w:tab w:val="left" w:pos="993"/>
        </w:tabs>
        <w:ind w:firstLine="480"/>
        <w:rPr>
          <w:color w:val="000000"/>
        </w:rPr>
      </w:pPr>
      <w:r>
        <w:rPr>
          <w:color w:val="000000"/>
        </w:rPr>
        <w:t>根据前述分析，本项目每年环保费用为45万元。</w:t>
      </w:r>
    </w:p>
    <w:p w14:paraId="6317B810">
      <w:pPr>
        <w:pStyle w:val="770"/>
        <w:rPr>
          <w:color w:val="000000"/>
        </w:rPr>
      </w:pPr>
      <w:bookmarkStart w:id="800" w:name="_Toc29658"/>
      <w:r>
        <w:rPr>
          <w:color w:val="000000"/>
        </w:rPr>
        <w:fldChar w:fldCharType="begin"/>
      </w:r>
      <w:r>
        <w:rPr>
          <w:color w:val="000000"/>
        </w:rPr>
        <w:instrText xml:space="preserve"> HYPERLINK \l "_Toc246479251" </w:instrText>
      </w:r>
      <w:r>
        <w:rPr>
          <w:color w:val="000000"/>
        </w:rPr>
        <w:fldChar w:fldCharType="separate"/>
      </w:r>
      <w:bookmarkStart w:id="801" w:name="_Toc458021416"/>
      <w:bookmarkStart w:id="802" w:name="_Toc458070985"/>
      <w:bookmarkStart w:id="803" w:name="_Toc15499426"/>
      <w:bookmarkStart w:id="804" w:name="_Toc265175152"/>
      <w:bookmarkStart w:id="805" w:name="_Toc21961546"/>
      <w:bookmarkStart w:id="806" w:name="_Toc450674676"/>
      <w:bookmarkStart w:id="807" w:name="_Toc461100545"/>
      <w:bookmarkStart w:id="808" w:name="_Toc364270581"/>
      <w:bookmarkStart w:id="809" w:name="_Toc449353990"/>
      <w:bookmarkStart w:id="810" w:name="_Toc15499666"/>
      <w:r>
        <w:rPr>
          <w:color w:val="000000"/>
        </w:rPr>
        <w:t>8.2 环境保护效益</w:t>
      </w:r>
      <w:bookmarkEnd w:id="801"/>
      <w:bookmarkEnd w:id="802"/>
      <w:bookmarkEnd w:id="803"/>
      <w:bookmarkEnd w:id="804"/>
      <w:bookmarkEnd w:id="805"/>
      <w:bookmarkEnd w:id="806"/>
      <w:bookmarkEnd w:id="807"/>
      <w:bookmarkEnd w:id="808"/>
      <w:bookmarkEnd w:id="809"/>
      <w:bookmarkEnd w:id="810"/>
      <w:r>
        <w:rPr>
          <w:color w:val="000000"/>
        </w:rPr>
        <w:fldChar w:fldCharType="end"/>
      </w:r>
      <w:bookmarkEnd w:id="800"/>
    </w:p>
    <w:p w14:paraId="2D799437">
      <w:pPr>
        <w:tabs>
          <w:tab w:val="left" w:pos="993"/>
        </w:tabs>
        <w:ind w:firstLine="480"/>
        <w:rPr>
          <w:color w:val="000000"/>
        </w:rPr>
      </w:pPr>
      <w:r>
        <w:rPr>
          <w:color w:val="000000"/>
        </w:rPr>
        <w:t>拟建装置的环境保护效益就是指环境污染控制投资费用所能获取的效益，它一般包括直接经济效益和间接经济效益。</w:t>
      </w:r>
    </w:p>
    <w:p w14:paraId="108C6279">
      <w:pPr>
        <w:pStyle w:val="771"/>
        <w:rPr>
          <w:color w:val="000000"/>
        </w:rPr>
      </w:pPr>
      <w:r>
        <w:fldChar w:fldCharType="begin"/>
      </w:r>
      <w:r>
        <w:instrText xml:space="preserve"> HYPERLINK \l "_Toc246479252" </w:instrText>
      </w:r>
      <w:r>
        <w:fldChar w:fldCharType="separate"/>
      </w:r>
      <w:bookmarkStart w:id="811" w:name="_Toc458070986"/>
      <w:bookmarkStart w:id="812" w:name="_Toc15499427"/>
      <w:bookmarkStart w:id="813" w:name="_Toc21961547"/>
      <w:bookmarkStart w:id="814" w:name="_Toc461100546"/>
      <w:bookmarkStart w:id="815" w:name="_Toc450674677"/>
      <w:bookmarkStart w:id="816" w:name="_Toc458021417"/>
      <w:bookmarkStart w:id="817" w:name="_Toc449353991"/>
      <w:bookmarkStart w:id="818" w:name="_Toc15499667"/>
      <w:r>
        <w:rPr>
          <w:color w:val="000000"/>
        </w:rPr>
        <w:t>8.2.1直接经济效益</w:t>
      </w:r>
      <w:bookmarkEnd w:id="811"/>
      <w:bookmarkEnd w:id="812"/>
      <w:bookmarkEnd w:id="813"/>
      <w:bookmarkEnd w:id="814"/>
      <w:bookmarkEnd w:id="815"/>
      <w:bookmarkEnd w:id="816"/>
      <w:bookmarkEnd w:id="817"/>
      <w:bookmarkEnd w:id="818"/>
      <w:r>
        <w:rPr>
          <w:color w:val="000000"/>
        </w:rPr>
        <w:fldChar w:fldCharType="end"/>
      </w:r>
    </w:p>
    <w:p w14:paraId="55113766">
      <w:pPr>
        <w:ind w:firstLine="480"/>
        <w:rPr>
          <w:color w:val="000000"/>
        </w:rPr>
      </w:pPr>
      <w:r>
        <w:rPr>
          <w:color w:val="000000"/>
          <w:szCs w:val="24"/>
        </w:rPr>
        <w:t>对拟建项目而言，环保治理无明显直接经济效益。</w:t>
      </w:r>
    </w:p>
    <w:p w14:paraId="5C58A2DB">
      <w:pPr>
        <w:pStyle w:val="771"/>
        <w:rPr>
          <w:color w:val="000000"/>
        </w:rPr>
      </w:pPr>
      <w:r>
        <w:fldChar w:fldCharType="begin"/>
      </w:r>
      <w:r>
        <w:instrText xml:space="preserve"> HYPERLINK \l "_Toc246479253" </w:instrText>
      </w:r>
      <w:r>
        <w:fldChar w:fldCharType="separate"/>
      </w:r>
      <w:bookmarkStart w:id="819" w:name="_Toc15499668"/>
      <w:bookmarkStart w:id="820" w:name="_Toc458021418"/>
      <w:bookmarkStart w:id="821" w:name="_Toc21961548"/>
      <w:bookmarkStart w:id="822" w:name="_Toc15499428"/>
      <w:bookmarkStart w:id="823" w:name="_Toc461100547"/>
      <w:bookmarkStart w:id="824" w:name="_Toc450674678"/>
      <w:bookmarkStart w:id="825" w:name="_Toc458070987"/>
      <w:bookmarkStart w:id="826" w:name="_Toc449353992"/>
      <w:r>
        <w:rPr>
          <w:color w:val="000000"/>
        </w:rPr>
        <w:t>8.2.2间接经济效益</w:t>
      </w:r>
      <w:bookmarkEnd w:id="819"/>
      <w:bookmarkEnd w:id="820"/>
      <w:bookmarkEnd w:id="821"/>
      <w:bookmarkEnd w:id="822"/>
      <w:bookmarkEnd w:id="823"/>
      <w:bookmarkEnd w:id="824"/>
      <w:bookmarkEnd w:id="825"/>
      <w:bookmarkEnd w:id="826"/>
      <w:r>
        <w:rPr>
          <w:color w:val="000000"/>
        </w:rPr>
        <w:fldChar w:fldCharType="end"/>
      </w:r>
    </w:p>
    <w:p w14:paraId="25E96C89">
      <w:pPr>
        <w:ind w:firstLine="480"/>
        <w:rPr>
          <w:color w:val="000000"/>
          <w:szCs w:val="24"/>
        </w:rPr>
      </w:pPr>
      <w:r>
        <w:rPr>
          <w:color w:val="000000"/>
          <w:szCs w:val="24"/>
        </w:rPr>
        <w:t>间接经济效益主要指环保设施带来的社会效益，包括环境污染损失的减少，人体健康的保护费用的减少，控制污染物达标排放免交或少交的排污费、罚款和赔偿费等。</w:t>
      </w:r>
    </w:p>
    <w:p w14:paraId="2976F061">
      <w:pPr>
        <w:ind w:firstLine="480"/>
        <w:rPr>
          <w:color w:val="000000"/>
          <w:szCs w:val="24"/>
        </w:rPr>
      </w:pPr>
      <w:r>
        <w:rPr>
          <w:color w:val="000000"/>
          <w:szCs w:val="24"/>
        </w:rPr>
        <w:t>就该项目而言，可量化的间接效益表现为因污染治理达标而免交的排污费。根据国家发展计划委员会、国家财政部、国家环境保护总局、国家经济贸易委员会制定的《排污费征收标准管理办法》(国务院令第369号)。拟建项目污染物治理全部达标排放后，每年可挽回的经济损失共计约50万元/年。</w:t>
      </w:r>
    </w:p>
    <w:p w14:paraId="08F8C8BD">
      <w:pPr>
        <w:ind w:firstLine="480"/>
        <w:rPr>
          <w:color w:val="000000"/>
        </w:rPr>
      </w:pPr>
      <w:r>
        <w:rPr>
          <w:color w:val="000000"/>
          <w:szCs w:val="24"/>
        </w:rPr>
        <w:t>则拟建项目环保设施总经济效益为50万元/年。</w:t>
      </w:r>
    </w:p>
    <w:p w14:paraId="1730DAE1">
      <w:pPr>
        <w:pStyle w:val="770"/>
        <w:rPr>
          <w:color w:val="000000"/>
          <w:sz w:val="24"/>
          <w:szCs w:val="24"/>
        </w:rPr>
      </w:pPr>
      <w:bookmarkStart w:id="827" w:name="_Toc14173"/>
      <w:r>
        <w:rPr>
          <w:color w:val="000000"/>
        </w:rPr>
        <w:fldChar w:fldCharType="begin"/>
      </w:r>
      <w:r>
        <w:rPr>
          <w:color w:val="000000"/>
        </w:rPr>
        <w:instrText xml:space="preserve"> HYPERLINK \l "_Toc246479255" </w:instrText>
      </w:r>
      <w:r>
        <w:rPr>
          <w:color w:val="000000"/>
        </w:rPr>
        <w:fldChar w:fldCharType="separate"/>
      </w:r>
      <w:bookmarkStart w:id="828" w:name="_Toc15499430"/>
      <w:bookmarkStart w:id="829" w:name="_Toc449353994"/>
      <w:bookmarkStart w:id="830" w:name="_Toc265175153"/>
      <w:bookmarkStart w:id="831" w:name="_Toc15499670"/>
      <w:bookmarkStart w:id="832" w:name="_Toc461100549"/>
      <w:bookmarkStart w:id="833" w:name="_Toc450674680"/>
      <w:bookmarkStart w:id="834" w:name="_Toc458070989"/>
      <w:bookmarkStart w:id="835" w:name="_Toc364270582"/>
      <w:bookmarkStart w:id="836" w:name="_Toc458021420"/>
      <w:bookmarkStart w:id="837" w:name="_Toc21961550"/>
      <w:r>
        <w:rPr>
          <w:color w:val="000000"/>
        </w:rPr>
        <w:t>8.3 环境影响经济损益分析</w:t>
      </w:r>
      <w:bookmarkEnd w:id="828"/>
      <w:bookmarkEnd w:id="829"/>
      <w:bookmarkEnd w:id="830"/>
      <w:bookmarkEnd w:id="831"/>
      <w:bookmarkEnd w:id="832"/>
      <w:bookmarkEnd w:id="833"/>
      <w:bookmarkEnd w:id="834"/>
      <w:bookmarkEnd w:id="835"/>
      <w:bookmarkEnd w:id="836"/>
      <w:bookmarkEnd w:id="837"/>
      <w:r>
        <w:rPr>
          <w:color w:val="000000"/>
        </w:rPr>
        <w:fldChar w:fldCharType="end"/>
      </w:r>
      <w:bookmarkEnd w:id="827"/>
    </w:p>
    <w:p w14:paraId="3936F5C1">
      <w:pPr>
        <w:tabs>
          <w:tab w:val="left" w:pos="993"/>
        </w:tabs>
        <w:ind w:firstLine="480"/>
        <w:rPr>
          <w:color w:val="000000"/>
        </w:rPr>
      </w:pPr>
      <w:r>
        <w:rPr>
          <w:color w:val="000000"/>
        </w:rPr>
        <w:t>环保措施产生的效益与环保措施的投资及运行费用之比大于或等于1，则从经济角度考虑，认为环保措施是可行的，否则认为在经济上欠合理。</w:t>
      </w:r>
    </w:p>
    <w:p w14:paraId="4DF6FD03">
      <w:pPr>
        <w:tabs>
          <w:tab w:val="left" w:pos="993"/>
        </w:tabs>
        <w:ind w:firstLine="480"/>
        <w:rPr>
          <w:color w:val="000000"/>
        </w:rPr>
      </w:pPr>
      <w:r>
        <w:rPr>
          <w:color w:val="000000"/>
        </w:rPr>
        <w:t>效益与费用比＝环保效益/环保费用＝50/45＝1.25</w:t>
      </w:r>
    </w:p>
    <w:p w14:paraId="2BFE89F8">
      <w:pPr>
        <w:tabs>
          <w:tab w:val="left" w:pos="993"/>
        </w:tabs>
        <w:ind w:firstLine="480"/>
        <w:rPr>
          <w:color w:val="000000"/>
        </w:rPr>
      </w:pPr>
      <w:r>
        <w:rPr>
          <w:color w:val="000000"/>
        </w:rPr>
        <w:t>其效益与费用之比为1.25，大于1，表明本项目环保措施在经济上是基本合理的。</w:t>
      </w:r>
    </w:p>
    <w:p w14:paraId="6E998E0B">
      <w:pPr>
        <w:tabs>
          <w:tab w:val="left" w:pos="993"/>
        </w:tabs>
        <w:ind w:firstLine="480"/>
        <w:rPr>
          <w:color w:val="000000"/>
        </w:rPr>
      </w:pPr>
      <w:r>
        <w:rPr>
          <w:color w:val="000000"/>
        </w:rPr>
        <w:t>综上所述，本项目环保投资经济效益较好，同时具有较好的环境效益和社会效益，做到了污染物达标排放，减轻了对环境的污染，保护了人群健康。因此，本评价认为本项目环保投资是可行、合理和有价值的，环保措施经济可行。</w:t>
      </w:r>
    </w:p>
    <w:p w14:paraId="18F8A0A1">
      <w:pPr>
        <w:pStyle w:val="2"/>
        <w:ind w:left="480"/>
        <w:rPr>
          <w:rFonts w:ascii="Times New Roman" w:hAnsi="Times New Roman" w:cs="Times New Roman"/>
          <w:color w:val="000000"/>
        </w:rPr>
      </w:pPr>
    </w:p>
    <w:p w14:paraId="04F5FE5A">
      <w:pPr>
        <w:tabs>
          <w:tab w:val="left" w:pos="993"/>
        </w:tabs>
        <w:ind w:firstLine="480"/>
        <w:rPr>
          <w:color w:val="000000"/>
        </w:rPr>
        <w:sectPr>
          <w:pgSz w:w="11905" w:h="16838"/>
          <w:pgMar w:top="1440" w:right="1803" w:bottom="1440" w:left="1803" w:header="850" w:footer="907" w:gutter="0"/>
          <w:cols w:space="720" w:num="1"/>
          <w:docGrid w:type="lines" w:linePitch="332" w:charSpace="0"/>
        </w:sectPr>
      </w:pPr>
    </w:p>
    <w:p w14:paraId="6774E291">
      <w:pPr>
        <w:pStyle w:val="781"/>
        <w:rPr>
          <w:color w:val="000000"/>
        </w:rPr>
      </w:pPr>
      <w:bookmarkStart w:id="838" w:name="_Toc27291"/>
      <w:r>
        <w:rPr>
          <w:color w:val="000000"/>
        </w:rPr>
        <w:t>9 环境管理与监测计划</w:t>
      </w:r>
      <w:bookmarkEnd w:id="838"/>
    </w:p>
    <w:p w14:paraId="03F6B70A">
      <w:pPr>
        <w:pStyle w:val="770"/>
        <w:rPr>
          <w:color w:val="000000"/>
        </w:rPr>
      </w:pPr>
      <w:bookmarkStart w:id="839" w:name="_Toc22530"/>
      <w:r>
        <w:rPr>
          <w:color w:val="000000"/>
        </w:rPr>
        <w:t>9.1环境管理</w:t>
      </w:r>
      <w:bookmarkEnd w:id="839"/>
    </w:p>
    <w:p w14:paraId="3F6AEF97">
      <w:pPr>
        <w:pStyle w:val="771"/>
        <w:rPr>
          <w:color w:val="000000"/>
        </w:rPr>
      </w:pPr>
      <w:r>
        <w:rPr>
          <w:color w:val="000000"/>
        </w:rPr>
        <w:t>9.1.1环境管理机构及环保规章制度</w:t>
      </w:r>
    </w:p>
    <w:p w14:paraId="7C80ACE6">
      <w:pPr>
        <w:ind w:firstLine="480"/>
        <w:rPr>
          <w:bCs/>
          <w:color w:val="000000"/>
        </w:rPr>
      </w:pPr>
      <w:r>
        <w:rPr>
          <w:bCs/>
          <w:color w:val="000000"/>
        </w:rPr>
        <w:t>环境管理机构的设置，是为了贯彻执行中华人民共和国环境保护法的有关法律、法规，全面落实《国务院关于环境保护若干问题的决定》的有关规定，对项目“三废”排放实行监控，确保建设项目的经济、环境和社会效益协调发展；协调环保主管部门的工作，为企业的生产管理和环境管理提供保证。企业建立了环境管理体系，设置专职环境管理机构，配备专职环保管理人员2名，兼职管理人员若干名。</w:t>
      </w:r>
    </w:p>
    <w:p w14:paraId="7EED5364">
      <w:pPr>
        <w:ind w:firstLine="480"/>
        <w:rPr>
          <w:bCs/>
          <w:color w:val="000000"/>
        </w:rPr>
      </w:pPr>
      <w:r>
        <w:rPr>
          <w:bCs/>
          <w:color w:val="000000"/>
        </w:rPr>
        <w:t>环保规章制度的建立，可使环保工作制度化、规范化，促进环保工作不断完善、改进，提高环境保护设施的运行可靠性和运行效率，进一步降低污染物的排放量。企业应制定环境管理岗位责任制、环保设施运行管理制度、车间环境管理技术规程、环保培训制度、环境污染事故应急和处理制度、环保奖惩制度等企业环保规章制度。环境管理机构负责监督实施。</w:t>
      </w:r>
    </w:p>
    <w:p w14:paraId="40DF6357">
      <w:pPr>
        <w:pStyle w:val="771"/>
        <w:rPr>
          <w:color w:val="000000"/>
        </w:rPr>
      </w:pPr>
      <w:r>
        <w:rPr>
          <w:color w:val="000000"/>
        </w:rPr>
        <w:t>9.1.2施工期环境管理</w:t>
      </w:r>
    </w:p>
    <w:p w14:paraId="3E0B024A">
      <w:pPr>
        <w:ind w:firstLine="480"/>
        <w:rPr>
          <w:bCs/>
          <w:color w:val="000000"/>
        </w:rPr>
      </w:pPr>
      <w:r>
        <w:rPr>
          <w:bCs/>
          <w:color w:val="000000"/>
        </w:rPr>
        <w:t>（1）设计阶段：设计部门应该将环境影响报告书提出的环保措施列入设计之中，如防尘、降噪设备等。建设单位应该把污染治理所需资金、材料和设备等纳入工程预算。</w:t>
      </w:r>
    </w:p>
    <w:p w14:paraId="26DD63BE">
      <w:pPr>
        <w:ind w:firstLine="480"/>
        <w:rPr>
          <w:bCs/>
          <w:color w:val="000000"/>
        </w:rPr>
      </w:pPr>
      <w:r>
        <w:rPr>
          <w:bCs/>
          <w:color w:val="000000"/>
        </w:rPr>
        <w:t>（2）招投标阶段：建设单位应将运行期环保实施计划列入招标内容，选择有环境工程设计资质的设计单位参与招标。在投标中应有污染治理方案和环境保护内容。</w:t>
      </w:r>
    </w:p>
    <w:p w14:paraId="42DD6DEE">
      <w:pPr>
        <w:ind w:firstLine="480"/>
        <w:rPr>
          <w:bCs/>
          <w:color w:val="000000"/>
        </w:rPr>
      </w:pPr>
      <w:r>
        <w:rPr>
          <w:bCs/>
          <w:color w:val="000000"/>
        </w:rPr>
        <w:t>（3）建设单位在施工后，应派专职人员负责与环保部门、设计单位和施工单位协调工作，对环保实施计划进行监督、检查和管理，环保实施计划应有专业记录。</w:t>
      </w:r>
    </w:p>
    <w:p w14:paraId="2FB8563E">
      <w:pPr>
        <w:ind w:firstLine="480"/>
        <w:rPr>
          <w:bCs/>
          <w:color w:val="000000"/>
        </w:rPr>
      </w:pPr>
      <w:r>
        <w:rPr>
          <w:bCs/>
          <w:color w:val="000000"/>
        </w:rPr>
        <w:t>（4）根据报告书提出的环保措施和环保局审批要求，建设单位应该严格执行“三同时”制度，健全各项环保设施，绿化美化厂区环境。</w:t>
      </w:r>
    </w:p>
    <w:p w14:paraId="333B73DE">
      <w:pPr>
        <w:ind w:firstLine="480"/>
        <w:rPr>
          <w:bCs/>
          <w:color w:val="000000"/>
        </w:rPr>
      </w:pPr>
      <w:r>
        <w:rPr>
          <w:bCs/>
          <w:color w:val="000000"/>
        </w:rPr>
        <w:t>（5）施工期环境监测：建设单位对施工噪声源强和施工厂界噪声进行监测，监测数据报环保部门以便检查和监督。</w:t>
      </w:r>
    </w:p>
    <w:p w14:paraId="530FAB7A">
      <w:pPr>
        <w:ind w:firstLine="480"/>
        <w:rPr>
          <w:bCs/>
          <w:color w:val="000000"/>
        </w:rPr>
      </w:pPr>
      <w:r>
        <w:rPr>
          <w:bCs/>
          <w:color w:val="000000"/>
        </w:rPr>
        <w:t>（6）建设单位负责环保组织应对环保治理设施中土建和安装工程进行验收。</w:t>
      </w:r>
    </w:p>
    <w:p w14:paraId="7473EBBD">
      <w:pPr>
        <w:pStyle w:val="771"/>
        <w:rPr>
          <w:color w:val="000000"/>
        </w:rPr>
      </w:pPr>
      <w:r>
        <w:rPr>
          <w:color w:val="000000"/>
        </w:rPr>
        <w:t>9.1.3营运期环境管理</w:t>
      </w:r>
    </w:p>
    <w:p w14:paraId="1370ADEB">
      <w:pPr>
        <w:ind w:firstLine="480"/>
        <w:rPr>
          <w:bCs/>
          <w:color w:val="000000"/>
        </w:rPr>
      </w:pPr>
      <w:r>
        <w:rPr>
          <w:bCs/>
          <w:color w:val="000000"/>
        </w:rPr>
        <w:t>（1）由企业的最高管理者制定明确的符合自身特点的环境方针，承诺对自身污染问题的预防，并遵守执行国家、地方的有关法律、法规以及其它有关规定。环保方针应文件化，便于公众获取；</w:t>
      </w:r>
    </w:p>
    <w:p w14:paraId="27A138B2">
      <w:pPr>
        <w:ind w:firstLine="480"/>
        <w:rPr>
          <w:bCs/>
          <w:color w:val="000000"/>
        </w:rPr>
      </w:pPr>
      <w:r>
        <w:rPr>
          <w:bCs/>
          <w:color w:val="000000"/>
        </w:rPr>
        <w:t>（2）根据制定的环境方针，确定企业各个部门各个岗位的环境保护目标和可量化的指标，使全部员工都参与环境保护工作；</w:t>
      </w:r>
    </w:p>
    <w:p w14:paraId="5BD1ED84">
      <w:pPr>
        <w:ind w:firstLine="480"/>
        <w:rPr>
          <w:bCs/>
          <w:color w:val="000000"/>
        </w:rPr>
      </w:pPr>
      <w:r>
        <w:rPr>
          <w:bCs/>
          <w:color w:val="000000"/>
        </w:rPr>
        <w:t>（3）针对单位固定的环保机构和环保专职人员，制定企业环境保护的规章制度，有责、有权地负责全公司的环保工作。同时对职工进行环境保护知识的培训，提高职工的环境保护意识，从而保证基地环境管理和环保工作的顺利进行；</w:t>
      </w:r>
    </w:p>
    <w:p w14:paraId="0CBA2F30">
      <w:pPr>
        <w:ind w:firstLine="480"/>
        <w:rPr>
          <w:bCs/>
          <w:color w:val="000000"/>
        </w:rPr>
      </w:pPr>
      <w:r>
        <w:rPr>
          <w:bCs/>
          <w:color w:val="000000"/>
        </w:rPr>
        <w:t>（4）环境监测和监控不仅是专门环保工作的重要内容，也是某些生产过程中的控制手段，制定严格的监测、记录、签字和反馈的制度，有助于全面减降污染物的排放，掌握环保工作和环境管理体系的运行情况，查找生产过程、环保工作和环境管理中存在的漏洞，并进行</w:t>
      </w:r>
      <w:r>
        <w:rPr>
          <w:rFonts w:hint="eastAsia"/>
          <w:bCs/>
          <w:color w:val="000000"/>
        </w:rPr>
        <w:t>及时</w:t>
      </w:r>
      <w:r>
        <w:rPr>
          <w:bCs/>
          <w:color w:val="000000"/>
        </w:rPr>
        <w:t>补救；</w:t>
      </w:r>
    </w:p>
    <w:p w14:paraId="57464039">
      <w:pPr>
        <w:ind w:firstLine="480"/>
        <w:rPr>
          <w:bCs/>
          <w:color w:val="000000"/>
        </w:rPr>
      </w:pPr>
      <w:r>
        <w:rPr>
          <w:bCs/>
          <w:color w:val="000000"/>
        </w:rPr>
        <w:t>（5）严格执行建设项目环保“三同时”制度；</w:t>
      </w:r>
    </w:p>
    <w:p w14:paraId="38F737C9">
      <w:pPr>
        <w:ind w:firstLine="480"/>
        <w:rPr>
          <w:bCs/>
          <w:color w:val="000000"/>
        </w:rPr>
      </w:pPr>
      <w:r>
        <w:rPr>
          <w:bCs/>
          <w:color w:val="000000"/>
        </w:rPr>
        <w:t>（6）严格要求“三废”达标排放，保证“三废”治理设施的安全正常运行，对污染物的总量执行监督控制；</w:t>
      </w:r>
    </w:p>
    <w:p w14:paraId="1B9C57AD">
      <w:pPr>
        <w:ind w:firstLine="480"/>
        <w:rPr>
          <w:bCs/>
          <w:color w:val="000000"/>
        </w:rPr>
      </w:pPr>
      <w:r>
        <w:rPr>
          <w:bCs/>
          <w:color w:val="000000"/>
        </w:rPr>
        <w:t>（7）根据《排污许可管理办法(试行)》（2019年修订）、</w:t>
      </w:r>
      <w:r>
        <w:rPr>
          <w:color w:val="000000"/>
        </w:rPr>
        <w:t>《排污单位自行监测技术指南 总则》（HJ819-2017）</w:t>
      </w:r>
      <w:r>
        <w:rPr>
          <w:bCs/>
          <w:color w:val="000000"/>
        </w:rPr>
        <w:t>等规范、标准的要求，申请取得排污许可证，建立环境管理台账制度，设置专职人员开展台账记录、整理、维护和管理工作；</w:t>
      </w:r>
    </w:p>
    <w:p w14:paraId="1EB30094">
      <w:pPr>
        <w:ind w:firstLine="480"/>
        <w:rPr>
          <w:bCs/>
          <w:color w:val="000000"/>
        </w:rPr>
      </w:pPr>
      <w:r>
        <w:rPr>
          <w:bCs/>
          <w:color w:val="000000"/>
        </w:rPr>
        <w:t>（8）根据《突发事件应急预案管理办法》（国办发[2013]101号）、《企业事业单位突发环境事件应急预案备案管理办法（试行）》、《企业突发环境事件风险评估指南（试行）》（环办[2014]34号）、《企业事业单位突发环境事件应急预案评审工作指南》、《企业突发环境事件风险分级方法》（HJ 941-2018）、《突发环境事件应急监测技术规范》（HJ 589- -2010）等规范、标准的，更新企业《环境风险评估报告》、《突发环境事件应急预案》及《环境应急资源调查报告》，报环保主管部门备案，并定期演练；</w:t>
      </w:r>
    </w:p>
    <w:p w14:paraId="5C7FACD2">
      <w:pPr>
        <w:ind w:firstLine="480"/>
        <w:rPr>
          <w:bCs/>
          <w:color w:val="000000"/>
        </w:rPr>
      </w:pPr>
      <w:r>
        <w:rPr>
          <w:bCs/>
          <w:color w:val="000000"/>
        </w:rPr>
        <w:t>（9）为了全面掌握企业环保工作情况，进一步了解管理体系中可能存在的问题，企业应每年进行一次内部评审，检查环境管理工作的问题和不足，对发现的问题和不足，提出改进意见。内部评审工作可以自己进行，也可以请有关部门帮助进行。时机和条件具备时，应进行ISO14000的认证，使自己的环境管理工作得到公认。</w:t>
      </w:r>
    </w:p>
    <w:p w14:paraId="721D1BCC">
      <w:pPr>
        <w:pStyle w:val="770"/>
        <w:rPr>
          <w:color w:val="000000"/>
        </w:rPr>
      </w:pPr>
      <w:bookmarkStart w:id="840" w:name="_Toc14620"/>
      <w:r>
        <w:rPr>
          <w:color w:val="000000"/>
        </w:rPr>
        <w:t>9.2排污口规整和自动监测</w:t>
      </w:r>
      <w:bookmarkEnd w:id="840"/>
    </w:p>
    <w:p w14:paraId="33DBFA50">
      <w:pPr>
        <w:pStyle w:val="771"/>
        <w:rPr>
          <w:color w:val="000000"/>
        </w:rPr>
      </w:pPr>
      <w:r>
        <w:rPr>
          <w:color w:val="000000"/>
        </w:rPr>
        <w:t>9.2.1排污口规整</w:t>
      </w:r>
    </w:p>
    <w:p w14:paraId="44D98C03">
      <w:pPr>
        <w:numPr>
          <w:ilvl w:val="0"/>
          <w:numId w:val="7"/>
        </w:numPr>
        <w:ind w:firstLine="480"/>
        <w:rPr>
          <w:color w:val="000000"/>
        </w:rPr>
      </w:pPr>
      <w:r>
        <w:rPr>
          <w:bCs/>
          <w:color w:val="000000"/>
        </w:rPr>
        <w:t>废气</w:t>
      </w:r>
    </w:p>
    <w:p w14:paraId="16E21E7F">
      <w:pPr>
        <w:ind w:firstLine="480"/>
        <w:rPr>
          <w:bCs/>
          <w:color w:val="000000"/>
        </w:rPr>
      </w:pPr>
      <w:r>
        <w:rPr>
          <w:bCs/>
          <w:color w:val="000000"/>
        </w:rPr>
        <w:t>本项目依托厂区火炬系统，不新增排放口。废气排污口的规范化要求如下：</w:t>
      </w:r>
    </w:p>
    <w:p w14:paraId="270CAD0E">
      <w:pPr>
        <w:ind w:firstLine="480"/>
        <w:rPr>
          <w:bCs/>
          <w:color w:val="000000"/>
        </w:rPr>
      </w:pPr>
      <w:r>
        <w:rPr>
          <w:bCs/>
          <w:color w:val="000000"/>
        </w:rPr>
        <w:t>①各废气排气筒应修建平台，设置监测采样口，采样口设置应符合《污染源技术规范》要求；废气排污口采样孔设置的位置应该是“距弯头、阀门、变径下游方向不小于6倍直径，上游方向不小于3倍直径”。如果是矩形烟道的，其当量直径D=2AB/(A+B)，式中A、B为边长。采样口必须设置常备电源。</w:t>
      </w:r>
    </w:p>
    <w:p w14:paraId="7C00D828">
      <w:pPr>
        <w:ind w:firstLine="480"/>
        <w:rPr>
          <w:bCs/>
          <w:color w:val="000000"/>
        </w:rPr>
      </w:pPr>
      <w:r>
        <w:rPr>
          <w:bCs/>
          <w:color w:val="000000"/>
        </w:rPr>
        <w:t>②排气筒应设置、注明以下内容：标准编号、污染源名称及型号；排放高度、出口直径；排气量、最大允许排放浓度；排放大气污染物的名称、最大允许排放量。</w:t>
      </w:r>
    </w:p>
    <w:p w14:paraId="2028E2A3">
      <w:pPr>
        <w:ind w:firstLine="480"/>
        <w:rPr>
          <w:bCs/>
          <w:color w:val="000000"/>
        </w:rPr>
      </w:pPr>
      <w:r>
        <w:rPr>
          <w:bCs/>
          <w:color w:val="000000"/>
        </w:rPr>
        <w:t>（2）废水</w:t>
      </w:r>
    </w:p>
    <w:p w14:paraId="3C3D25E7">
      <w:pPr>
        <w:ind w:firstLine="480"/>
        <w:rPr>
          <w:bCs/>
          <w:color w:val="000000"/>
        </w:rPr>
      </w:pPr>
      <w:r>
        <w:rPr>
          <w:bCs/>
          <w:color w:val="000000"/>
        </w:rPr>
        <w:t>本项目废水排放依托厂区现有废水排污口，不新增。废水排污口的规范化要求如下：</w:t>
      </w:r>
    </w:p>
    <w:p w14:paraId="55547A7F">
      <w:pPr>
        <w:ind w:firstLine="480"/>
        <w:rPr>
          <w:bCs/>
          <w:color w:val="000000"/>
        </w:rPr>
      </w:pPr>
      <w:r>
        <w:rPr>
          <w:bCs/>
          <w:color w:val="000000"/>
        </w:rPr>
        <w:t>①规范废水排放口，使用混凝土矩形管道，内侧表面光滑平整。</w:t>
      </w:r>
    </w:p>
    <w:p w14:paraId="402B4A61">
      <w:pPr>
        <w:ind w:firstLine="480"/>
        <w:rPr>
          <w:bCs/>
          <w:color w:val="000000"/>
        </w:rPr>
      </w:pPr>
      <w:r>
        <w:rPr>
          <w:bCs/>
          <w:color w:val="000000"/>
        </w:rPr>
        <w:t>②排污口必须具备采样和流量测定条件，按照《污染源监测技术规范》设置采样点，如总排污口、污水处理设施的进水和出水口等。污水面在地下或距地面超过1m的，应配建取样台阶或梯架。进行编号并设置标志。</w:t>
      </w:r>
    </w:p>
    <w:p w14:paraId="7FD11BF9">
      <w:pPr>
        <w:ind w:firstLine="480"/>
        <w:rPr>
          <w:bCs/>
          <w:color w:val="000000"/>
        </w:rPr>
      </w:pPr>
      <w:r>
        <w:rPr>
          <w:bCs/>
          <w:color w:val="000000"/>
        </w:rPr>
        <w:t>③根据实际地形合理确定一个排污口位置。</w:t>
      </w:r>
    </w:p>
    <w:p w14:paraId="45D78793">
      <w:pPr>
        <w:ind w:firstLine="480"/>
        <w:rPr>
          <w:bCs/>
          <w:color w:val="000000"/>
        </w:rPr>
      </w:pPr>
      <w:r>
        <w:rPr>
          <w:bCs/>
          <w:color w:val="000000"/>
        </w:rPr>
        <w:t>④排污口可以是矩形、圆形或梯形，使其水深不低于0.1m，流速不小于0.05m/s。设置规范的、便于测量流量、流速的测流段。测流段直线长度应是其水面宽度6倍以上，最小1.5倍以上。</w:t>
      </w:r>
    </w:p>
    <w:p w14:paraId="14464ABF">
      <w:pPr>
        <w:rPr>
          <w:color w:val="000000"/>
        </w:rPr>
      </w:pPr>
    </w:p>
    <w:p w14:paraId="6663D405">
      <w:pPr>
        <w:jc w:val="center"/>
        <w:rPr>
          <w:color w:val="000000"/>
        </w:rPr>
      </w:pPr>
      <w:r>
        <w:rPr>
          <w:color w:val="000000"/>
        </w:rPr>
        <w:drawing>
          <wp:inline distT="0" distB="0" distL="0" distR="0">
            <wp:extent cx="4895850" cy="2590800"/>
            <wp:effectExtent l="19050" t="0" r="0" b="0"/>
            <wp:docPr id="1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6"/>
                    <pic:cNvPicPr>
                      <a:picLocks noChangeAspect="1" noChangeArrowheads="1"/>
                    </pic:cNvPicPr>
                  </pic:nvPicPr>
                  <pic:blipFill>
                    <a:blip r:embed="rId40"/>
                    <a:srcRect l="6947"/>
                    <a:stretch>
                      <a:fillRect/>
                    </a:stretch>
                  </pic:blipFill>
                  <pic:spPr>
                    <a:xfrm>
                      <a:off x="0" y="0"/>
                      <a:ext cx="4895850" cy="2590800"/>
                    </a:xfrm>
                    <a:prstGeom prst="rect">
                      <a:avLst/>
                    </a:prstGeom>
                    <a:noFill/>
                    <a:ln w="9525">
                      <a:noFill/>
                      <a:miter lim="800000"/>
                      <a:headEnd/>
                      <a:tailEnd/>
                    </a:ln>
                  </pic:spPr>
                </pic:pic>
              </a:graphicData>
            </a:graphic>
          </wp:inline>
        </w:drawing>
      </w:r>
    </w:p>
    <w:p w14:paraId="121B5EC3">
      <w:pPr>
        <w:pStyle w:val="133"/>
        <w:outlineLvl w:val="9"/>
        <w:rPr>
          <w:rFonts w:ascii="Times New Roman" w:hAnsi="Times New Roman"/>
          <w:color w:val="000000"/>
          <w:lang w:val="en-US"/>
        </w:rPr>
      </w:pPr>
      <w:r>
        <w:rPr>
          <w:rFonts w:ascii="Times New Roman" w:hAnsi="Times New Roman"/>
          <w:color w:val="000000"/>
          <w:lang w:val="en-US"/>
        </w:rPr>
        <w:t>图8</w:t>
      </w:r>
      <w:r>
        <w:rPr>
          <w:rFonts w:ascii="Times New Roman" w:hAnsi="Times New Roman"/>
          <w:color w:val="000000"/>
        </w:rPr>
        <w:t>.</w:t>
      </w:r>
      <w:r>
        <w:rPr>
          <w:rFonts w:ascii="Times New Roman" w:hAnsi="Times New Roman"/>
          <w:color w:val="000000"/>
          <w:lang w:val="en-US"/>
        </w:rPr>
        <w:t>2</w:t>
      </w:r>
      <w:r>
        <w:rPr>
          <w:rFonts w:ascii="Times New Roman" w:hAnsi="Times New Roman"/>
          <w:color w:val="000000"/>
        </w:rPr>
        <w:t>.1</w:t>
      </w:r>
      <w:r>
        <w:rPr>
          <w:rFonts w:ascii="Times New Roman" w:hAnsi="Times New Roman"/>
          <w:color w:val="000000"/>
          <w:lang w:val="en-US"/>
        </w:rPr>
        <w:t xml:space="preserve">  排污口图形标识</w:t>
      </w:r>
    </w:p>
    <w:p w14:paraId="1686F2D2">
      <w:pPr>
        <w:pStyle w:val="770"/>
        <w:rPr>
          <w:color w:val="000000"/>
        </w:rPr>
      </w:pPr>
      <w:bookmarkStart w:id="841" w:name="_Toc7628"/>
      <w:r>
        <w:rPr>
          <w:color w:val="000000"/>
        </w:rPr>
        <w:t>9.3环境监测计划</w:t>
      </w:r>
      <w:bookmarkEnd w:id="841"/>
    </w:p>
    <w:p w14:paraId="7CC284EE">
      <w:pPr>
        <w:pStyle w:val="771"/>
        <w:rPr>
          <w:color w:val="000000"/>
        </w:rPr>
      </w:pPr>
      <w:r>
        <w:rPr>
          <w:color w:val="000000"/>
        </w:rPr>
        <w:t>9.3.1监测内容</w:t>
      </w:r>
    </w:p>
    <w:p w14:paraId="018A3AA8">
      <w:pPr>
        <w:ind w:firstLine="480"/>
        <w:rPr>
          <w:color w:val="000000"/>
        </w:rPr>
      </w:pPr>
      <w:r>
        <w:rPr>
          <w:bCs/>
          <w:color w:val="000000"/>
        </w:rPr>
        <w:t>为了掌握和了解环保工作和管理体系的运行情况，应进行必要的监测、监控工作，对本项目而言，主要实施污染源监测和跟踪监测，根据《排污单位自行监测技术指南 总则》（HJ819-2017），本项目</w:t>
      </w:r>
      <w:r>
        <w:rPr>
          <w:color w:val="000000"/>
        </w:rPr>
        <w:t>环境监测工作可委托有资质的监测机构承担。</w:t>
      </w:r>
    </w:p>
    <w:p w14:paraId="0123AA66">
      <w:pPr>
        <w:ind w:firstLine="480"/>
        <w:rPr>
          <w:color w:val="000000"/>
        </w:rPr>
      </w:pPr>
      <w:r>
        <w:rPr>
          <w:color w:val="000000"/>
        </w:rPr>
        <w:t xml:space="preserve"> (1)污染源监测</w:t>
      </w:r>
    </w:p>
    <w:p w14:paraId="73610131">
      <w:pPr>
        <w:ind w:firstLine="480"/>
        <w:rPr>
          <w:color w:val="000000"/>
        </w:rPr>
      </w:pPr>
      <w:r>
        <w:rPr>
          <w:color w:val="000000"/>
        </w:rPr>
        <w:t>正常情况下，本项目监测点位、因子及监测频率见</w:t>
      </w:r>
      <w:r>
        <w:fldChar w:fldCharType="begin"/>
      </w:r>
      <w:r>
        <w:instrText xml:space="preserve"> REF _Ref36981370 \h  \* MERGEFORMAT </w:instrText>
      </w:r>
      <w:r>
        <w:fldChar w:fldCharType="separate"/>
      </w:r>
      <w:r>
        <w:rPr>
          <w:color w:val="000000"/>
        </w:rPr>
        <w:t>表9</w:t>
      </w:r>
      <w:r>
        <w:rPr>
          <w:color w:val="000000"/>
        </w:rPr>
        <w:fldChar w:fldCharType="end"/>
      </w:r>
      <w:r>
        <w:rPr>
          <w:color w:val="000000"/>
        </w:rPr>
        <w:t>.3.1-1。</w:t>
      </w:r>
    </w:p>
    <w:p w14:paraId="4E99691A">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9.3.</w:t>
      </w:r>
      <w:r>
        <w:rPr>
          <w:rFonts w:ascii="Times New Roman" w:hAnsi="Times New Roman"/>
          <w:color w:val="000000"/>
        </w:rPr>
        <w:t xml:space="preserve">1-3 </w:t>
      </w:r>
      <w:r>
        <w:rPr>
          <w:rFonts w:ascii="Times New Roman" w:hAnsi="Times New Roman"/>
          <w:color w:val="000000"/>
          <w:lang w:val="en-US"/>
        </w:rPr>
        <w:t xml:space="preserve"> </w:t>
      </w:r>
      <w:r>
        <w:rPr>
          <w:rFonts w:ascii="Times New Roman" w:hAnsi="Times New Roman"/>
          <w:color w:val="000000"/>
        </w:rPr>
        <w:t>项目</w:t>
      </w:r>
      <w:r>
        <w:rPr>
          <w:rFonts w:ascii="Times New Roman" w:hAnsi="Times New Roman"/>
          <w:color w:val="000000"/>
          <w:lang w:val="en-US"/>
        </w:rPr>
        <w:t>污染源</w:t>
      </w:r>
      <w:r>
        <w:rPr>
          <w:rFonts w:ascii="Times New Roman" w:hAnsi="Times New Roman"/>
          <w:color w:val="000000"/>
        </w:rPr>
        <w:t>监测计划</w:t>
      </w:r>
    </w:p>
    <w:tbl>
      <w:tblPr>
        <w:tblStyle w:val="73"/>
        <w:tblW w:w="5105" w:type="pct"/>
        <w:tblInd w:w="5" w:type="dxa"/>
        <w:tblLayout w:type="autofit"/>
        <w:tblCellMar>
          <w:top w:w="0" w:type="dxa"/>
          <w:left w:w="0" w:type="dxa"/>
          <w:bottom w:w="0" w:type="dxa"/>
          <w:right w:w="0" w:type="dxa"/>
        </w:tblCellMar>
      </w:tblPr>
      <w:tblGrid>
        <w:gridCol w:w="693"/>
        <w:gridCol w:w="3506"/>
        <w:gridCol w:w="570"/>
        <w:gridCol w:w="2088"/>
        <w:gridCol w:w="1626"/>
      </w:tblGrid>
      <w:tr w14:paraId="460E7680">
        <w:tblPrEx>
          <w:tblCellMar>
            <w:top w:w="0" w:type="dxa"/>
            <w:left w:w="0" w:type="dxa"/>
            <w:bottom w:w="0" w:type="dxa"/>
            <w:right w:w="0" w:type="dxa"/>
          </w:tblCellMar>
        </w:tblPrEx>
        <w:tc>
          <w:tcPr>
            <w:tcW w:w="408" w:type="pct"/>
            <w:tcBorders>
              <w:top w:val="single" w:color="auto" w:sz="4" w:space="0"/>
              <w:left w:val="single" w:color="auto" w:sz="4" w:space="0"/>
              <w:bottom w:val="single" w:color="auto" w:sz="4" w:space="0"/>
              <w:right w:val="nil"/>
            </w:tcBorders>
            <w:shd w:val="clear" w:color="auto" w:fill="FFFFFF"/>
            <w:vAlign w:val="center"/>
          </w:tcPr>
          <w:p w14:paraId="74E0DDCF">
            <w:pPr>
              <w:spacing w:line="240" w:lineRule="auto"/>
              <w:jc w:val="center"/>
              <w:rPr>
                <w:color w:val="000000"/>
                <w:sz w:val="20"/>
                <w:szCs w:val="20"/>
              </w:rPr>
            </w:pPr>
            <w:r>
              <w:rPr>
                <w:color w:val="000000"/>
                <w:sz w:val="20"/>
                <w:szCs w:val="20"/>
                <w:lang w:val="zh-TW" w:eastAsia="zh-TW"/>
              </w:rPr>
              <w:t>类别</w:t>
            </w:r>
          </w:p>
        </w:tc>
        <w:tc>
          <w:tcPr>
            <w:tcW w:w="2065" w:type="pct"/>
            <w:tcBorders>
              <w:top w:val="single" w:color="auto" w:sz="4" w:space="0"/>
              <w:left w:val="single" w:color="auto" w:sz="4" w:space="0"/>
              <w:bottom w:val="single" w:color="auto" w:sz="4" w:space="0"/>
              <w:right w:val="nil"/>
            </w:tcBorders>
            <w:shd w:val="clear" w:color="auto" w:fill="FFFFFF"/>
            <w:vAlign w:val="center"/>
          </w:tcPr>
          <w:p w14:paraId="4F006C82">
            <w:pPr>
              <w:spacing w:line="240" w:lineRule="auto"/>
              <w:jc w:val="center"/>
              <w:rPr>
                <w:color w:val="000000"/>
                <w:sz w:val="20"/>
                <w:szCs w:val="20"/>
              </w:rPr>
            </w:pPr>
            <w:r>
              <w:rPr>
                <w:color w:val="000000"/>
                <w:sz w:val="20"/>
                <w:szCs w:val="20"/>
                <w:lang w:val="zh-TW" w:eastAsia="zh-TW"/>
              </w:rPr>
              <w:t>监测点位</w:t>
            </w:r>
          </w:p>
        </w:tc>
        <w:tc>
          <w:tcPr>
            <w:tcW w:w="336" w:type="pct"/>
            <w:tcBorders>
              <w:top w:val="single" w:color="auto" w:sz="4" w:space="0"/>
              <w:left w:val="single" w:color="auto" w:sz="4" w:space="0"/>
              <w:bottom w:val="single" w:color="auto" w:sz="4" w:space="0"/>
              <w:right w:val="nil"/>
            </w:tcBorders>
            <w:shd w:val="clear" w:color="auto" w:fill="FFFFFF"/>
            <w:vAlign w:val="center"/>
          </w:tcPr>
          <w:p w14:paraId="4509F649">
            <w:pPr>
              <w:spacing w:line="240" w:lineRule="auto"/>
              <w:jc w:val="center"/>
              <w:rPr>
                <w:color w:val="000000"/>
                <w:sz w:val="20"/>
                <w:szCs w:val="20"/>
              </w:rPr>
            </w:pPr>
            <w:r>
              <w:rPr>
                <w:color w:val="000000"/>
                <w:sz w:val="20"/>
                <w:szCs w:val="20"/>
              </w:rPr>
              <w:t>数量</w:t>
            </w:r>
          </w:p>
        </w:tc>
        <w:tc>
          <w:tcPr>
            <w:tcW w:w="1230" w:type="pct"/>
            <w:tcBorders>
              <w:top w:val="single" w:color="auto" w:sz="4" w:space="0"/>
              <w:left w:val="single" w:color="auto" w:sz="4" w:space="0"/>
              <w:bottom w:val="single" w:color="auto" w:sz="4" w:space="0"/>
              <w:right w:val="nil"/>
            </w:tcBorders>
            <w:shd w:val="clear" w:color="auto" w:fill="FFFFFF"/>
            <w:vAlign w:val="center"/>
          </w:tcPr>
          <w:p w14:paraId="3D7F8965">
            <w:pPr>
              <w:spacing w:line="240" w:lineRule="auto"/>
              <w:jc w:val="center"/>
              <w:rPr>
                <w:color w:val="000000"/>
                <w:sz w:val="20"/>
                <w:szCs w:val="20"/>
              </w:rPr>
            </w:pPr>
            <w:r>
              <w:rPr>
                <w:color w:val="000000"/>
                <w:sz w:val="20"/>
                <w:szCs w:val="20"/>
                <w:lang w:val="zh-TW" w:eastAsia="zh-TW"/>
              </w:rPr>
              <w:t>监测因子</w:t>
            </w:r>
          </w:p>
        </w:tc>
        <w:tc>
          <w:tcPr>
            <w:tcW w:w="958" w:type="pct"/>
            <w:tcBorders>
              <w:top w:val="single" w:color="auto" w:sz="4" w:space="0"/>
              <w:left w:val="single" w:color="auto" w:sz="4" w:space="0"/>
              <w:bottom w:val="single" w:color="auto" w:sz="4" w:space="0"/>
              <w:right w:val="single" w:color="auto" w:sz="4" w:space="0"/>
            </w:tcBorders>
            <w:shd w:val="clear" w:color="auto" w:fill="FFFFFF"/>
            <w:vAlign w:val="center"/>
          </w:tcPr>
          <w:p w14:paraId="156A8FF8">
            <w:pPr>
              <w:spacing w:line="240" w:lineRule="auto"/>
              <w:jc w:val="center"/>
              <w:rPr>
                <w:color w:val="000000"/>
                <w:sz w:val="20"/>
                <w:szCs w:val="20"/>
              </w:rPr>
            </w:pPr>
            <w:r>
              <w:rPr>
                <w:color w:val="000000"/>
                <w:sz w:val="20"/>
                <w:szCs w:val="20"/>
                <w:lang w:val="zh-TW" w:eastAsia="zh-TW"/>
              </w:rPr>
              <w:t>监测频率</w:t>
            </w:r>
          </w:p>
        </w:tc>
      </w:tr>
      <w:tr w14:paraId="1410828F">
        <w:tblPrEx>
          <w:tblCellMar>
            <w:top w:w="0" w:type="dxa"/>
            <w:left w:w="0" w:type="dxa"/>
            <w:bottom w:w="0" w:type="dxa"/>
            <w:right w:w="0" w:type="dxa"/>
          </w:tblCellMar>
        </w:tblPrEx>
        <w:tc>
          <w:tcPr>
            <w:tcW w:w="408" w:type="pct"/>
            <w:tcBorders>
              <w:top w:val="single" w:color="auto" w:sz="4" w:space="0"/>
              <w:left w:val="single" w:color="auto" w:sz="4" w:space="0"/>
              <w:bottom w:val="single" w:color="auto" w:sz="4" w:space="0"/>
              <w:right w:val="nil"/>
            </w:tcBorders>
            <w:shd w:val="clear" w:color="auto" w:fill="FFFFFF"/>
            <w:vAlign w:val="center"/>
          </w:tcPr>
          <w:p w14:paraId="59F6CEE1">
            <w:pPr>
              <w:spacing w:line="240" w:lineRule="auto"/>
              <w:jc w:val="center"/>
              <w:rPr>
                <w:color w:val="000000"/>
                <w:sz w:val="20"/>
                <w:szCs w:val="20"/>
              </w:rPr>
            </w:pPr>
            <w:r>
              <w:rPr>
                <w:color w:val="000000"/>
                <w:sz w:val="20"/>
                <w:szCs w:val="20"/>
              </w:rPr>
              <w:t>废气</w:t>
            </w:r>
          </w:p>
        </w:tc>
        <w:tc>
          <w:tcPr>
            <w:tcW w:w="2065" w:type="pct"/>
            <w:tcBorders>
              <w:top w:val="single" w:color="auto" w:sz="4" w:space="0"/>
              <w:left w:val="single" w:color="auto" w:sz="4" w:space="0"/>
              <w:bottom w:val="single" w:color="auto" w:sz="4" w:space="0"/>
              <w:right w:val="nil"/>
            </w:tcBorders>
            <w:shd w:val="clear" w:color="auto" w:fill="FFFFFF"/>
            <w:vAlign w:val="center"/>
          </w:tcPr>
          <w:p w14:paraId="26E7587B">
            <w:pPr>
              <w:spacing w:line="240" w:lineRule="auto"/>
              <w:jc w:val="center"/>
              <w:rPr>
                <w:color w:val="000000"/>
                <w:sz w:val="20"/>
                <w:szCs w:val="20"/>
              </w:rPr>
            </w:pPr>
            <w:r>
              <w:rPr>
                <w:color w:val="000000"/>
                <w:sz w:val="21"/>
              </w:rPr>
              <w:t>火炬烟气排放口</w:t>
            </w:r>
          </w:p>
        </w:tc>
        <w:tc>
          <w:tcPr>
            <w:tcW w:w="336" w:type="pct"/>
            <w:tcBorders>
              <w:top w:val="single" w:color="auto" w:sz="4" w:space="0"/>
              <w:left w:val="single" w:color="auto" w:sz="4" w:space="0"/>
              <w:bottom w:val="single" w:color="auto" w:sz="4" w:space="0"/>
              <w:right w:val="nil"/>
            </w:tcBorders>
            <w:shd w:val="clear" w:color="auto" w:fill="FFFFFF"/>
            <w:vAlign w:val="center"/>
          </w:tcPr>
          <w:p w14:paraId="14F32F69">
            <w:pPr>
              <w:spacing w:line="240" w:lineRule="auto"/>
              <w:jc w:val="center"/>
              <w:rPr>
                <w:color w:val="000000"/>
                <w:sz w:val="20"/>
                <w:szCs w:val="20"/>
              </w:rPr>
            </w:pPr>
            <w:r>
              <w:rPr>
                <w:color w:val="000000"/>
                <w:sz w:val="20"/>
                <w:szCs w:val="20"/>
              </w:rPr>
              <w:t>1个</w:t>
            </w:r>
          </w:p>
        </w:tc>
        <w:tc>
          <w:tcPr>
            <w:tcW w:w="1230" w:type="pct"/>
            <w:tcBorders>
              <w:top w:val="single" w:color="auto" w:sz="4" w:space="0"/>
              <w:left w:val="single" w:color="auto" w:sz="4" w:space="0"/>
              <w:bottom w:val="single" w:color="auto" w:sz="4" w:space="0"/>
              <w:right w:val="nil"/>
            </w:tcBorders>
            <w:shd w:val="clear" w:color="auto" w:fill="FFFFFF"/>
            <w:vAlign w:val="center"/>
          </w:tcPr>
          <w:p w14:paraId="593D790D">
            <w:pPr>
              <w:spacing w:line="240" w:lineRule="auto"/>
              <w:jc w:val="center"/>
              <w:rPr>
                <w:color w:val="000000"/>
                <w:sz w:val="21"/>
              </w:rPr>
            </w:pPr>
            <w:r>
              <w:rPr>
                <w:color w:val="000000"/>
                <w:sz w:val="21"/>
                <w:lang w:val="zh-TW" w:eastAsia="zh-TW"/>
              </w:rPr>
              <w:t>流量</w:t>
            </w:r>
            <w:r>
              <w:rPr>
                <w:color w:val="000000"/>
                <w:sz w:val="21"/>
                <w:lang w:val="zh-TW"/>
              </w:rPr>
              <w:t>，</w:t>
            </w:r>
            <w:r>
              <w:rPr>
                <w:color w:val="000000"/>
                <w:sz w:val="21"/>
              </w:rPr>
              <w:t>颗粒物、SO</w:t>
            </w:r>
            <w:r>
              <w:rPr>
                <w:color w:val="000000"/>
                <w:sz w:val="21"/>
                <w:vertAlign w:val="subscript"/>
              </w:rPr>
              <w:t>2</w:t>
            </w:r>
            <w:r>
              <w:rPr>
                <w:color w:val="000000"/>
                <w:sz w:val="21"/>
              </w:rPr>
              <w:t>、NOx浓度</w:t>
            </w:r>
          </w:p>
        </w:tc>
        <w:tc>
          <w:tcPr>
            <w:tcW w:w="958" w:type="pct"/>
            <w:tcBorders>
              <w:top w:val="single" w:color="auto" w:sz="4" w:space="0"/>
              <w:left w:val="single" w:color="auto" w:sz="4" w:space="0"/>
              <w:bottom w:val="single" w:color="auto" w:sz="4" w:space="0"/>
              <w:right w:val="single" w:color="auto" w:sz="4" w:space="0"/>
            </w:tcBorders>
            <w:shd w:val="clear" w:color="auto" w:fill="FFFFFF"/>
            <w:vAlign w:val="center"/>
          </w:tcPr>
          <w:p w14:paraId="02C74586">
            <w:pPr>
              <w:spacing w:line="240" w:lineRule="auto"/>
              <w:jc w:val="center"/>
              <w:rPr>
                <w:color w:val="000000"/>
                <w:sz w:val="21"/>
              </w:rPr>
            </w:pPr>
            <w:r>
              <w:rPr>
                <w:bCs/>
                <w:color w:val="000000"/>
                <w:sz w:val="20"/>
                <w:szCs w:val="20"/>
              </w:rPr>
              <w:t>1次/年</w:t>
            </w:r>
          </w:p>
        </w:tc>
      </w:tr>
      <w:tr w14:paraId="7818453E">
        <w:tblPrEx>
          <w:tblCellMar>
            <w:top w:w="0" w:type="dxa"/>
            <w:left w:w="0" w:type="dxa"/>
            <w:bottom w:w="0" w:type="dxa"/>
            <w:right w:w="0" w:type="dxa"/>
          </w:tblCellMar>
        </w:tblPrEx>
        <w:tc>
          <w:tcPr>
            <w:tcW w:w="408" w:type="pct"/>
            <w:tcBorders>
              <w:top w:val="single" w:color="auto" w:sz="4" w:space="0"/>
              <w:left w:val="single" w:color="auto" w:sz="4" w:space="0"/>
              <w:right w:val="nil"/>
            </w:tcBorders>
            <w:shd w:val="clear" w:color="auto" w:fill="FFFFFF"/>
            <w:vAlign w:val="center"/>
          </w:tcPr>
          <w:p w14:paraId="0A3CD316">
            <w:pPr>
              <w:spacing w:line="240" w:lineRule="auto"/>
              <w:jc w:val="center"/>
              <w:rPr>
                <w:color w:val="000000"/>
                <w:sz w:val="20"/>
                <w:szCs w:val="20"/>
              </w:rPr>
            </w:pPr>
            <w:r>
              <w:rPr>
                <w:color w:val="000000"/>
                <w:sz w:val="20"/>
                <w:szCs w:val="20"/>
                <w:lang w:val="zh-TW" w:eastAsia="zh-TW"/>
              </w:rPr>
              <w:t>废水</w:t>
            </w:r>
          </w:p>
        </w:tc>
        <w:tc>
          <w:tcPr>
            <w:tcW w:w="2065" w:type="pct"/>
            <w:tcBorders>
              <w:top w:val="single" w:color="auto" w:sz="4" w:space="0"/>
              <w:left w:val="single" w:color="auto" w:sz="4" w:space="0"/>
              <w:bottom w:val="single" w:color="auto" w:sz="4" w:space="0"/>
              <w:right w:val="nil"/>
            </w:tcBorders>
            <w:shd w:val="clear" w:color="auto" w:fill="FFFFFF"/>
            <w:vAlign w:val="center"/>
          </w:tcPr>
          <w:p w14:paraId="7A13B4EE">
            <w:pPr>
              <w:spacing w:line="240" w:lineRule="auto"/>
              <w:jc w:val="center"/>
              <w:rPr>
                <w:color w:val="000000"/>
                <w:sz w:val="20"/>
                <w:szCs w:val="20"/>
              </w:rPr>
            </w:pPr>
            <w:r>
              <w:rPr>
                <w:color w:val="000000"/>
                <w:sz w:val="20"/>
                <w:szCs w:val="20"/>
              </w:rPr>
              <w:t>废水排口</w:t>
            </w:r>
          </w:p>
        </w:tc>
        <w:tc>
          <w:tcPr>
            <w:tcW w:w="336" w:type="pct"/>
            <w:tcBorders>
              <w:top w:val="single" w:color="auto" w:sz="4" w:space="0"/>
              <w:left w:val="single" w:color="auto" w:sz="4" w:space="0"/>
              <w:bottom w:val="single" w:color="auto" w:sz="4" w:space="0"/>
              <w:right w:val="nil"/>
            </w:tcBorders>
            <w:shd w:val="clear" w:color="auto" w:fill="FFFFFF"/>
            <w:vAlign w:val="center"/>
          </w:tcPr>
          <w:p w14:paraId="5F25ADC0">
            <w:pPr>
              <w:spacing w:line="240" w:lineRule="auto"/>
              <w:jc w:val="center"/>
              <w:rPr>
                <w:color w:val="000000"/>
                <w:sz w:val="20"/>
                <w:szCs w:val="20"/>
              </w:rPr>
            </w:pPr>
            <w:r>
              <w:rPr>
                <w:color w:val="000000"/>
                <w:sz w:val="20"/>
                <w:szCs w:val="20"/>
              </w:rPr>
              <w:t>1个</w:t>
            </w:r>
          </w:p>
        </w:tc>
        <w:tc>
          <w:tcPr>
            <w:tcW w:w="1230" w:type="pct"/>
            <w:tcBorders>
              <w:top w:val="single" w:color="auto" w:sz="4" w:space="0"/>
              <w:left w:val="single" w:color="auto" w:sz="4" w:space="0"/>
              <w:bottom w:val="single" w:color="auto" w:sz="4" w:space="0"/>
              <w:right w:val="nil"/>
            </w:tcBorders>
            <w:shd w:val="clear" w:color="auto" w:fill="FFFFFF"/>
            <w:vAlign w:val="center"/>
          </w:tcPr>
          <w:p w14:paraId="21CAC3C1">
            <w:pPr>
              <w:spacing w:line="240" w:lineRule="auto"/>
              <w:jc w:val="center"/>
              <w:rPr>
                <w:color w:val="000000"/>
                <w:sz w:val="20"/>
                <w:szCs w:val="20"/>
              </w:rPr>
            </w:pPr>
            <w:r>
              <w:rPr>
                <w:color w:val="000000"/>
                <w:sz w:val="21"/>
              </w:rPr>
              <w:t>流量、pH、悬浮物、化学需氧量、氨氮、五日生化需氧量、TP</w:t>
            </w:r>
          </w:p>
        </w:tc>
        <w:tc>
          <w:tcPr>
            <w:tcW w:w="958" w:type="pct"/>
            <w:tcBorders>
              <w:top w:val="single" w:color="auto" w:sz="4" w:space="0"/>
              <w:left w:val="single" w:color="auto" w:sz="4" w:space="0"/>
              <w:bottom w:val="single" w:color="auto" w:sz="4" w:space="0"/>
              <w:right w:val="single" w:color="auto" w:sz="4" w:space="0"/>
            </w:tcBorders>
            <w:shd w:val="clear" w:color="auto" w:fill="FFFFFF"/>
            <w:vAlign w:val="center"/>
          </w:tcPr>
          <w:p w14:paraId="34DFCF47">
            <w:pPr>
              <w:spacing w:line="240" w:lineRule="auto"/>
              <w:jc w:val="center"/>
              <w:rPr>
                <w:color w:val="000000"/>
                <w:sz w:val="20"/>
                <w:szCs w:val="20"/>
              </w:rPr>
            </w:pPr>
            <w:r>
              <w:rPr>
                <w:color w:val="000000"/>
                <w:sz w:val="21"/>
              </w:rPr>
              <w:t>每季度监测一次</w:t>
            </w:r>
          </w:p>
        </w:tc>
      </w:tr>
      <w:tr w14:paraId="70821D87">
        <w:tblPrEx>
          <w:tblCellMar>
            <w:top w:w="0" w:type="dxa"/>
            <w:left w:w="0" w:type="dxa"/>
            <w:bottom w:w="0" w:type="dxa"/>
            <w:right w:w="0" w:type="dxa"/>
          </w:tblCellMar>
        </w:tblPrEx>
        <w:trPr>
          <w:trHeight w:val="504" w:hRule="atLeast"/>
        </w:trPr>
        <w:tc>
          <w:tcPr>
            <w:tcW w:w="408" w:type="pct"/>
            <w:tcBorders>
              <w:top w:val="single" w:color="auto" w:sz="4" w:space="0"/>
              <w:left w:val="single" w:color="auto" w:sz="4" w:space="0"/>
              <w:bottom w:val="single" w:color="auto" w:sz="4" w:space="0"/>
              <w:right w:val="nil"/>
            </w:tcBorders>
            <w:shd w:val="clear" w:color="auto" w:fill="FFFFFF"/>
            <w:vAlign w:val="center"/>
          </w:tcPr>
          <w:p w14:paraId="4648BE79">
            <w:pPr>
              <w:spacing w:line="240" w:lineRule="auto"/>
              <w:jc w:val="center"/>
              <w:rPr>
                <w:color w:val="000000"/>
                <w:sz w:val="20"/>
                <w:szCs w:val="20"/>
              </w:rPr>
            </w:pPr>
            <w:r>
              <w:rPr>
                <w:color w:val="000000"/>
                <w:sz w:val="20"/>
                <w:szCs w:val="20"/>
                <w:lang w:val="zh-TW" w:eastAsia="zh-TW"/>
              </w:rPr>
              <w:t>噪声</w:t>
            </w:r>
          </w:p>
        </w:tc>
        <w:tc>
          <w:tcPr>
            <w:tcW w:w="2065" w:type="pct"/>
            <w:tcBorders>
              <w:top w:val="single" w:color="auto" w:sz="4" w:space="0"/>
              <w:left w:val="single" w:color="auto" w:sz="4" w:space="0"/>
              <w:bottom w:val="single" w:color="auto" w:sz="4" w:space="0"/>
              <w:right w:val="nil"/>
            </w:tcBorders>
            <w:shd w:val="clear" w:color="auto" w:fill="FFFFFF"/>
            <w:vAlign w:val="center"/>
          </w:tcPr>
          <w:p w14:paraId="311C31A0">
            <w:pPr>
              <w:spacing w:line="240" w:lineRule="auto"/>
              <w:jc w:val="center"/>
              <w:rPr>
                <w:color w:val="000000"/>
                <w:sz w:val="20"/>
                <w:szCs w:val="20"/>
              </w:rPr>
            </w:pPr>
            <w:r>
              <w:rPr>
                <w:color w:val="000000"/>
                <w:sz w:val="20"/>
                <w:szCs w:val="20"/>
                <w:lang w:val="zh-TW"/>
              </w:rPr>
              <w:t>厂界</w:t>
            </w:r>
            <w:r>
              <w:rPr>
                <w:color w:val="000000"/>
                <w:sz w:val="20"/>
                <w:szCs w:val="20"/>
              </w:rPr>
              <w:t>（西北侧、东北侧）</w:t>
            </w:r>
          </w:p>
        </w:tc>
        <w:tc>
          <w:tcPr>
            <w:tcW w:w="336" w:type="pct"/>
            <w:tcBorders>
              <w:top w:val="single" w:color="auto" w:sz="4" w:space="0"/>
              <w:left w:val="single" w:color="auto" w:sz="4" w:space="0"/>
              <w:bottom w:val="single" w:color="auto" w:sz="4" w:space="0"/>
              <w:right w:val="nil"/>
            </w:tcBorders>
            <w:shd w:val="clear" w:color="auto" w:fill="FFFFFF"/>
            <w:vAlign w:val="center"/>
          </w:tcPr>
          <w:p w14:paraId="6CAD78C8">
            <w:pPr>
              <w:spacing w:line="240" w:lineRule="auto"/>
              <w:jc w:val="center"/>
              <w:rPr>
                <w:color w:val="000000"/>
                <w:sz w:val="20"/>
                <w:szCs w:val="20"/>
              </w:rPr>
            </w:pPr>
            <w:r>
              <w:rPr>
                <w:color w:val="000000"/>
                <w:sz w:val="20"/>
                <w:szCs w:val="20"/>
              </w:rPr>
              <w:t>2个</w:t>
            </w:r>
          </w:p>
        </w:tc>
        <w:tc>
          <w:tcPr>
            <w:tcW w:w="1230" w:type="pct"/>
            <w:tcBorders>
              <w:top w:val="single" w:color="auto" w:sz="4" w:space="0"/>
              <w:left w:val="single" w:color="auto" w:sz="4" w:space="0"/>
              <w:bottom w:val="single" w:color="auto" w:sz="4" w:space="0"/>
              <w:right w:val="nil"/>
            </w:tcBorders>
            <w:shd w:val="clear" w:color="auto" w:fill="FFFFFF"/>
            <w:vAlign w:val="center"/>
          </w:tcPr>
          <w:p w14:paraId="60E1A250">
            <w:pPr>
              <w:spacing w:line="240" w:lineRule="auto"/>
              <w:jc w:val="center"/>
              <w:rPr>
                <w:color w:val="000000"/>
                <w:sz w:val="20"/>
                <w:szCs w:val="20"/>
              </w:rPr>
            </w:pPr>
            <w:r>
              <w:rPr>
                <w:color w:val="000000"/>
                <w:sz w:val="20"/>
                <w:szCs w:val="20"/>
                <w:lang w:val="zh-TW" w:eastAsia="zh-TW"/>
              </w:rPr>
              <w:t>等效声级</w:t>
            </w:r>
          </w:p>
        </w:tc>
        <w:tc>
          <w:tcPr>
            <w:tcW w:w="958" w:type="pct"/>
            <w:tcBorders>
              <w:top w:val="single" w:color="auto" w:sz="4" w:space="0"/>
              <w:left w:val="single" w:color="auto" w:sz="4" w:space="0"/>
              <w:bottom w:val="single" w:color="auto" w:sz="4" w:space="0"/>
              <w:right w:val="single" w:color="auto" w:sz="4" w:space="0"/>
            </w:tcBorders>
            <w:shd w:val="clear" w:color="auto" w:fill="FFFFFF"/>
            <w:vAlign w:val="center"/>
          </w:tcPr>
          <w:p w14:paraId="07B8817A">
            <w:pPr>
              <w:spacing w:line="240" w:lineRule="auto"/>
              <w:jc w:val="center"/>
              <w:rPr>
                <w:color w:val="000000"/>
                <w:sz w:val="20"/>
                <w:szCs w:val="20"/>
              </w:rPr>
            </w:pPr>
            <w:r>
              <w:rPr>
                <w:bCs/>
                <w:color w:val="000000"/>
                <w:sz w:val="20"/>
                <w:szCs w:val="20"/>
                <w:lang w:val="zh-TW"/>
              </w:rPr>
              <w:t>1</w:t>
            </w:r>
            <w:r>
              <w:rPr>
                <w:color w:val="000000"/>
                <w:sz w:val="20"/>
                <w:szCs w:val="20"/>
                <w:lang w:val="zh-TW" w:eastAsia="zh-TW"/>
              </w:rPr>
              <w:t>次/</w:t>
            </w:r>
            <w:r>
              <w:rPr>
                <w:color w:val="000000"/>
                <w:sz w:val="20"/>
                <w:szCs w:val="20"/>
                <w:lang w:val="zh-TW"/>
              </w:rPr>
              <w:t>季度</w:t>
            </w:r>
          </w:p>
        </w:tc>
      </w:tr>
    </w:tbl>
    <w:p w14:paraId="5650578A">
      <w:pPr>
        <w:ind w:firstLine="480"/>
        <w:rPr>
          <w:color w:val="000000"/>
        </w:rPr>
      </w:pPr>
      <w:r>
        <w:rPr>
          <w:color w:val="000000"/>
        </w:rPr>
        <w:t xml:space="preserve"> (2)跟踪监测</w:t>
      </w:r>
    </w:p>
    <w:p w14:paraId="0CC34AF5">
      <w:pPr>
        <w:ind w:firstLine="480"/>
        <w:rPr>
          <w:bCs/>
          <w:color w:val="000000"/>
        </w:rPr>
      </w:pPr>
      <w:r>
        <w:rPr>
          <w:color w:val="000000"/>
        </w:rPr>
        <w:t>根据《环境影响评价技术导则  地下水环境》(HJ610-2016)、《环境影响评价技术导则  土壤环境(试行)》(HJ964-2018)，本项目需要对地下水环境、土壤环境进行跟踪监测。</w:t>
      </w:r>
      <w:r>
        <w:rPr>
          <w:snapToGrid w:val="0"/>
          <w:color w:val="000000"/>
        </w:rPr>
        <w:t>地下水、土壤跟踪监测井基本情况及监测计划见</w:t>
      </w:r>
      <w:r>
        <w:fldChar w:fldCharType="begin"/>
      </w:r>
      <w:r>
        <w:instrText xml:space="preserve"> REF _Ref38026511 \h  \* MERGEFORMAT </w:instrText>
      </w:r>
      <w:r>
        <w:fldChar w:fldCharType="separate"/>
      </w:r>
      <w:r>
        <w:rPr>
          <w:color w:val="000000"/>
        </w:rPr>
        <w:t>表.3.1-2</w:t>
      </w:r>
      <w:r>
        <w:rPr>
          <w:color w:val="000000"/>
        </w:rPr>
        <w:fldChar w:fldCharType="end"/>
      </w:r>
      <w:r>
        <w:rPr>
          <w:bCs/>
          <w:color w:val="000000"/>
        </w:rPr>
        <w:t>。</w:t>
      </w:r>
      <w:bookmarkStart w:id="842" w:name="_Ref18678714"/>
      <w:bookmarkStart w:id="843" w:name="_Ref508981208"/>
      <w:bookmarkStart w:id="844" w:name="_Ref532571128"/>
      <w:bookmarkStart w:id="845" w:name="_Ref17983716"/>
    </w:p>
    <w:p w14:paraId="3E94BA23">
      <w:pPr>
        <w:pStyle w:val="408"/>
        <w:adjustRightInd w:val="0"/>
        <w:snapToGrid w:val="0"/>
        <w:jc w:val="center"/>
        <w:rPr>
          <w:rFonts w:ascii="Times New Roman" w:hAnsi="Times New Roman"/>
          <w:color w:val="000000"/>
        </w:rPr>
      </w:pPr>
      <w:bookmarkStart w:id="846" w:name="_Ref38026511"/>
    </w:p>
    <w:p w14:paraId="49F60C79">
      <w:pPr>
        <w:pStyle w:val="408"/>
        <w:adjustRightInd w:val="0"/>
        <w:snapToGrid w:val="0"/>
        <w:jc w:val="center"/>
        <w:rPr>
          <w:rFonts w:ascii="Times New Roman" w:hAnsi="Times New Roman"/>
          <w:color w:val="000000"/>
        </w:rPr>
      </w:pPr>
    </w:p>
    <w:p w14:paraId="11984B78">
      <w:pPr>
        <w:pStyle w:val="408"/>
        <w:adjustRightInd w:val="0"/>
        <w:snapToGrid w:val="0"/>
        <w:jc w:val="center"/>
        <w:rPr>
          <w:rFonts w:ascii="Times New Roman" w:hAnsi="Times New Roman"/>
          <w:color w:val="000000"/>
        </w:rPr>
      </w:pPr>
    </w:p>
    <w:p w14:paraId="74B98BA2">
      <w:pPr>
        <w:pStyle w:val="408"/>
        <w:adjustRightInd w:val="0"/>
        <w:snapToGrid w:val="0"/>
        <w:jc w:val="center"/>
        <w:rPr>
          <w:rFonts w:ascii="Times New Roman" w:hAnsi="Times New Roman"/>
          <w:color w:val="000000"/>
        </w:rPr>
      </w:pPr>
    </w:p>
    <w:p w14:paraId="1B7910CB">
      <w:pPr>
        <w:pStyle w:val="408"/>
        <w:adjustRightInd w:val="0"/>
        <w:snapToGrid w:val="0"/>
        <w:jc w:val="center"/>
        <w:rPr>
          <w:rFonts w:ascii="Times New Roman" w:hAnsi="Times New Roman"/>
          <w:color w:val="000000"/>
        </w:rPr>
      </w:pPr>
      <w:r>
        <w:rPr>
          <w:rFonts w:ascii="Times New Roman" w:hAnsi="Times New Roman"/>
          <w:color w:val="000000"/>
        </w:rPr>
        <w:t>表</w:t>
      </w:r>
      <w:bookmarkEnd w:id="842"/>
      <w:bookmarkEnd w:id="843"/>
      <w:bookmarkEnd w:id="844"/>
      <w:bookmarkEnd w:id="845"/>
      <w:bookmarkEnd w:id="846"/>
      <w:r>
        <w:rPr>
          <w:rFonts w:ascii="Times New Roman" w:hAnsi="Times New Roman"/>
          <w:color w:val="000000"/>
        </w:rPr>
        <w:t>9.3.1-2  跟踪监测井基本情况及监测计划</w:t>
      </w:r>
    </w:p>
    <w:tbl>
      <w:tblPr>
        <w:tblStyle w:val="7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57"/>
        <w:gridCol w:w="2199"/>
        <w:gridCol w:w="1654"/>
        <w:gridCol w:w="2326"/>
        <w:gridCol w:w="1719"/>
      </w:tblGrid>
      <w:tr w14:paraId="30FE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blHeader/>
          <w:jc w:val="center"/>
        </w:trPr>
        <w:tc>
          <w:tcPr>
            <w:tcW w:w="273" w:type="pct"/>
            <w:vAlign w:val="center"/>
          </w:tcPr>
          <w:p w14:paraId="4CDF5EAA">
            <w:pPr>
              <w:pStyle w:val="2205"/>
              <w:rPr>
                <w:color w:val="000000"/>
                <w:szCs w:val="21"/>
              </w:rPr>
            </w:pPr>
            <w:r>
              <w:rPr>
                <w:color w:val="000000"/>
                <w:szCs w:val="21"/>
              </w:rPr>
              <w:t>类别</w:t>
            </w:r>
          </w:p>
        </w:tc>
        <w:tc>
          <w:tcPr>
            <w:tcW w:w="1315" w:type="pct"/>
            <w:vAlign w:val="center"/>
          </w:tcPr>
          <w:p w14:paraId="157980F3">
            <w:pPr>
              <w:pStyle w:val="2205"/>
              <w:rPr>
                <w:color w:val="000000"/>
                <w:szCs w:val="21"/>
              </w:rPr>
            </w:pPr>
            <w:r>
              <w:rPr>
                <w:color w:val="000000"/>
                <w:szCs w:val="21"/>
              </w:rPr>
              <w:t>采样点相对位置</w:t>
            </w:r>
          </w:p>
        </w:tc>
        <w:tc>
          <w:tcPr>
            <w:tcW w:w="989" w:type="pct"/>
            <w:vAlign w:val="center"/>
          </w:tcPr>
          <w:p w14:paraId="0103E511">
            <w:pPr>
              <w:pStyle w:val="2205"/>
              <w:rPr>
                <w:color w:val="000000"/>
                <w:szCs w:val="21"/>
              </w:rPr>
            </w:pPr>
            <w:r>
              <w:rPr>
                <w:color w:val="000000"/>
                <w:szCs w:val="21"/>
              </w:rPr>
              <w:t>监测点功能</w:t>
            </w:r>
          </w:p>
        </w:tc>
        <w:tc>
          <w:tcPr>
            <w:tcW w:w="1391" w:type="pct"/>
            <w:vAlign w:val="center"/>
          </w:tcPr>
          <w:p w14:paraId="08387F1A">
            <w:pPr>
              <w:pStyle w:val="2205"/>
              <w:rPr>
                <w:color w:val="000000"/>
                <w:szCs w:val="21"/>
              </w:rPr>
            </w:pPr>
            <w:r>
              <w:rPr>
                <w:color w:val="000000"/>
                <w:szCs w:val="21"/>
              </w:rPr>
              <w:t>监测因子</w:t>
            </w:r>
          </w:p>
        </w:tc>
        <w:tc>
          <w:tcPr>
            <w:tcW w:w="1028" w:type="pct"/>
            <w:vAlign w:val="center"/>
          </w:tcPr>
          <w:p w14:paraId="74A1EDBB">
            <w:pPr>
              <w:pStyle w:val="2205"/>
              <w:rPr>
                <w:color w:val="000000"/>
                <w:szCs w:val="21"/>
              </w:rPr>
            </w:pPr>
            <w:r>
              <w:rPr>
                <w:color w:val="000000"/>
                <w:szCs w:val="21"/>
              </w:rPr>
              <w:t>监测频率</w:t>
            </w:r>
          </w:p>
        </w:tc>
      </w:tr>
      <w:tr w14:paraId="3C9D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blHeader/>
          <w:jc w:val="center"/>
        </w:trPr>
        <w:tc>
          <w:tcPr>
            <w:tcW w:w="273" w:type="pct"/>
            <w:vMerge w:val="restart"/>
            <w:vAlign w:val="center"/>
          </w:tcPr>
          <w:p w14:paraId="488D4EFE">
            <w:pPr>
              <w:pStyle w:val="2205"/>
              <w:rPr>
                <w:color w:val="000000"/>
                <w:szCs w:val="21"/>
              </w:rPr>
            </w:pPr>
            <w:r>
              <w:rPr>
                <w:color w:val="000000"/>
                <w:szCs w:val="21"/>
              </w:rPr>
              <w:t>地下水</w:t>
            </w:r>
          </w:p>
        </w:tc>
        <w:tc>
          <w:tcPr>
            <w:tcW w:w="1315" w:type="pct"/>
            <w:vAlign w:val="center"/>
          </w:tcPr>
          <w:p w14:paraId="2D0A9477">
            <w:pPr>
              <w:pStyle w:val="2205"/>
              <w:rPr>
                <w:color w:val="000000"/>
                <w:szCs w:val="21"/>
              </w:rPr>
            </w:pPr>
            <w:r>
              <w:rPr>
                <w:color w:val="000000"/>
                <w:szCs w:val="21"/>
              </w:rPr>
              <w:t>项目上游</w:t>
            </w:r>
            <w:r>
              <w:rPr>
                <w:color w:val="000000"/>
                <w:szCs w:val="21"/>
                <w:lang w:val="zh-TW" w:eastAsia="zh-TW"/>
              </w:rPr>
              <w:t>园区现有地下水监控井</w:t>
            </w:r>
            <w:r>
              <w:rPr>
                <w:color w:val="000000"/>
                <w:szCs w:val="21"/>
                <w:lang w:val="zh-TW"/>
              </w:rPr>
              <w:t>（</w:t>
            </w:r>
            <w:r>
              <w:rPr>
                <w:color w:val="000000"/>
                <w:szCs w:val="21"/>
              </w:rPr>
              <w:t>D2井</w:t>
            </w:r>
            <w:r>
              <w:rPr>
                <w:color w:val="000000"/>
                <w:szCs w:val="21"/>
                <w:lang w:val="zh-TW"/>
              </w:rPr>
              <w:t>）</w:t>
            </w:r>
          </w:p>
        </w:tc>
        <w:tc>
          <w:tcPr>
            <w:tcW w:w="989" w:type="pct"/>
            <w:vAlign w:val="center"/>
          </w:tcPr>
          <w:p w14:paraId="4D9C648D">
            <w:pPr>
              <w:pStyle w:val="2205"/>
              <w:rPr>
                <w:color w:val="000000"/>
                <w:szCs w:val="21"/>
              </w:rPr>
            </w:pPr>
            <w:r>
              <w:rPr>
                <w:color w:val="000000"/>
                <w:szCs w:val="21"/>
              </w:rPr>
              <w:t>背景值监测点</w:t>
            </w:r>
          </w:p>
        </w:tc>
        <w:tc>
          <w:tcPr>
            <w:tcW w:w="1391" w:type="pct"/>
            <w:vMerge w:val="restart"/>
            <w:vAlign w:val="center"/>
          </w:tcPr>
          <w:p w14:paraId="1A2BFB12">
            <w:pPr>
              <w:pStyle w:val="2205"/>
              <w:rPr>
                <w:color w:val="000000"/>
                <w:szCs w:val="21"/>
              </w:rPr>
            </w:pPr>
            <w:r>
              <w:rPr>
                <w:color w:val="000000"/>
                <w:szCs w:val="21"/>
              </w:rPr>
              <w:t>pH、耗氧量、氨氮、氯化物、磷酸盐、氟化物、总硬度</w:t>
            </w:r>
          </w:p>
        </w:tc>
        <w:tc>
          <w:tcPr>
            <w:tcW w:w="1028" w:type="pct"/>
            <w:vMerge w:val="restart"/>
            <w:vAlign w:val="center"/>
          </w:tcPr>
          <w:p w14:paraId="0C15DEF0">
            <w:pPr>
              <w:pStyle w:val="2205"/>
              <w:rPr>
                <w:color w:val="000000"/>
                <w:szCs w:val="21"/>
              </w:rPr>
            </w:pPr>
            <w:r>
              <w:rPr>
                <w:color w:val="000000"/>
                <w:szCs w:val="21"/>
              </w:rPr>
              <w:t>1年1次(枯水期)，或发生泄漏事故后</w:t>
            </w:r>
          </w:p>
        </w:tc>
      </w:tr>
      <w:tr w14:paraId="77C3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blHeader/>
          <w:jc w:val="center"/>
        </w:trPr>
        <w:tc>
          <w:tcPr>
            <w:tcW w:w="273" w:type="pct"/>
            <w:vMerge w:val="continue"/>
            <w:vAlign w:val="center"/>
          </w:tcPr>
          <w:p w14:paraId="6E20C4AA">
            <w:pPr>
              <w:pStyle w:val="2205"/>
              <w:rPr>
                <w:color w:val="000000"/>
                <w:szCs w:val="21"/>
              </w:rPr>
            </w:pPr>
          </w:p>
        </w:tc>
        <w:tc>
          <w:tcPr>
            <w:tcW w:w="1315" w:type="pct"/>
            <w:vAlign w:val="center"/>
          </w:tcPr>
          <w:p w14:paraId="2FE58DD0">
            <w:pPr>
              <w:pStyle w:val="2205"/>
              <w:rPr>
                <w:color w:val="000000"/>
                <w:szCs w:val="21"/>
              </w:rPr>
            </w:pPr>
            <w:r>
              <w:rPr>
                <w:color w:val="000000"/>
                <w:szCs w:val="21"/>
              </w:rPr>
              <w:t>项目下游</w:t>
            </w:r>
            <w:r>
              <w:rPr>
                <w:color w:val="000000"/>
                <w:szCs w:val="21"/>
                <w:lang w:val="zh-TW" w:eastAsia="zh-TW"/>
              </w:rPr>
              <w:t>园区现有地下水监控井</w:t>
            </w:r>
            <w:r>
              <w:rPr>
                <w:color w:val="000000"/>
                <w:szCs w:val="21"/>
                <w:lang w:val="zh-TW"/>
              </w:rPr>
              <w:t>（</w:t>
            </w:r>
            <w:r>
              <w:rPr>
                <w:color w:val="000000"/>
                <w:szCs w:val="21"/>
              </w:rPr>
              <w:t>D3井</w:t>
            </w:r>
            <w:r>
              <w:rPr>
                <w:color w:val="000000"/>
                <w:szCs w:val="21"/>
                <w:lang w:val="zh-TW"/>
              </w:rPr>
              <w:t>）</w:t>
            </w:r>
          </w:p>
        </w:tc>
        <w:tc>
          <w:tcPr>
            <w:tcW w:w="989" w:type="pct"/>
            <w:vAlign w:val="center"/>
          </w:tcPr>
          <w:p w14:paraId="34304009">
            <w:pPr>
              <w:pStyle w:val="2205"/>
              <w:rPr>
                <w:color w:val="000000"/>
                <w:szCs w:val="21"/>
              </w:rPr>
            </w:pPr>
            <w:r>
              <w:rPr>
                <w:color w:val="000000"/>
                <w:szCs w:val="21"/>
              </w:rPr>
              <w:t>污染扩散监测点</w:t>
            </w:r>
          </w:p>
        </w:tc>
        <w:tc>
          <w:tcPr>
            <w:tcW w:w="1391" w:type="pct"/>
            <w:vMerge w:val="continue"/>
            <w:vAlign w:val="center"/>
          </w:tcPr>
          <w:p w14:paraId="6744D7C0">
            <w:pPr>
              <w:pStyle w:val="2205"/>
              <w:rPr>
                <w:color w:val="000000"/>
                <w:szCs w:val="21"/>
              </w:rPr>
            </w:pPr>
          </w:p>
        </w:tc>
        <w:tc>
          <w:tcPr>
            <w:tcW w:w="1028" w:type="pct"/>
            <w:vMerge w:val="continue"/>
            <w:vAlign w:val="center"/>
          </w:tcPr>
          <w:p w14:paraId="11ADD7AB">
            <w:pPr>
              <w:pStyle w:val="2205"/>
              <w:rPr>
                <w:color w:val="000000"/>
                <w:szCs w:val="21"/>
              </w:rPr>
            </w:pPr>
          </w:p>
        </w:tc>
      </w:tr>
      <w:tr w14:paraId="3AC8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blHeader/>
          <w:jc w:val="center"/>
        </w:trPr>
        <w:tc>
          <w:tcPr>
            <w:tcW w:w="273" w:type="pct"/>
            <w:vMerge w:val="continue"/>
            <w:vAlign w:val="center"/>
          </w:tcPr>
          <w:p w14:paraId="42BC40BD">
            <w:pPr>
              <w:pStyle w:val="2205"/>
              <w:rPr>
                <w:color w:val="000000"/>
                <w:szCs w:val="21"/>
              </w:rPr>
            </w:pPr>
          </w:p>
        </w:tc>
        <w:tc>
          <w:tcPr>
            <w:tcW w:w="1315" w:type="pct"/>
            <w:vAlign w:val="center"/>
          </w:tcPr>
          <w:p w14:paraId="4856B1C6">
            <w:pPr>
              <w:pStyle w:val="2205"/>
              <w:rPr>
                <w:color w:val="000000"/>
                <w:szCs w:val="21"/>
              </w:rPr>
            </w:pPr>
            <w:r>
              <w:rPr>
                <w:color w:val="000000"/>
                <w:szCs w:val="21"/>
              </w:rPr>
              <w:t>项目</w:t>
            </w:r>
            <w:r>
              <w:rPr>
                <w:color w:val="000000"/>
                <w:szCs w:val="21"/>
                <w:lang w:val="zh-TW" w:eastAsia="zh-TW"/>
              </w:rPr>
              <w:t>场地</w:t>
            </w:r>
            <w:r>
              <w:rPr>
                <w:color w:val="000000"/>
                <w:szCs w:val="21"/>
              </w:rPr>
              <w:t>东南</w:t>
            </w:r>
            <w:r>
              <w:rPr>
                <w:color w:val="000000"/>
                <w:szCs w:val="21"/>
                <w:lang w:val="zh-TW"/>
              </w:rPr>
              <w:t>新设地下水监测井</w:t>
            </w:r>
          </w:p>
        </w:tc>
        <w:tc>
          <w:tcPr>
            <w:tcW w:w="989" w:type="pct"/>
            <w:vAlign w:val="center"/>
          </w:tcPr>
          <w:p w14:paraId="04931DD2">
            <w:pPr>
              <w:pStyle w:val="2205"/>
              <w:rPr>
                <w:color w:val="000000"/>
                <w:szCs w:val="21"/>
              </w:rPr>
            </w:pPr>
            <w:r>
              <w:rPr>
                <w:color w:val="000000"/>
                <w:szCs w:val="21"/>
              </w:rPr>
              <w:t>影响跟踪监测点</w:t>
            </w:r>
          </w:p>
        </w:tc>
        <w:tc>
          <w:tcPr>
            <w:tcW w:w="1391" w:type="pct"/>
            <w:vMerge w:val="continue"/>
            <w:vAlign w:val="center"/>
          </w:tcPr>
          <w:p w14:paraId="5878DE4D">
            <w:pPr>
              <w:pStyle w:val="2205"/>
              <w:rPr>
                <w:color w:val="000000"/>
                <w:szCs w:val="21"/>
              </w:rPr>
            </w:pPr>
          </w:p>
        </w:tc>
        <w:tc>
          <w:tcPr>
            <w:tcW w:w="1028" w:type="pct"/>
            <w:vMerge w:val="continue"/>
            <w:vAlign w:val="center"/>
          </w:tcPr>
          <w:p w14:paraId="653D4675">
            <w:pPr>
              <w:pStyle w:val="2205"/>
              <w:rPr>
                <w:color w:val="000000"/>
                <w:szCs w:val="21"/>
              </w:rPr>
            </w:pPr>
          </w:p>
        </w:tc>
      </w:tr>
      <w:tr w14:paraId="50E3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blHeader/>
          <w:jc w:val="center"/>
        </w:trPr>
        <w:tc>
          <w:tcPr>
            <w:tcW w:w="273" w:type="pct"/>
            <w:vMerge w:val="restart"/>
            <w:vAlign w:val="center"/>
          </w:tcPr>
          <w:p w14:paraId="5A8BF740">
            <w:pPr>
              <w:pStyle w:val="2205"/>
              <w:rPr>
                <w:color w:val="000000"/>
                <w:szCs w:val="21"/>
              </w:rPr>
            </w:pPr>
            <w:r>
              <w:rPr>
                <w:color w:val="000000"/>
                <w:szCs w:val="21"/>
              </w:rPr>
              <w:t>土壤</w:t>
            </w:r>
          </w:p>
        </w:tc>
        <w:tc>
          <w:tcPr>
            <w:tcW w:w="1315" w:type="pct"/>
            <w:vAlign w:val="center"/>
          </w:tcPr>
          <w:p w14:paraId="260B6CAB">
            <w:pPr>
              <w:pStyle w:val="2205"/>
              <w:rPr>
                <w:color w:val="000000"/>
                <w:szCs w:val="21"/>
              </w:rPr>
            </w:pPr>
            <w:r>
              <w:rPr>
                <w:color w:val="000000"/>
                <w:szCs w:val="21"/>
              </w:rPr>
              <w:t>项目工艺装置区东侧（表层样）、</w:t>
            </w:r>
          </w:p>
        </w:tc>
        <w:tc>
          <w:tcPr>
            <w:tcW w:w="989" w:type="pct"/>
            <w:vAlign w:val="center"/>
          </w:tcPr>
          <w:p w14:paraId="5C21A0DD">
            <w:pPr>
              <w:pStyle w:val="2205"/>
              <w:rPr>
                <w:color w:val="000000"/>
                <w:szCs w:val="21"/>
              </w:rPr>
            </w:pPr>
            <w:r>
              <w:rPr>
                <w:color w:val="000000"/>
                <w:szCs w:val="21"/>
              </w:rPr>
              <w:t>背景监测点</w:t>
            </w:r>
          </w:p>
        </w:tc>
        <w:tc>
          <w:tcPr>
            <w:tcW w:w="1391" w:type="pct"/>
            <w:vAlign w:val="center"/>
          </w:tcPr>
          <w:p w14:paraId="7B192A94">
            <w:pPr>
              <w:pStyle w:val="2205"/>
              <w:rPr>
                <w:color w:val="000000"/>
                <w:szCs w:val="21"/>
              </w:rPr>
            </w:pPr>
            <w:r>
              <w:rPr>
                <w:color w:val="000000"/>
                <w:szCs w:val="21"/>
              </w:rPr>
              <w:t>pH、石油烃</w:t>
            </w:r>
          </w:p>
        </w:tc>
        <w:tc>
          <w:tcPr>
            <w:tcW w:w="1028" w:type="pct"/>
            <w:vMerge w:val="restart"/>
            <w:vAlign w:val="center"/>
          </w:tcPr>
          <w:p w14:paraId="38841671">
            <w:pPr>
              <w:pStyle w:val="2205"/>
              <w:rPr>
                <w:color w:val="000000"/>
                <w:szCs w:val="21"/>
              </w:rPr>
            </w:pPr>
            <w:r>
              <w:rPr>
                <w:color w:val="000000"/>
                <w:szCs w:val="21"/>
              </w:rPr>
              <w:t>5年1次，或发生泄漏事故后</w:t>
            </w:r>
          </w:p>
        </w:tc>
      </w:tr>
      <w:tr w14:paraId="6DEF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blHeader/>
          <w:jc w:val="center"/>
        </w:trPr>
        <w:tc>
          <w:tcPr>
            <w:tcW w:w="273" w:type="pct"/>
            <w:vMerge w:val="continue"/>
            <w:vAlign w:val="center"/>
          </w:tcPr>
          <w:p w14:paraId="59E903D8">
            <w:pPr>
              <w:pStyle w:val="2205"/>
              <w:rPr>
                <w:color w:val="000000"/>
                <w:szCs w:val="21"/>
              </w:rPr>
            </w:pPr>
          </w:p>
        </w:tc>
        <w:tc>
          <w:tcPr>
            <w:tcW w:w="1315" w:type="pct"/>
            <w:vAlign w:val="center"/>
          </w:tcPr>
          <w:p w14:paraId="5B52E4A0">
            <w:pPr>
              <w:pStyle w:val="2205"/>
              <w:rPr>
                <w:color w:val="000000"/>
                <w:szCs w:val="21"/>
              </w:rPr>
            </w:pPr>
            <w:r>
              <w:rPr>
                <w:color w:val="000000"/>
                <w:szCs w:val="21"/>
              </w:rPr>
              <w:t>项目工艺装置区内（柱状样）</w:t>
            </w:r>
          </w:p>
        </w:tc>
        <w:tc>
          <w:tcPr>
            <w:tcW w:w="989" w:type="pct"/>
            <w:vAlign w:val="center"/>
          </w:tcPr>
          <w:p w14:paraId="083100D2">
            <w:pPr>
              <w:jc w:val="center"/>
              <w:rPr>
                <w:color w:val="000000"/>
                <w:sz w:val="21"/>
              </w:rPr>
            </w:pPr>
            <w:r>
              <w:rPr>
                <w:color w:val="000000"/>
                <w:sz w:val="21"/>
              </w:rPr>
              <w:t>垂直入渗监控点</w:t>
            </w:r>
          </w:p>
        </w:tc>
        <w:tc>
          <w:tcPr>
            <w:tcW w:w="1391" w:type="pct"/>
            <w:vAlign w:val="center"/>
          </w:tcPr>
          <w:p w14:paraId="465B040D">
            <w:pPr>
              <w:jc w:val="center"/>
              <w:rPr>
                <w:color w:val="000000"/>
                <w:sz w:val="21"/>
              </w:rPr>
            </w:pPr>
            <w:r>
              <w:rPr>
                <w:color w:val="000000"/>
                <w:sz w:val="21"/>
              </w:rPr>
              <w:t>pH、石油烃</w:t>
            </w:r>
          </w:p>
        </w:tc>
        <w:tc>
          <w:tcPr>
            <w:tcW w:w="1028" w:type="pct"/>
            <w:vMerge w:val="continue"/>
            <w:vAlign w:val="center"/>
          </w:tcPr>
          <w:p w14:paraId="0C634953">
            <w:pPr>
              <w:pStyle w:val="2205"/>
              <w:rPr>
                <w:color w:val="000000"/>
                <w:szCs w:val="21"/>
              </w:rPr>
            </w:pPr>
          </w:p>
        </w:tc>
      </w:tr>
      <w:tr w14:paraId="4A45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blHeader/>
          <w:jc w:val="center"/>
        </w:trPr>
        <w:tc>
          <w:tcPr>
            <w:tcW w:w="273" w:type="pct"/>
            <w:vMerge w:val="continue"/>
            <w:vAlign w:val="center"/>
          </w:tcPr>
          <w:p w14:paraId="7D1BC977">
            <w:pPr>
              <w:pStyle w:val="2205"/>
              <w:rPr>
                <w:color w:val="000000"/>
                <w:szCs w:val="21"/>
              </w:rPr>
            </w:pPr>
          </w:p>
        </w:tc>
        <w:tc>
          <w:tcPr>
            <w:tcW w:w="1315" w:type="pct"/>
            <w:vAlign w:val="center"/>
          </w:tcPr>
          <w:p w14:paraId="1607763D">
            <w:pPr>
              <w:pStyle w:val="2205"/>
              <w:rPr>
                <w:color w:val="000000"/>
                <w:szCs w:val="21"/>
              </w:rPr>
            </w:pPr>
            <w:r>
              <w:rPr>
                <w:color w:val="000000"/>
                <w:szCs w:val="21"/>
              </w:rPr>
              <w:t>项目储存单元（表层样）</w:t>
            </w:r>
          </w:p>
        </w:tc>
        <w:tc>
          <w:tcPr>
            <w:tcW w:w="989" w:type="pct"/>
            <w:vAlign w:val="center"/>
          </w:tcPr>
          <w:p w14:paraId="2A41E6E3">
            <w:pPr>
              <w:jc w:val="center"/>
              <w:rPr>
                <w:color w:val="000000"/>
                <w:sz w:val="21"/>
              </w:rPr>
            </w:pPr>
            <w:r>
              <w:rPr>
                <w:color w:val="000000"/>
                <w:sz w:val="21"/>
              </w:rPr>
              <w:t>大气沉降监控点</w:t>
            </w:r>
          </w:p>
        </w:tc>
        <w:tc>
          <w:tcPr>
            <w:tcW w:w="1391" w:type="pct"/>
            <w:vAlign w:val="center"/>
          </w:tcPr>
          <w:p w14:paraId="44DBF10F">
            <w:pPr>
              <w:jc w:val="center"/>
              <w:rPr>
                <w:color w:val="000000"/>
                <w:sz w:val="21"/>
              </w:rPr>
            </w:pPr>
            <w:r>
              <w:rPr>
                <w:color w:val="000000"/>
                <w:sz w:val="21"/>
              </w:rPr>
              <w:t>pH、石油烃</w:t>
            </w:r>
          </w:p>
        </w:tc>
        <w:tc>
          <w:tcPr>
            <w:tcW w:w="1028" w:type="pct"/>
            <w:vMerge w:val="continue"/>
            <w:vAlign w:val="center"/>
          </w:tcPr>
          <w:p w14:paraId="4D0EAF49">
            <w:pPr>
              <w:pStyle w:val="2205"/>
              <w:rPr>
                <w:color w:val="000000"/>
                <w:szCs w:val="21"/>
              </w:rPr>
            </w:pPr>
          </w:p>
        </w:tc>
      </w:tr>
    </w:tbl>
    <w:p w14:paraId="52F1CD2C">
      <w:pPr>
        <w:ind w:firstLine="480"/>
        <w:rPr>
          <w:bCs/>
          <w:color w:val="000000"/>
        </w:rPr>
      </w:pPr>
    </w:p>
    <w:p w14:paraId="6BA2B06A">
      <w:pPr>
        <w:pStyle w:val="771"/>
        <w:rPr>
          <w:color w:val="000000"/>
        </w:rPr>
      </w:pPr>
      <w:r>
        <w:rPr>
          <w:color w:val="000000"/>
        </w:rPr>
        <w:t>9.3.2监测工作实施</w:t>
      </w:r>
    </w:p>
    <w:p w14:paraId="0218BDBE">
      <w:pPr>
        <w:pStyle w:val="205"/>
        <w:spacing w:line="360" w:lineRule="auto"/>
        <w:rPr>
          <w:rFonts w:ascii="Times New Roman"/>
          <w:color w:val="000000"/>
          <w:szCs w:val="24"/>
        </w:rPr>
      </w:pPr>
      <w:r>
        <w:rPr>
          <w:rFonts w:ascii="Times New Roman"/>
          <w:color w:val="000000"/>
          <w:szCs w:val="24"/>
        </w:rPr>
        <w:t>企业应按《排污单位自行监测技术指南 总则》（HJ819-2017）的要求，切实落实监测计划，自行开展常规项目监测，如无能力开展的项目，可委托具有资质的环境监测站或第三方环境检测机构进行。</w:t>
      </w:r>
    </w:p>
    <w:p w14:paraId="5085C36F">
      <w:pPr>
        <w:pStyle w:val="770"/>
        <w:rPr>
          <w:color w:val="000000"/>
        </w:rPr>
      </w:pPr>
      <w:bookmarkStart w:id="847" w:name="_Toc3055"/>
      <w:r>
        <w:rPr>
          <w:color w:val="000000"/>
        </w:rPr>
        <w:t>9.4环保验收内容及要求</w:t>
      </w:r>
      <w:bookmarkEnd w:id="847"/>
    </w:p>
    <w:p w14:paraId="4C8AD372">
      <w:pPr>
        <w:pStyle w:val="205"/>
        <w:spacing w:line="360" w:lineRule="auto"/>
        <w:rPr>
          <w:rFonts w:ascii="Times New Roman"/>
          <w:color w:val="000000"/>
          <w:szCs w:val="24"/>
        </w:rPr>
      </w:pPr>
      <w:r>
        <w:rPr>
          <w:rFonts w:ascii="Times New Roman"/>
          <w:color w:val="000000"/>
          <w:szCs w:val="24"/>
        </w:rPr>
        <w:t>建设项目竣工后，建设单位或者其委托的技术机构应当依照国家有关法律法规、《建设项目竣工环境保护验收暂行办法》、《建设项目竣工环境保护验收技术指南 污染影响类》、《排污单位自行监测技术指南 总则》（HJ819-2017）、建设项目环境影响报告书和审批决定等要求，如实查验、监测、记载建设项目环境保护设施的建设和调试情况，同时还应如实记载其他环境保护对策措施“三同时”落实情况，编制竣工环境保护验收报告。</w:t>
      </w:r>
    </w:p>
    <w:p w14:paraId="30B9F910">
      <w:pPr>
        <w:pStyle w:val="205"/>
        <w:spacing w:line="360" w:lineRule="auto"/>
        <w:rPr>
          <w:rFonts w:ascii="Times New Roman"/>
          <w:color w:val="000000"/>
          <w:szCs w:val="24"/>
        </w:rPr>
      </w:pPr>
      <w:r>
        <w:rPr>
          <w:rFonts w:ascii="Times New Roman"/>
          <w:color w:val="000000"/>
          <w:szCs w:val="24"/>
        </w:rPr>
        <w:t>验收报告编制完成后，建设单位应组织成立验收工作组。验收工作组由建设单位、设计单位、施工单位、环境影响报告书（表）编制机构、验收报告编制机构等单位代表和专业技术专家组成。</w:t>
      </w:r>
    </w:p>
    <w:p w14:paraId="76EF3FF0">
      <w:pPr>
        <w:pStyle w:val="205"/>
        <w:spacing w:line="360" w:lineRule="auto"/>
        <w:rPr>
          <w:rFonts w:ascii="Times New Roman"/>
          <w:color w:val="000000"/>
          <w:szCs w:val="24"/>
        </w:rPr>
      </w:pPr>
      <w:r>
        <w:rPr>
          <w:rFonts w:ascii="Times New Roman"/>
          <w:color w:val="000000"/>
          <w:szCs w:val="24"/>
        </w:rPr>
        <w:t>验收工作组应当严格依照国家有关法律法规、建设项目竣工环境保护验收技术规范、建设项目环境影响报告书和审批决定等要求对建设项目配套建设的环境保护设施进行验收，形成验收意见。验收意见应当包括工程建设基本情况，工程变更情况，环境保护设施落实情况，环境保护设施调试效果和工程建设对环境的影响，验收存在的主要问题，验收结论和后续要求。</w:t>
      </w:r>
    </w:p>
    <w:p w14:paraId="4F9D9443">
      <w:pPr>
        <w:pStyle w:val="205"/>
        <w:spacing w:line="360" w:lineRule="auto"/>
        <w:rPr>
          <w:rFonts w:ascii="Times New Roman"/>
          <w:color w:val="000000"/>
        </w:rPr>
      </w:pPr>
      <w:r>
        <w:rPr>
          <w:rFonts w:ascii="Times New Roman"/>
          <w:color w:val="000000"/>
          <w:szCs w:val="24"/>
        </w:rPr>
        <w:t>建设单位应当对验收工作组提出的问题进行整改，合格后方可出具验收合格的意见。</w:t>
      </w:r>
    </w:p>
    <w:p w14:paraId="4FEEAB2F">
      <w:pPr>
        <w:pStyle w:val="43"/>
        <w:ind w:left="480" w:firstLine="960" w:firstLineChars="400"/>
        <w:rPr>
          <w:color w:val="000000"/>
        </w:rPr>
      </w:pPr>
      <w:r>
        <w:rPr>
          <w:color w:val="000000"/>
        </w:rPr>
        <w:t>表9.4-1  本项目竣工环保验收内容一览表</w:t>
      </w:r>
    </w:p>
    <w:tbl>
      <w:tblPr>
        <w:tblStyle w:val="7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126"/>
        <w:gridCol w:w="629"/>
        <w:gridCol w:w="1116"/>
        <w:gridCol w:w="2224"/>
        <w:gridCol w:w="2593"/>
      </w:tblGrid>
      <w:tr w14:paraId="34398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tcBorders>
              <w:tl2br w:val="single" w:color="auto" w:sz="4" w:space="0"/>
            </w:tcBorders>
          </w:tcPr>
          <w:p w14:paraId="6123FFFD">
            <w:pPr>
              <w:widowControl w:val="0"/>
              <w:jc w:val="right"/>
              <w:rPr>
                <w:color w:val="000000"/>
                <w:sz w:val="21"/>
              </w:rPr>
            </w:pPr>
            <w:r>
              <w:rPr>
                <w:color w:val="000000"/>
                <w:sz w:val="21"/>
              </w:rPr>
              <w:t>内容</w:t>
            </w:r>
          </w:p>
          <w:p w14:paraId="422DC4AA">
            <w:pPr>
              <w:widowControl w:val="0"/>
              <w:rPr>
                <w:color w:val="000000"/>
                <w:sz w:val="21"/>
              </w:rPr>
            </w:pPr>
            <w:r>
              <w:rPr>
                <w:color w:val="000000"/>
                <w:sz w:val="21"/>
              </w:rPr>
              <w:t>要素</w:t>
            </w:r>
          </w:p>
        </w:tc>
        <w:tc>
          <w:tcPr>
            <w:tcW w:w="1755" w:type="dxa"/>
            <w:gridSpan w:val="2"/>
            <w:vAlign w:val="center"/>
          </w:tcPr>
          <w:p w14:paraId="284FA97D">
            <w:pPr>
              <w:widowControl w:val="0"/>
              <w:jc w:val="center"/>
              <w:rPr>
                <w:color w:val="000000"/>
                <w:sz w:val="21"/>
              </w:rPr>
            </w:pPr>
            <w:r>
              <w:rPr>
                <w:color w:val="000000"/>
                <w:sz w:val="21"/>
              </w:rPr>
              <w:t>排放口(编号、名称)/污染源</w:t>
            </w:r>
          </w:p>
        </w:tc>
        <w:tc>
          <w:tcPr>
            <w:tcW w:w="1116" w:type="dxa"/>
            <w:vAlign w:val="center"/>
          </w:tcPr>
          <w:p w14:paraId="5E73189C">
            <w:pPr>
              <w:widowControl w:val="0"/>
              <w:jc w:val="center"/>
              <w:rPr>
                <w:color w:val="000000"/>
                <w:sz w:val="21"/>
              </w:rPr>
            </w:pPr>
            <w:r>
              <w:rPr>
                <w:color w:val="000000"/>
                <w:sz w:val="21"/>
              </w:rPr>
              <w:t>污染物项目</w:t>
            </w:r>
          </w:p>
        </w:tc>
        <w:tc>
          <w:tcPr>
            <w:tcW w:w="2224" w:type="dxa"/>
            <w:vAlign w:val="center"/>
          </w:tcPr>
          <w:p w14:paraId="6C1051BB">
            <w:pPr>
              <w:widowControl w:val="0"/>
              <w:jc w:val="center"/>
              <w:rPr>
                <w:color w:val="000000"/>
                <w:sz w:val="21"/>
              </w:rPr>
            </w:pPr>
            <w:r>
              <w:rPr>
                <w:color w:val="000000"/>
                <w:sz w:val="21"/>
              </w:rPr>
              <w:t>环境保护措施</w:t>
            </w:r>
          </w:p>
        </w:tc>
        <w:tc>
          <w:tcPr>
            <w:tcW w:w="2593" w:type="dxa"/>
            <w:vAlign w:val="center"/>
          </w:tcPr>
          <w:p w14:paraId="7CC753DF">
            <w:pPr>
              <w:widowControl w:val="0"/>
              <w:jc w:val="center"/>
              <w:rPr>
                <w:color w:val="000000"/>
                <w:sz w:val="21"/>
              </w:rPr>
            </w:pPr>
            <w:r>
              <w:rPr>
                <w:color w:val="000000"/>
                <w:sz w:val="21"/>
              </w:rPr>
              <w:t>执行标准</w:t>
            </w:r>
          </w:p>
        </w:tc>
      </w:tr>
      <w:tr w14:paraId="45C10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1112" w:type="dxa"/>
            <w:vMerge w:val="restart"/>
            <w:vAlign w:val="center"/>
          </w:tcPr>
          <w:p w14:paraId="1F576D29">
            <w:pPr>
              <w:widowControl w:val="0"/>
              <w:jc w:val="center"/>
              <w:rPr>
                <w:color w:val="000000"/>
                <w:sz w:val="21"/>
              </w:rPr>
            </w:pPr>
            <w:r>
              <w:rPr>
                <w:color w:val="000000"/>
                <w:sz w:val="21"/>
              </w:rPr>
              <w:t>大气环境</w:t>
            </w:r>
          </w:p>
        </w:tc>
        <w:tc>
          <w:tcPr>
            <w:tcW w:w="1126" w:type="dxa"/>
            <w:vAlign w:val="center"/>
          </w:tcPr>
          <w:p w14:paraId="709732DB">
            <w:pPr>
              <w:widowControl w:val="0"/>
              <w:jc w:val="center"/>
              <w:rPr>
                <w:color w:val="000000"/>
                <w:sz w:val="21"/>
              </w:rPr>
            </w:pPr>
            <w:r>
              <w:rPr>
                <w:color w:val="000000"/>
                <w:sz w:val="21"/>
              </w:rPr>
              <w:t>吸附脱氢再生尾气G3、脱碳干燥再生尾气G4</w:t>
            </w:r>
          </w:p>
        </w:tc>
        <w:tc>
          <w:tcPr>
            <w:tcW w:w="629" w:type="dxa"/>
            <w:vAlign w:val="center"/>
          </w:tcPr>
          <w:p w14:paraId="61A4A71A">
            <w:pPr>
              <w:widowControl w:val="0"/>
              <w:jc w:val="center"/>
              <w:rPr>
                <w:color w:val="000000"/>
                <w:sz w:val="21"/>
              </w:rPr>
            </w:pPr>
            <w:r>
              <w:rPr>
                <w:color w:val="000000"/>
                <w:sz w:val="21"/>
              </w:rPr>
              <w:t>/</w:t>
            </w:r>
          </w:p>
        </w:tc>
        <w:tc>
          <w:tcPr>
            <w:tcW w:w="1116" w:type="dxa"/>
            <w:vAlign w:val="center"/>
          </w:tcPr>
          <w:p w14:paraId="6963A39C">
            <w:pPr>
              <w:widowControl w:val="0"/>
              <w:jc w:val="center"/>
              <w:rPr>
                <w:color w:val="000000"/>
                <w:sz w:val="21"/>
              </w:rPr>
            </w:pPr>
            <w:r>
              <w:rPr>
                <w:color w:val="000000"/>
                <w:sz w:val="21"/>
              </w:rPr>
              <w:t>氮气、氧气等</w:t>
            </w:r>
          </w:p>
        </w:tc>
        <w:tc>
          <w:tcPr>
            <w:tcW w:w="2224" w:type="dxa"/>
            <w:vAlign w:val="center"/>
          </w:tcPr>
          <w:p w14:paraId="1B6F8BFE">
            <w:pPr>
              <w:widowControl w:val="0"/>
              <w:jc w:val="center"/>
              <w:rPr>
                <w:color w:val="000000"/>
                <w:sz w:val="21"/>
              </w:rPr>
            </w:pPr>
            <w:r>
              <w:rPr>
                <w:color w:val="000000"/>
                <w:sz w:val="21"/>
              </w:rPr>
              <w:t>直接放空</w:t>
            </w:r>
          </w:p>
        </w:tc>
        <w:tc>
          <w:tcPr>
            <w:tcW w:w="2593" w:type="dxa"/>
            <w:vAlign w:val="center"/>
          </w:tcPr>
          <w:p w14:paraId="51E85349">
            <w:pPr>
              <w:widowControl w:val="0"/>
              <w:jc w:val="center"/>
              <w:rPr>
                <w:color w:val="000000"/>
                <w:sz w:val="21"/>
              </w:rPr>
            </w:pPr>
            <w:r>
              <w:rPr>
                <w:color w:val="000000"/>
                <w:sz w:val="21"/>
              </w:rPr>
              <w:t>/</w:t>
            </w:r>
          </w:p>
        </w:tc>
      </w:tr>
      <w:tr w14:paraId="7ACEE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1112" w:type="dxa"/>
            <w:vMerge w:val="continue"/>
            <w:vAlign w:val="center"/>
          </w:tcPr>
          <w:p w14:paraId="0C339E1D">
            <w:pPr>
              <w:widowControl w:val="0"/>
              <w:jc w:val="center"/>
              <w:rPr>
                <w:color w:val="000000"/>
                <w:sz w:val="21"/>
              </w:rPr>
            </w:pPr>
          </w:p>
        </w:tc>
        <w:tc>
          <w:tcPr>
            <w:tcW w:w="1126" w:type="dxa"/>
            <w:vAlign w:val="center"/>
          </w:tcPr>
          <w:p w14:paraId="42BC6EA8">
            <w:pPr>
              <w:widowControl w:val="0"/>
              <w:jc w:val="center"/>
              <w:rPr>
                <w:color w:val="000000"/>
                <w:sz w:val="21"/>
              </w:rPr>
            </w:pPr>
            <w:r>
              <w:rPr>
                <w:color w:val="000000"/>
                <w:sz w:val="21"/>
              </w:rPr>
              <w:t>压缩脱碳干燥再生尾气G1、深冷分离尾气G2</w:t>
            </w:r>
          </w:p>
        </w:tc>
        <w:tc>
          <w:tcPr>
            <w:tcW w:w="629" w:type="dxa"/>
            <w:vAlign w:val="center"/>
          </w:tcPr>
          <w:p w14:paraId="3B4414B3">
            <w:pPr>
              <w:widowControl w:val="0"/>
              <w:jc w:val="center"/>
              <w:rPr>
                <w:color w:val="000000"/>
                <w:sz w:val="21"/>
              </w:rPr>
            </w:pPr>
            <w:r>
              <w:rPr>
                <w:color w:val="000000"/>
                <w:sz w:val="21"/>
              </w:rPr>
              <w:t>火炬系统</w:t>
            </w:r>
          </w:p>
        </w:tc>
        <w:tc>
          <w:tcPr>
            <w:tcW w:w="1116" w:type="dxa"/>
            <w:vAlign w:val="center"/>
          </w:tcPr>
          <w:p w14:paraId="6A7A0459">
            <w:pPr>
              <w:widowControl w:val="0"/>
              <w:jc w:val="center"/>
              <w:rPr>
                <w:color w:val="000000"/>
                <w:sz w:val="21"/>
              </w:rPr>
            </w:pPr>
            <w:r>
              <w:rPr>
                <w:color w:val="000000"/>
                <w:sz w:val="21"/>
              </w:rPr>
              <w:t>颗粒物、SO</w:t>
            </w:r>
            <w:r>
              <w:rPr>
                <w:color w:val="000000"/>
                <w:sz w:val="21"/>
                <w:vertAlign w:val="subscript"/>
              </w:rPr>
              <w:t>2</w:t>
            </w:r>
            <w:r>
              <w:rPr>
                <w:color w:val="000000"/>
                <w:sz w:val="21"/>
              </w:rPr>
              <w:t>、NO</w:t>
            </w:r>
            <w:r>
              <w:rPr>
                <w:rFonts w:hint="eastAsia"/>
                <w:color w:val="000000"/>
                <w:szCs w:val="24"/>
                <w:vertAlign w:val="subscript"/>
              </w:rPr>
              <w:t>X</w:t>
            </w:r>
          </w:p>
        </w:tc>
        <w:tc>
          <w:tcPr>
            <w:tcW w:w="2224" w:type="dxa"/>
            <w:vAlign w:val="center"/>
          </w:tcPr>
          <w:p w14:paraId="231BE7A2">
            <w:pPr>
              <w:pStyle w:val="2193"/>
              <w:adjustRightInd w:val="0"/>
              <w:snapToGrid w:val="0"/>
              <w:spacing w:line="320" w:lineRule="exact"/>
              <w:jc w:val="center"/>
              <w:rPr>
                <w:rFonts w:ascii="Times New Roman" w:hAnsi="Times New Roman" w:cs="Times New Roman"/>
                <w:color w:val="000000"/>
                <w:lang w:val="zh-CN"/>
              </w:rPr>
            </w:pPr>
            <w:r>
              <w:rPr>
                <w:rFonts w:ascii="Times New Roman" w:hAnsi="Times New Roman" w:cs="Times New Roman"/>
                <w:color w:val="000000"/>
              </w:rPr>
              <w:t>依托LNG工厂</w:t>
            </w:r>
            <w:r>
              <w:rPr>
                <w:rFonts w:ascii="Times New Roman" w:hAnsi="Times New Roman" w:cs="Times New Roman"/>
                <w:color w:val="000000"/>
                <w:lang w:val="zh-CN"/>
              </w:rPr>
              <w:t>80m高的</w:t>
            </w:r>
          </w:p>
          <w:p w14:paraId="66733A27">
            <w:pPr>
              <w:widowControl w:val="0"/>
              <w:jc w:val="center"/>
              <w:rPr>
                <w:color w:val="000000"/>
                <w:sz w:val="21"/>
              </w:rPr>
            </w:pPr>
            <w:r>
              <w:rPr>
                <w:color w:val="000000"/>
                <w:sz w:val="21"/>
                <w:lang w:val="zh-CN"/>
              </w:rPr>
              <w:t>高架火炬</w:t>
            </w:r>
            <w:r>
              <w:rPr>
                <w:color w:val="000000"/>
                <w:sz w:val="21"/>
              </w:rPr>
              <w:t>燃烧排放</w:t>
            </w:r>
          </w:p>
        </w:tc>
        <w:tc>
          <w:tcPr>
            <w:tcW w:w="2593" w:type="dxa"/>
            <w:vAlign w:val="center"/>
          </w:tcPr>
          <w:p w14:paraId="5DA68714">
            <w:pPr>
              <w:widowControl w:val="0"/>
              <w:jc w:val="center"/>
              <w:rPr>
                <w:color w:val="000000"/>
                <w:sz w:val="21"/>
              </w:rPr>
            </w:pPr>
            <w:r>
              <w:rPr>
                <w:color w:val="000000"/>
                <w:sz w:val="21"/>
              </w:rPr>
              <w:t>《重庆市大气污染物综合排放标准》（DB50/418-2016）</w:t>
            </w:r>
          </w:p>
        </w:tc>
      </w:tr>
      <w:tr w14:paraId="70096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112" w:type="dxa"/>
            <w:vAlign w:val="center"/>
          </w:tcPr>
          <w:p w14:paraId="5CCAECBF">
            <w:pPr>
              <w:widowControl w:val="0"/>
              <w:jc w:val="center"/>
              <w:rPr>
                <w:color w:val="000000"/>
                <w:sz w:val="21"/>
              </w:rPr>
            </w:pPr>
            <w:r>
              <w:rPr>
                <w:color w:val="000000"/>
                <w:sz w:val="21"/>
              </w:rPr>
              <w:t>水环境</w:t>
            </w:r>
          </w:p>
        </w:tc>
        <w:tc>
          <w:tcPr>
            <w:tcW w:w="1126" w:type="dxa"/>
            <w:vAlign w:val="center"/>
          </w:tcPr>
          <w:p w14:paraId="3EB6CD39">
            <w:pPr>
              <w:widowControl w:val="0"/>
              <w:jc w:val="center"/>
              <w:rPr>
                <w:color w:val="000000"/>
                <w:sz w:val="21"/>
              </w:rPr>
            </w:pPr>
            <w:r>
              <w:rPr>
                <w:color w:val="000000"/>
                <w:sz w:val="21"/>
              </w:rPr>
              <w:t>生产废水、生活污水</w:t>
            </w:r>
          </w:p>
        </w:tc>
        <w:tc>
          <w:tcPr>
            <w:tcW w:w="629" w:type="dxa"/>
            <w:vAlign w:val="center"/>
          </w:tcPr>
          <w:p w14:paraId="3CB1F0AF">
            <w:pPr>
              <w:widowControl w:val="0"/>
              <w:jc w:val="center"/>
              <w:rPr>
                <w:color w:val="000000"/>
                <w:sz w:val="21"/>
              </w:rPr>
            </w:pPr>
            <w:r>
              <w:rPr>
                <w:color w:val="000000"/>
                <w:sz w:val="21"/>
              </w:rPr>
              <w:t>废水排放口</w:t>
            </w:r>
          </w:p>
        </w:tc>
        <w:tc>
          <w:tcPr>
            <w:tcW w:w="1116" w:type="dxa"/>
            <w:vAlign w:val="center"/>
          </w:tcPr>
          <w:p w14:paraId="25122D79">
            <w:pPr>
              <w:widowControl w:val="0"/>
              <w:jc w:val="center"/>
              <w:rPr>
                <w:color w:val="000000"/>
                <w:sz w:val="21"/>
              </w:rPr>
            </w:pPr>
            <w:r>
              <w:rPr>
                <w:color w:val="000000"/>
                <w:sz w:val="21"/>
              </w:rPr>
              <w:t>pH、COD、BOD</w:t>
            </w:r>
            <w:r>
              <w:rPr>
                <w:color w:val="000000"/>
                <w:sz w:val="21"/>
                <w:vertAlign w:val="subscript"/>
              </w:rPr>
              <w:t>5</w:t>
            </w:r>
            <w:r>
              <w:rPr>
                <w:color w:val="000000"/>
                <w:sz w:val="21"/>
              </w:rPr>
              <w:t>、SS、NH</w:t>
            </w:r>
            <w:r>
              <w:rPr>
                <w:color w:val="000000"/>
                <w:sz w:val="21"/>
                <w:vertAlign w:val="subscript"/>
              </w:rPr>
              <w:t>3</w:t>
            </w:r>
            <w:r>
              <w:rPr>
                <w:color w:val="000000"/>
                <w:sz w:val="21"/>
              </w:rPr>
              <w:t>-N</w:t>
            </w:r>
            <w:r>
              <w:rPr>
                <w:rFonts w:hint="eastAsia"/>
                <w:color w:val="000000"/>
                <w:sz w:val="21"/>
              </w:rPr>
              <w:t>、TP</w:t>
            </w:r>
          </w:p>
        </w:tc>
        <w:tc>
          <w:tcPr>
            <w:tcW w:w="2224" w:type="dxa"/>
            <w:vAlign w:val="center"/>
          </w:tcPr>
          <w:p w14:paraId="50BBB9BA">
            <w:pPr>
              <w:widowControl w:val="0"/>
              <w:jc w:val="center"/>
              <w:rPr>
                <w:color w:val="000000"/>
                <w:sz w:val="21"/>
              </w:rPr>
            </w:pPr>
            <w:r>
              <w:rPr>
                <w:color w:val="000000"/>
                <w:sz w:val="21"/>
              </w:rPr>
              <w:t>生活污水依托LNG工厂现有化粪池处理后进入生活污水提升池，生产废水依托LNG工厂生产废水池处理，经泵输送汇合后一起排入园区污水管网，排入潘家坝污水处理厂</w:t>
            </w:r>
          </w:p>
        </w:tc>
        <w:tc>
          <w:tcPr>
            <w:tcW w:w="2593" w:type="dxa"/>
            <w:vAlign w:val="center"/>
          </w:tcPr>
          <w:p w14:paraId="2E3A7CF8">
            <w:pPr>
              <w:widowControl w:val="0"/>
              <w:jc w:val="center"/>
              <w:rPr>
                <w:color w:val="000000"/>
                <w:sz w:val="21"/>
              </w:rPr>
            </w:pPr>
            <w:r>
              <w:rPr>
                <w:color w:val="000000"/>
                <w:sz w:val="21"/>
              </w:rPr>
              <w:t>重庆市涪陵区拓源污水治理有限公司白涛化工园区潘家坝污水处理厂进水水质标准及《污水综合排放标准》 (GB8978-1996)三级标准</w:t>
            </w:r>
          </w:p>
        </w:tc>
      </w:tr>
      <w:tr w14:paraId="64D77E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112" w:type="dxa"/>
            <w:vAlign w:val="center"/>
          </w:tcPr>
          <w:p w14:paraId="29971EA3">
            <w:pPr>
              <w:widowControl w:val="0"/>
              <w:jc w:val="center"/>
              <w:rPr>
                <w:color w:val="000000"/>
                <w:sz w:val="21"/>
              </w:rPr>
            </w:pPr>
            <w:r>
              <w:rPr>
                <w:color w:val="000000"/>
                <w:sz w:val="21"/>
              </w:rPr>
              <w:t>声环境</w:t>
            </w:r>
          </w:p>
        </w:tc>
        <w:tc>
          <w:tcPr>
            <w:tcW w:w="1755" w:type="dxa"/>
            <w:gridSpan w:val="2"/>
            <w:vAlign w:val="center"/>
          </w:tcPr>
          <w:p w14:paraId="4D813FAC">
            <w:pPr>
              <w:widowControl w:val="0"/>
              <w:jc w:val="center"/>
              <w:rPr>
                <w:bCs/>
                <w:color w:val="000000"/>
                <w:spacing w:val="-10"/>
                <w:sz w:val="21"/>
              </w:rPr>
            </w:pPr>
            <w:r>
              <w:rPr>
                <w:bCs/>
                <w:color w:val="000000"/>
                <w:spacing w:val="-10"/>
                <w:sz w:val="21"/>
              </w:rPr>
              <w:t>生产设备</w:t>
            </w:r>
          </w:p>
        </w:tc>
        <w:tc>
          <w:tcPr>
            <w:tcW w:w="1116" w:type="dxa"/>
            <w:vAlign w:val="center"/>
          </w:tcPr>
          <w:p w14:paraId="545483B2">
            <w:pPr>
              <w:widowControl w:val="0"/>
              <w:jc w:val="center"/>
              <w:rPr>
                <w:bCs/>
                <w:color w:val="000000"/>
                <w:spacing w:val="-10"/>
                <w:sz w:val="21"/>
              </w:rPr>
            </w:pPr>
            <w:r>
              <w:rPr>
                <w:bCs/>
                <w:color w:val="000000"/>
                <w:spacing w:val="-10"/>
                <w:sz w:val="21"/>
              </w:rPr>
              <w:t>噪声</w:t>
            </w:r>
          </w:p>
        </w:tc>
        <w:tc>
          <w:tcPr>
            <w:tcW w:w="2224" w:type="dxa"/>
            <w:vAlign w:val="center"/>
          </w:tcPr>
          <w:p w14:paraId="3606EEE4">
            <w:pPr>
              <w:widowControl w:val="0"/>
              <w:jc w:val="center"/>
              <w:rPr>
                <w:bCs/>
                <w:color w:val="000000"/>
                <w:spacing w:val="-10"/>
                <w:sz w:val="21"/>
              </w:rPr>
            </w:pPr>
            <w:r>
              <w:rPr>
                <w:bCs/>
                <w:color w:val="000000"/>
                <w:spacing w:val="-10"/>
                <w:sz w:val="21"/>
              </w:rPr>
              <w:t>选用低噪声设备、基础减振、合理布局、建筑隔声、消声</w:t>
            </w:r>
          </w:p>
        </w:tc>
        <w:tc>
          <w:tcPr>
            <w:tcW w:w="2593" w:type="dxa"/>
            <w:vAlign w:val="center"/>
          </w:tcPr>
          <w:p w14:paraId="20E059F9">
            <w:pPr>
              <w:widowControl w:val="0"/>
              <w:jc w:val="center"/>
              <w:rPr>
                <w:bCs/>
                <w:color w:val="000000"/>
                <w:spacing w:val="-10"/>
                <w:sz w:val="21"/>
              </w:rPr>
            </w:pPr>
            <w:r>
              <w:rPr>
                <w:bCs/>
                <w:color w:val="000000"/>
                <w:spacing w:val="-10"/>
                <w:sz w:val="21"/>
              </w:rPr>
              <w:t>《工业企业厂界环境噪声排放标准》（GB12348-2008）中3类标准</w:t>
            </w:r>
          </w:p>
        </w:tc>
      </w:tr>
      <w:tr w14:paraId="15567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112" w:type="dxa"/>
            <w:vAlign w:val="center"/>
          </w:tcPr>
          <w:p w14:paraId="16AD3A9B">
            <w:pPr>
              <w:widowControl w:val="0"/>
              <w:jc w:val="center"/>
              <w:rPr>
                <w:color w:val="000000"/>
                <w:sz w:val="21"/>
              </w:rPr>
            </w:pPr>
            <w:r>
              <w:rPr>
                <w:color w:val="000000"/>
                <w:sz w:val="21"/>
              </w:rPr>
              <w:t>电磁辐射</w:t>
            </w:r>
          </w:p>
        </w:tc>
        <w:tc>
          <w:tcPr>
            <w:tcW w:w="1755" w:type="dxa"/>
            <w:gridSpan w:val="2"/>
            <w:vAlign w:val="center"/>
          </w:tcPr>
          <w:p w14:paraId="00280F7C">
            <w:pPr>
              <w:widowControl w:val="0"/>
              <w:jc w:val="center"/>
              <w:rPr>
                <w:color w:val="000000"/>
                <w:sz w:val="21"/>
              </w:rPr>
            </w:pPr>
            <w:r>
              <w:rPr>
                <w:color w:val="000000"/>
                <w:sz w:val="21"/>
              </w:rPr>
              <w:t>/</w:t>
            </w:r>
          </w:p>
        </w:tc>
        <w:tc>
          <w:tcPr>
            <w:tcW w:w="1116" w:type="dxa"/>
            <w:vAlign w:val="center"/>
          </w:tcPr>
          <w:p w14:paraId="157FAAE1">
            <w:pPr>
              <w:widowControl w:val="0"/>
              <w:jc w:val="center"/>
              <w:rPr>
                <w:color w:val="000000"/>
                <w:sz w:val="21"/>
              </w:rPr>
            </w:pPr>
            <w:r>
              <w:rPr>
                <w:color w:val="000000"/>
                <w:sz w:val="21"/>
              </w:rPr>
              <w:t>/</w:t>
            </w:r>
          </w:p>
        </w:tc>
        <w:tc>
          <w:tcPr>
            <w:tcW w:w="2224" w:type="dxa"/>
            <w:vAlign w:val="center"/>
          </w:tcPr>
          <w:p w14:paraId="2B5E1256">
            <w:pPr>
              <w:widowControl w:val="0"/>
              <w:jc w:val="center"/>
              <w:rPr>
                <w:color w:val="000000"/>
                <w:sz w:val="21"/>
              </w:rPr>
            </w:pPr>
            <w:r>
              <w:rPr>
                <w:color w:val="000000"/>
                <w:sz w:val="21"/>
              </w:rPr>
              <w:t>/</w:t>
            </w:r>
          </w:p>
        </w:tc>
        <w:tc>
          <w:tcPr>
            <w:tcW w:w="2593" w:type="dxa"/>
            <w:vAlign w:val="center"/>
          </w:tcPr>
          <w:p w14:paraId="36C7D175">
            <w:pPr>
              <w:widowControl w:val="0"/>
              <w:jc w:val="center"/>
              <w:rPr>
                <w:color w:val="000000"/>
                <w:sz w:val="21"/>
              </w:rPr>
            </w:pPr>
            <w:r>
              <w:rPr>
                <w:color w:val="000000"/>
                <w:sz w:val="21"/>
              </w:rPr>
              <w:t>/</w:t>
            </w:r>
          </w:p>
        </w:tc>
      </w:tr>
      <w:tr w14:paraId="758E17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112" w:type="dxa"/>
            <w:vAlign w:val="center"/>
          </w:tcPr>
          <w:p w14:paraId="21763842">
            <w:pPr>
              <w:widowControl w:val="0"/>
              <w:jc w:val="center"/>
              <w:rPr>
                <w:color w:val="000000"/>
                <w:sz w:val="21"/>
              </w:rPr>
            </w:pPr>
            <w:r>
              <w:rPr>
                <w:color w:val="000000"/>
                <w:sz w:val="21"/>
              </w:rPr>
              <w:t>固体废物</w:t>
            </w:r>
          </w:p>
        </w:tc>
        <w:tc>
          <w:tcPr>
            <w:tcW w:w="7688" w:type="dxa"/>
            <w:gridSpan w:val="5"/>
            <w:vAlign w:val="center"/>
          </w:tcPr>
          <w:p w14:paraId="6B58EBFE">
            <w:pPr>
              <w:pStyle w:val="12"/>
              <w:widowControl w:val="0"/>
              <w:spacing w:line="240" w:lineRule="auto"/>
              <w:jc w:val="both"/>
              <w:textAlignment w:val="auto"/>
              <w:rPr>
                <w:bCs/>
                <w:snapToGrid w:val="0"/>
                <w:color w:val="000000"/>
                <w:sz w:val="21"/>
                <w:szCs w:val="21"/>
              </w:rPr>
            </w:pPr>
            <w:r>
              <w:rPr>
                <w:bCs/>
                <w:snapToGrid w:val="0"/>
                <w:color w:val="000000"/>
                <w:sz w:val="21"/>
                <w:szCs w:val="21"/>
              </w:rPr>
              <w:t>1、</w:t>
            </w:r>
            <w:r>
              <w:rPr>
                <w:color w:val="000000"/>
                <w:sz w:val="21"/>
                <w:szCs w:val="21"/>
              </w:rPr>
              <w:t>危险废物主要为催化燃烧脱氢废催化剂</w:t>
            </w:r>
            <w:r>
              <w:rPr>
                <w:bCs/>
                <w:snapToGrid w:val="0"/>
                <w:color w:val="000000"/>
                <w:sz w:val="21"/>
                <w:szCs w:val="21"/>
              </w:rPr>
              <w:t>，</w:t>
            </w:r>
            <w:r>
              <w:rPr>
                <w:color w:val="000000"/>
                <w:sz w:val="21"/>
                <w:szCs w:val="21"/>
              </w:rPr>
              <w:t>密闭罐暂存LNG工厂现有危废暂存间</w:t>
            </w:r>
            <w:r>
              <w:rPr>
                <w:bCs/>
                <w:snapToGrid w:val="0"/>
                <w:color w:val="000000"/>
                <w:sz w:val="21"/>
                <w:szCs w:val="21"/>
              </w:rPr>
              <w:t>暂存后定期交有资质单位处置。</w:t>
            </w:r>
          </w:p>
          <w:p w14:paraId="6A75F991">
            <w:pPr>
              <w:pStyle w:val="12"/>
              <w:widowControl w:val="0"/>
              <w:spacing w:line="240" w:lineRule="auto"/>
              <w:jc w:val="both"/>
              <w:textAlignment w:val="auto"/>
              <w:rPr>
                <w:bCs/>
                <w:snapToGrid w:val="0"/>
                <w:color w:val="000000"/>
                <w:sz w:val="21"/>
                <w:szCs w:val="21"/>
              </w:rPr>
            </w:pPr>
            <w:r>
              <w:rPr>
                <w:bCs/>
                <w:snapToGrid w:val="0"/>
                <w:color w:val="000000"/>
                <w:sz w:val="21"/>
                <w:szCs w:val="21"/>
              </w:rPr>
              <w:t>2、</w:t>
            </w:r>
            <w:r>
              <w:rPr>
                <w:color w:val="000000"/>
                <w:sz w:val="21"/>
                <w:szCs w:val="21"/>
              </w:rPr>
              <w:t>一般工业固体废物包括吸附脱氢废催化剂、废干燥剂、低温精制废吸附剂、废滤膜、废瓷球</w:t>
            </w:r>
            <w:r>
              <w:rPr>
                <w:bCs/>
                <w:snapToGrid w:val="0"/>
                <w:color w:val="000000"/>
                <w:sz w:val="21"/>
                <w:szCs w:val="21"/>
              </w:rPr>
              <w:t>，分类暂存于</w:t>
            </w:r>
            <w:r>
              <w:rPr>
                <w:color w:val="000000"/>
                <w:sz w:val="21"/>
                <w:szCs w:val="21"/>
              </w:rPr>
              <w:t>LNG工厂现有一般固废暂存间，</w:t>
            </w:r>
            <w:r>
              <w:rPr>
                <w:bCs/>
                <w:snapToGrid w:val="0"/>
                <w:color w:val="000000"/>
                <w:sz w:val="21"/>
                <w:szCs w:val="21"/>
              </w:rPr>
              <w:t>后交回收单位。</w:t>
            </w:r>
          </w:p>
          <w:p w14:paraId="31630AC1">
            <w:pPr>
              <w:widowControl w:val="0"/>
              <w:rPr>
                <w:color w:val="000000"/>
                <w:sz w:val="21"/>
              </w:rPr>
            </w:pPr>
            <w:r>
              <w:rPr>
                <w:bCs/>
                <w:snapToGrid w:val="0"/>
                <w:color w:val="000000"/>
                <w:sz w:val="21"/>
              </w:rPr>
              <w:t>3、生活垃圾统一收集后交由环卫部门处理。</w:t>
            </w:r>
          </w:p>
        </w:tc>
      </w:tr>
      <w:tr w14:paraId="05054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2" w:type="dxa"/>
            <w:vAlign w:val="center"/>
          </w:tcPr>
          <w:p w14:paraId="1CFB7ECE">
            <w:pPr>
              <w:widowControl w:val="0"/>
              <w:jc w:val="center"/>
              <w:rPr>
                <w:color w:val="000000"/>
                <w:sz w:val="21"/>
              </w:rPr>
            </w:pPr>
            <w:r>
              <w:rPr>
                <w:color w:val="000000"/>
                <w:sz w:val="21"/>
              </w:rPr>
              <w:t>土壤及地下水污染防治措施</w:t>
            </w:r>
          </w:p>
        </w:tc>
        <w:tc>
          <w:tcPr>
            <w:tcW w:w="7688" w:type="dxa"/>
            <w:gridSpan w:val="5"/>
            <w:vAlign w:val="center"/>
          </w:tcPr>
          <w:p w14:paraId="41C73B17">
            <w:pPr>
              <w:widowControl w:val="0"/>
              <w:spacing w:line="240" w:lineRule="atLeast"/>
              <w:rPr>
                <w:color w:val="000000"/>
                <w:sz w:val="21"/>
              </w:rPr>
            </w:pPr>
            <w:r>
              <w:rPr>
                <w:color w:val="000000"/>
                <w:sz w:val="21"/>
              </w:rPr>
              <w:t>加强源头控制；提氦装置区、废水收集管道等避开地下暗河通道、溶洞正上方；对提氦装置区、污水收集管沟进行重点防渗，装卸及储存单元进行一般防渗，其余区域为简单防渗；设置地下水、土壤跟踪监测点位，按要求进行跟踪监测。</w:t>
            </w:r>
          </w:p>
        </w:tc>
      </w:tr>
      <w:tr w14:paraId="5867F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112" w:type="dxa"/>
            <w:vAlign w:val="center"/>
          </w:tcPr>
          <w:p w14:paraId="59B949DD">
            <w:pPr>
              <w:widowControl w:val="0"/>
              <w:jc w:val="center"/>
              <w:rPr>
                <w:color w:val="000000"/>
                <w:sz w:val="21"/>
              </w:rPr>
            </w:pPr>
            <w:r>
              <w:rPr>
                <w:color w:val="000000"/>
                <w:sz w:val="21"/>
              </w:rPr>
              <w:t>生态保护措施</w:t>
            </w:r>
          </w:p>
        </w:tc>
        <w:tc>
          <w:tcPr>
            <w:tcW w:w="7688" w:type="dxa"/>
            <w:gridSpan w:val="5"/>
            <w:vAlign w:val="center"/>
          </w:tcPr>
          <w:p w14:paraId="7101ED80">
            <w:pPr>
              <w:widowControl w:val="0"/>
              <w:jc w:val="center"/>
              <w:rPr>
                <w:color w:val="000000"/>
                <w:sz w:val="21"/>
              </w:rPr>
            </w:pPr>
            <w:r>
              <w:rPr>
                <w:color w:val="000000"/>
                <w:sz w:val="21"/>
              </w:rPr>
              <w:t>/</w:t>
            </w:r>
          </w:p>
        </w:tc>
      </w:tr>
      <w:tr w14:paraId="1F8035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112" w:type="dxa"/>
            <w:vAlign w:val="center"/>
          </w:tcPr>
          <w:p w14:paraId="1079170E">
            <w:pPr>
              <w:widowControl w:val="0"/>
              <w:jc w:val="center"/>
              <w:rPr>
                <w:color w:val="000000"/>
                <w:spacing w:val="-8"/>
                <w:sz w:val="21"/>
              </w:rPr>
            </w:pPr>
            <w:r>
              <w:rPr>
                <w:color w:val="000000"/>
                <w:spacing w:val="-8"/>
                <w:sz w:val="21"/>
              </w:rPr>
              <w:t>环境风险</w:t>
            </w:r>
          </w:p>
          <w:p w14:paraId="39CC3902">
            <w:pPr>
              <w:widowControl w:val="0"/>
              <w:jc w:val="center"/>
              <w:rPr>
                <w:color w:val="000000"/>
                <w:spacing w:val="-8"/>
                <w:sz w:val="21"/>
              </w:rPr>
            </w:pPr>
            <w:r>
              <w:rPr>
                <w:color w:val="000000"/>
                <w:spacing w:val="-8"/>
                <w:sz w:val="21"/>
              </w:rPr>
              <w:t>防范措施</w:t>
            </w:r>
          </w:p>
        </w:tc>
        <w:tc>
          <w:tcPr>
            <w:tcW w:w="7688" w:type="dxa"/>
            <w:gridSpan w:val="5"/>
            <w:vAlign w:val="center"/>
          </w:tcPr>
          <w:p w14:paraId="383A48FF">
            <w:pPr>
              <w:widowControl w:val="0"/>
              <w:spacing w:line="240" w:lineRule="auto"/>
              <w:rPr>
                <w:color w:val="000000"/>
                <w:sz w:val="21"/>
              </w:rPr>
            </w:pPr>
            <w:r>
              <w:rPr>
                <w:color w:val="000000"/>
                <w:sz w:val="21"/>
              </w:rPr>
              <w:t>项目提氦装置区、钢瓶充装区设边沟和收集井，与现有事故废水收集系统连通，事故水池依托LNG工厂现有事故水池。提氦装置区设置可燃气体泄漏探测器等。设置应急设施，配备物资，修订事故应急救援预案等。</w:t>
            </w:r>
          </w:p>
        </w:tc>
      </w:tr>
      <w:tr w14:paraId="05127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112" w:type="dxa"/>
            <w:vAlign w:val="center"/>
          </w:tcPr>
          <w:p w14:paraId="273891EE">
            <w:pPr>
              <w:widowControl w:val="0"/>
              <w:jc w:val="center"/>
              <w:rPr>
                <w:color w:val="000000"/>
                <w:spacing w:val="-8"/>
                <w:sz w:val="21"/>
              </w:rPr>
            </w:pPr>
            <w:r>
              <w:rPr>
                <w:color w:val="000000"/>
                <w:spacing w:val="-8"/>
                <w:sz w:val="21"/>
              </w:rPr>
              <w:t>其他环境</w:t>
            </w:r>
          </w:p>
          <w:p w14:paraId="2138B404">
            <w:pPr>
              <w:widowControl w:val="0"/>
              <w:jc w:val="center"/>
              <w:rPr>
                <w:color w:val="000000"/>
                <w:spacing w:val="-8"/>
                <w:sz w:val="21"/>
              </w:rPr>
            </w:pPr>
            <w:r>
              <w:rPr>
                <w:color w:val="000000"/>
                <w:spacing w:val="-8"/>
                <w:sz w:val="21"/>
              </w:rPr>
              <w:t>管理要求</w:t>
            </w:r>
          </w:p>
        </w:tc>
        <w:tc>
          <w:tcPr>
            <w:tcW w:w="7688" w:type="dxa"/>
            <w:gridSpan w:val="5"/>
            <w:vAlign w:val="center"/>
          </w:tcPr>
          <w:p w14:paraId="1DE0E1E2">
            <w:pPr>
              <w:widowControl w:val="0"/>
              <w:jc w:val="center"/>
              <w:rPr>
                <w:color w:val="000000"/>
                <w:sz w:val="21"/>
              </w:rPr>
            </w:pPr>
            <w:r>
              <w:rPr>
                <w:color w:val="000000"/>
                <w:sz w:val="21"/>
              </w:rPr>
              <w:t>/</w:t>
            </w:r>
          </w:p>
        </w:tc>
      </w:tr>
    </w:tbl>
    <w:p w14:paraId="3E9742F6">
      <w:pPr>
        <w:pStyle w:val="43"/>
        <w:ind w:left="480"/>
        <w:rPr>
          <w:color w:val="000000"/>
        </w:rPr>
        <w:sectPr>
          <w:pgSz w:w="11905" w:h="16838"/>
          <w:pgMar w:top="1440" w:right="1803" w:bottom="1440" w:left="1803" w:header="850" w:footer="907" w:gutter="0"/>
          <w:cols w:space="720" w:num="1"/>
          <w:docGrid w:type="lines" w:linePitch="332" w:charSpace="0"/>
        </w:sectPr>
      </w:pPr>
    </w:p>
    <w:p w14:paraId="3DAFC927">
      <w:pPr>
        <w:pStyle w:val="770"/>
        <w:rPr>
          <w:color w:val="000000"/>
        </w:rPr>
      </w:pPr>
      <w:bookmarkStart w:id="848" w:name="_Toc4192"/>
      <w:r>
        <w:rPr>
          <w:color w:val="000000"/>
        </w:rPr>
        <w:t>9.5污染物排放清单</w:t>
      </w:r>
      <w:bookmarkEnd w:id="848"/>
    </w:p>
    <w:p w14:paraId="390959D9">
      <w:pPr>
        <w:pStyle w:val="205"/>
        <w:spacing w:line="360" w:lineRule="auto"/>
        <w:rPr>
          <w:rFonts w:ascii="Times New Roman"/>
          <w:color w:val="000000"/>
        </w:rPr>
      </w:pPr>
      <w:r>
        <w:rPr>
          <w:rFonts w:ascii="Times New Roman"/>
          <w:color w:val="000000"/>
          <w:szCs w:val="24"/>
        </w:rPr>
        <w:t>本项目污染物排放清单详见表9.5.1-1~4。</w:t>
      </w:r>
    </w:p>
    <w:p w14:paraId="5499F88B">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9.5.1</w:t>
      </w:r>
      <w:r>
        <w:rPr>
          <w:rFonts w:ascii="Times New Roman" w:hAnsi="Times New Roman"/>
          <w:color w:val="000000"/>
        </w:rPr>
        <w:t>-1</w:t>
      </w:r>
      <w:r>
        <w:rPr>
          <w:rFonts w:ascii="Times New Roman" w:hAnsi="Times New Roman"/>
          <w:color w:val="000000"/>
          <w:lang w:val="en-US"/>
        </w:rPr>
        <w:t xml:space="preserve"> </w:t>
      </w:r>
      <w:r>
        <w:rPr>
          <w:rFonts w:ascii="Times New Roman" w:hAnsi="Times New Roman"/>
          <w:color w:val="000000"/>
        </w:rPr>
        <w:t xml:space="preserve"> 项目废气污染物排放清单</w:t>
      </w:r>
    </w:p>
    <w:tbl>
      <w:tblPr>
        <w:tblStyle w:val="7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1654"/>
        <w:gridCol w:w="998"/>
        <w:gridCol w:w="1630"/>
        <w:gridCol w:w="2117"/>
        <w:gridCol w:w="802"/>
        <w:gridCol w:w="802"/>
        <w:gridCol w:w="441"/>
        <w:gridCol w:w="1200"/>
        <w:gridCol w:w="1052"/>
        <w:gridCol w:w="1200"/>
        <w:gridCol w:w="1114"/>
      </w:tblGrid>
      <w:tr w14:paraId="3320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 w:type="pct"/>
            <w:vMerge w:val="restart"/>
            <w:vAlign w:val="center"/>
          </w:tcPr>
          <w:p w14:paraId="336BF057">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类型</w:t>
            </w:r>
          </w:p>
        </w:tc>
        <w:tc>
          <w:tcPr>
            <w:tcW w:w="615" w:type="pct"/>
            <w:vMerge w:val="restart"/>
            <w:vAlign w:val="center"/>
          </w:tcPr>
          <w:p w14:paraId="73448991">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污染源</w:t>
            </w:r>
          </w:p>
        </w:tc>
        <w:tc>
          <w:tcPr>
            <w:tcW w:w="371" w:type="pct"/>
            <w:vMerge w:val="restart"/>
            <w:vAlign w:val="center"/>
          </w:tcPr>
          <w:p w14:paraId="41442038">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污染因子</w:t>
            </w:r>
          </w:p>
        </w:tc>
        <w:tc>
          <w:tcPr>
            <w:tcW w:w="606" w:type="pct"/>
            <w:vMerge w:val="restart"/>
            <w:vAlign w:val="center"/>
          </w:tcPr>
          <w:p w14:paraId="6F1598DA">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治理</w:t>
            </w:r>
          </w:p>
          <w:p w14:paraId="29C5F292">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措施</w:t>
            </w:r>
          </w:p>
        </w:tc>
        <w:tc>
          <w:tcPr>
            <w:tcW w:w="787" w:type="pct"/>
            <w:vMerge w:val="restart"/>
            <w:vAlign w:val="center"/>
          </w:tcPr>
          <w:p w14:paraId="094C7CA6">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验收执</w:t>
            </w:r>
          </w:p>
          <w:p w14:paraId="5E49F12F">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行标准</w:t>
            </w:r>
          </w:p>
        </w:tc>
        <w:tc>
          <w:tcPr>
            <w:tcW w:w="1597" w:type="pct"/>
            <w:gridSpan w:val="5"/>
            <w:vAlign w:val="center"/>
          </w:tcPr>
          <w:p w14:paraId="74B8405E">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有组织排放</w:t>
            </w:r>
          </w:p>
        </w:tc>
        <w:tc>
          <w:tcPr>
            <w:tcW w:w="446" w:type="pct"/>
            <w:vMerge w:val="restart"/>
            <w:vAlign w:val="center"/>
          </w:tcPr>
          <w:p w14:paraId="55077593">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无组织监控浓度（mg/m</w:t>
            </w:r>
            <w:r>
              <w:rPr>
                <w:rFonts w:ascii="Times New Roman" w:hAnsi="Times New Roman" w:eastAsia="宋体"/>
                <w:color w:val="000000"/>
                <w:sz w:val="20"/>
                <w:szCs w:val="20"/>
                <w:vertAlign w:val="superscript"/>
              </w:rPr>
              <w:t>3</w:t>
            </w:r>
            <w:r>
              <w:rPr>
                <w:rFonts w:ascii="Times New Roman" w:hAnsi="Times New Roman" w:eastAsia="宋体"/>
                <w:color w:val="000000"/>
                <w:sz w:val="20"/>
                <w:szCs w:val="20"/>
              </w:rPr>
              <w:t>）</w:t>
            </w:r>
          </w:p>
        </w:tc>
        <w:tc>
          <w:tcPr>
            <w:tcW w:w="414" w:type="pct"/>
            <w:vMerge w:val="restart"/>
            <w:vAlign w:val="center"/>
          </w:tcPr>
          <w:p w14:paraId="08A16937">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排放</w:t>
            </w:r>
          </w:p>
          <w:p w14:paraId="3647F3CD">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总量</w:t>
            </w:r>
          </w:p>
          <w:p w14:paraId="394BB1C8">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（t/a）</w:t>
            </w:r>
          </w:p>
        </w:tc>
      </w:tr>
      <w:tr w14:paraId="2BDC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 w:type="pct"/>
            <w:vMerge w:val="continue"/>
            <w:vAlign w:val="center"/>
          </w:tcPr>
          <w:p w14:paraId="1498F31E">
            <w:pPr>
              <w:pStyle w:val="409"/>
              <w:spacing w:line="240" w:lineRule="auto"/>
              <w:jc w:val="center"/>
              <w:rPr>
                <w:rFonts w:ascii="Times New Roman" w:hAnsi="Times New Roman" w:eastAsia="宋体"/>
                <w:color w:val="000000"/>
                <w:sz w:val="20"/>
                <w:szCs w:val="20"/>
              </w:rPr>
            </w:pPr>
          </w:p>
        </w:tc>
        <w:tc>
          <w:tcPr>
            <w:tcW w:w="615" w:type="pct"/>
            <w:vMerge w:val="continue"/>
            <w:vAlign w:val="center"/>
          </w:tcPr>
          <w:p w14:paraId="74BA1E58">
            <w:pPr>
              <w:pStyle w:val="409"/>
              <w:spacing w:line="240" w:lineRule="auto"/>
              <w:jc w:val="center"/>
              <w:rPr>
                <w:rFonts w:ascii="Times New Roman" w:hAnsi="Times New Roman" w:eastAsia="宋体"/>
                <w:color w:val="000000"/>
                <w:sz w:val="20"/>
                <w:szCs w:val="20"/>
              </w:rPr>
            </w:pPr>
          </w:p>
        </w:tc>
        <w:tc>
          <w:tcPr>
            <w:tcW w:w="371" w:type="pct"/>
            <w:vMerge w:val="continue"/>
            <w:vAlign w:val="center"/>
          </w:tcPr>
          <w:p w14:paraId="317323A7">
            <w:pPr>
              <w:pStyle w:val="409"/>
              <w:spacing w:line="240" w:lineRule="auto"/>
              <w:jc w:val="center"/>
              <w:rPr>
                <w:rFonts w:ascii="Times New Roman" w:hAnsi="Times New Roman" w:eastAsia="宋体"/>
                <w:color w:val="000000"/>
                <w:sz w:val="20"/>
                <w:szCs w:val="20"/>
              </w:rPr>
            </w:pPr>
          </w:p>
        </w:tc>
        <w:tc>
          <w:tcPr>
            <w:tcW w:w="606" w:type="pct"/>
            <w:vMerge w:val="continue"/>
            <w:vAlign w:val="center"/>
          </w:tcPr>
          <w:p w14:paraId="354DAAA5">
            <w:pPr>
              <w:pStyle w:val="409"/>
              <w:spacing w:line="240" w:lineRule="auto"/>
              <w:jc w:val="center"/>
              <w:rPr>
                <w:rFonts w:ascii="Times New Roman" w:hAnsi="Times New Roman" w:eastAsia="宋体"/>
                <w:color w:val="000000"/>
                <w:sz w:val="20"/>
                <w:szCs w:val="20"/>
              </w:rPr>
            </w:pPr>
          </w:p>
        </w:tc>
        <w:tc>
          <w:tcPr>
            <w:tcW w:w="787" w:type="pct"/>
            <w:vMerge w:val="continue"/>
            <w:vAlign w:val="center"/>
          </w:tcPr>
          <w:p w14:paraId="54DC69EE">
            <w:pPr>
              <w:pStyle w:val="409"/>
              <w:spacing w:line="240" w:lineRule="auto"/>
              <w:jc w:val="center"/>
              <w:rPr>
                <w:rFonts w:ascii="Times New Roman" w:hAnsi="Times New Roman" w:eastAsia="宋体"/>
                <w:color w:val="000000"/>
                <w:sz w:val="20"/>
                <w:szCs w:val="20"/>
              </w:rPr>
            </w:pPr>
          </w:p>
        </w:tc>
        <w:tc>
          <w:tcPr>
            <w:tcW w:w="760" w:type="pct"/>
            <w:gridSpan w:val="3"/>
            <w:vAlign w:val="center"/>
          </w:tcPr>
          <w:p w14:paraId="6A1AFD46">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排放口</w:t>
            </w:r>
          </w:p>
        </w:tc>
        <w:tc>
          <w:tcPr>
            <w:tcW w:w="446" w:type="pct"/>
            <w:vMerge w:val="restart"/>
            <w:vAlign w:val="center"/>
          </w:tcPr>
          <w:p w14:paraId="673DDB83">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浓度（mg/m</w:t>
            </w:r>
            <w:r>
              <w:rPr>
                <w:rFonts w:ascii="Times New Roman" w:hAnsi="Times New Roman" w:eastAsia="宋体"/>
                <w:color w:val="000000"/>
                <w:sz w:val="20"/>
                <w:szCs w:val="20"/>
                <w:vertAlign w:val="superscript"/>
              </w:rPr>
              <w:t>3</w:t>
            </w:r>
            <w:r>
              <w:rPr>
                <w:rFonts w:ascii="Times New Roman" w:hAnsi="Times New Roman" w:eastAsia="宋体"/>
                <w:color w:val="000000"/>
                <w:sz w:val="20"/>
                <w:szCs w:val="20"/>
              </w:rPr>
              <w:t>）</w:t>
            </w:r>
          </w:p>
        </w:tc>
        <w:tc>
          <w:tcPr>
            <w:tcW w:w="391" w:type="pct"/>
            <w:vMerge w:val="restart"/>
            <w:vAlign w:val="center"/>
          </w:tcPr>
          <w:p w14:paraId="571847CF">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速率限值（kg/h）</w:t>
            </w:r>
          </w:p>
        </w:tc>
        <w:tc>
          <w:tcPr>
            <w:tcW w:w="446" w:type="pct"/>
            <w:vMerge w:val="continue"/>
            <w:vAlign w:val="center"/>
          </w:tcPr>
          <w:p w14:paraId="0F0BFC4A">
            <w:pPr>
              <w:pStyle w:val="409"/>
              <w:spacing w:line="240" w:lineRule="auto"/>
              <w:jc w:val="center"/>
              <w:rPr>
                <w:rFonts w:ascii="Times New Roman" w:hAnsi="Times New Roman" w:eastAsia="宋体"/>
                <w:color w:val="000000"/>
                <w:sz w:val="20"/>
                <w:szCs w:val="20"/>
              </w:rPr>
            </w:pPr>
          </w:p>
        </w:tc>
        <w:tc>
          <w:tcPr>
            <w:tcW w:w="414" w:type="pct"/>
            <w:vMerge w:val="continue"/>
            <w:vAlign w:val="center"/>
          </w:tcPr>
          <w:p w14:paraId="158CC5DC">
            <w:pPr>
              <w:pStyle w:val="409"/>
              <w:spacing w:line="240" w:lineRule="auto"/>
              <w:jc w:val="center"/>
              <w:rPr>
                <w:rFonts w:ascii="Times New Roman" w:hAnsi="Times New Roman" w:eastAsia="宋体"/>
                <w:color w:val="000000"/>
                <w:sz w:val="20"/>
                <w:szCs w:val="20"/>
              </w:rPr>
            </w:pPr>
          </w:p>
        </w:tc>
      </w:tr>
      <w:tr w14:paraId="6BD7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 w:type="pct"/>
            <w:vMerge w:val="continue"/>
            <w:vAlign w:val="center"/>
          </w:tcPr>
          <w:p w14:paraId="5FA478EA">
            <w:pPr>
              <w:pStyle w:val="409"/>
              <w:spacing w:line="240" w:lineRule="auto"/>
              <w:jc w:val="center"/>
              <w:rPr>
                <w:rFonts w:ascii="Times New Roman" w:hAnsi="Times New Roman" w:eastAsia="宋体"/>
                <w:color w:val="000000"/>
                <w:sz w:val="20"/>
                <w:szCs w:val="20"/>
              </w:rPr>
            </w:pPr>
          </w:p>
        </w:tc>
        <w:tc>
          <w:tcPr>
            <w:tcW w:w="615" w:type="pct"/>
            <w:vMerge w:val="continue"/>
            <w:vAlign w:val="center"/>
          </w:tcPr>
          <w:p w14:paraId="6042EB7E">
            <w:pPr>
              <w:pStyle w:val="409"/>
              <w:spacing w:line="240" w:lineRule="auto"/>
              <w:jc w:val="center"/>
              <w:rPr>
                <w:rFonts w:ascii="Times New Roman" w:hAnsi="Times New Roman" w:eastAsia="宋体"/>
                <w:color w:val="000000"/>
                <w:sz w:val="20"/>
                <w:szCs w:val="20"/>
              </w:rPr>
            </w:pPr>
          </w:p>
        </w:tc>
        <w:tc>
          <w:tcPr>
            <w:tcW w:w="371" w:type="pct"/>
            <w:vMerge w:val="continue"/>
            <w:vAlign w:val="center"/>
          </w:tcPr>
          <w:p w14:paraId="04120662">
            <w:pPr>
              <w:pStyle w:val="409"/>
              <w:spacing w:line="240" w:lineRule="auto"/>
              <w:jc w:val="center"/>
              <w:rPr>
                <w:rFonts w:ascii="Times New Roman" w:hAnsi="Times New Roman" w:eastAsia="宋体"/>
                <w:color w:val="000000"/>
                <w:sz w:val="20"/>
                <w:szCs w:val="20"/>
              </w:rPr>
            </w:pPr>
          </w:p>
        </w:tc>
        <w:tc>
          <w:tcPr>
            <w:tcW w:w="606" w:type="pct"/>
            <w:vMerge w:val="continue"/>
            <w:vAlign w:val="center"/>
          </w:tcPr>
          <w:p w14:paraId="5EDB9B9D">
            <w:pPr>
              <w:pStyle w:val="409"/>
              <w:spacing w:line="240" w:lineRule="auto"/>
              <w:jc w:val="center"/>
              <w:rPr>
                <w:rFonts w:ascii="Times New Roman" w:hAnsi="Times New Roman" w:eastAsia="宋体"/>
                <w:color w:val="000000"/>
                <w:sz w:val="20"/>
                <w:szCs w:val="20"/>
              </w:rPr>
            </w:pPr>
          </w:p>
        </w:tc>
        <w:tc>
          <w:tcPr>
            <w:tcW w:w="787" w:type="pct"/>
            <w:vMerge w:val="continue"/>
            <w:vAlign w:val="center"/>
          </w:tcPr>
          <w:p w14:paraId="56755BE2">
            <w:pPr>
              <w:pStyle w:val="409"/>
              <w:spacing w:line="240" w:lineRule="auto"/>
              <w:jc w:val="center"/>
              <w:rPr>
                <w:rFonts w:ascii="Times New Roman" w:hAnsi="Times New Roman" w:eastAsia="宋体"/>
                <w:color w:val="000000"/>
                <w:sz w:val="20"/>
                <w:szCs w:val="20"/>
              </w:rPr>
            </w:pPr>
          </w:p>
        </w:tc>
        <w:tc>
          <w:tcPr>
            <w:tcW w:w="298" w:type="pct"/>
            <w:vAlign w:val="center"/>
          </w:tcPr>
          <w:p w14:paraId="367F96BF">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高度（m）</w:t>
            </w:r>
          </w:p>
        </w:tc>
        <w:tc>
          <w:tcPr>
            <w:tcW w:w="298" w:type="pct"/>
            <w:vAlign w:val="center"/>
          </w:tcPr>
          <w:p w14:paraId="3AC176EC">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内径（m）</w:t>
            </w:r>
          </w:p>
        </w:tc>
        <w:tc>
          <w:tcPr>
            <w:tcW w:w="162" w:type="pct"/>
            <w:vAlign w:val="center"/>
          </w:tcPr>
          <w:p w14:paraId="6D9DF42C">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数量</w:t>
            </w:r>
          </w:p>
        </w:tc>
        <w:tc>
          <w:tcPr>
            <w:tcW w:w="446" w:type="pct"/>
            <w:vMerge w:val="continue"/>
            <w:vAlign w:val="center"/>
          </w:tcPr>
          <w:p w14:paraId="1A40FD1C">
            <w:pPr>
              <w:pStyle w:val="409"/>
              <w:spacing w:line="240" w:lineRule="auto"/>
              <w:jc w:val="center"/>
              <w:rPr>
                <w:rFonts w:ascii="Times New Roman" w:hAnsi="Times New Roman" w:eastAsia="宋体"/>
                <w:color w:val="000000"/>
                <w:sz w:val="20"/>
                <w:szCs w:val="20"/>
              </w:rPr>
            </w:pPr>
          </w:p>
        </w:tc>
        <w:tc>
          <w:tcPr>
            <w:tcW w:w="391" w:type="pct"/>
            <w:vMerge w:val="continue"/>
            <w:vAlign w:val="center"/>
          </w:tcPr>
          <w:p w14:paraId="464A40D8">
            <w:pPr>
              <w:pStyle w:val="409"/>
              <w:spacing w:line="240" w:lineRule="auto"/>
              <w:jc w:val="center"/>
              <w:rPr>
                <w:rFonts w:ascii="Times New Roman" w:hAnsi="Times New Roman" w:eastAsia="宋体"/>
                <w:color w:val="000000"/>
                <w:sz w:val="20"/>
                <w:szCs w:val="20"/>
              </w:rPr>
            </w:pPr>
          </w:p>
        </w:tc>
        <w:tc>
          <w:tcPr>
            <w:tcW w:w="446" w:type="pct"/>
            <w:vMerge w:val="continue"/>
            <w:vAlign w:val="center"/>
          </w:tcPr>
          <w:p w14:paraId="5148B22C">
            <w:pPr>
              <w:pStyle w:val="409"/>
              <w:spacing w:line="240" w:lineRule="auto"/>
              <w:jc w:val="center"/>
              <w:rPr>
                <w:rFonts w:ascii="Times New Roman" w:hAnsi="Times New Roman" w:eastAsia="宋体"/>
                <w:color w:val="000000"/>
                <w:sz w:val="20"/>
                <w:szCs w:val="20"/>
              </w:rPr>
            </w:pPr>
          </w:p>
        </w:tc>
        <w:tc>
          <w:tcPr>
            <w:tcW w:w="414" w:type="pct"/>
            <w:vMerge w:val="continue"/>
            <w:vAlign w:val="center"/>
          </w:tcPr>
          <w:p w14:paraId="02C85955">
            <w:pPr>
              <w:pStyle w:val="409"/>
              <w:spacing w:line="240" w:lineRule="auto"/>
              <w:jc w:val="center"/>
              <w:rPr>
                <w:rFonts w:ascii="Times New Roman" w:hAnsi="Times New Roman" w:eastAsia="宋体"/>
                <w:color w:val="000000"/>
                <w:sz w:val="20"/>
                <w:szCs w:val="20"/>
              </w:rPr>
            </w:pPr>
          </w:p>
        </w:tc>
      </w:tr>
      <w:tr w14:paraId="7C03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61" w:type="pct"/>
            <w:vMerge w:val="restart"/>
            <w:vAlign w:val="center"/>
          </w:tcPr>
          <w:p w14:paraId="1DD24539">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废气</w:t>
            </w:r>
          </w:p>
        </w:tc>
        <w:tc>
          <w:tcPr>
            <w:tcW w:w="615" w:type="pct"/>
            <w:vMerge w:val="restart"/>
            <w:vAlign w:val="center"/>
          </w:tcPr>
          <w:p w14:paraId="35F70C6B">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压缩脱碳干燥再生尾气G1、部分深冷分离尾气G2燃烧废气</w:t>
            </w:r>
          </w:p>
        </w:tc>
        <w:tc>
          <w:tcPr>
            <w:tcW w:w="371" w:type="pct"/>
            <w:vAlign w:val="center"/>
          </w:tcPr>
          <w:p w14:paraId="32C9165A">
            <w:pPr>
              <w:pStyle w:val="12"/>
              <w:spacing w:line="240" w:lineRule="auto"/>
              <w:rPr>
                <w:color w:val="000000"/>
              </w:rPr>
            </w:pPr>
            <w:r>
              <w:rPr>
                <w:color w:val="000000"/>
                <w:sz w:val="21"/>
                <w:szCs w:val="21"/>
              </w:rPr>
              <w:t>颗粒物</w:t>
            </w:r>
          </w:p>
        </w:tc>
        <w:tc>
          <w:tcPr>
            <w:tcW w:w="606" w:type="pct"/>
            <w:vMerge w:val="restart"/>
            <w:vAlign w:val="center"/>
          </w:tcPr>
          <w:p w14:paraId="0EB9BBCB">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依托现有火炬燃烧后的废气经80m高的排气筒排放</w:t>
            </w:r>
          </w:p>
        </w:tc>
        <w:tc>
          <w:tcPr>
            <w:tcW w:w="787" w:type="pct"/>
            <w:vMerge w:val="restart"/>
            <w:vAlign w:val="center"/>
          </w:tcPr>
          <w:p w14:paraId="536E8141">
            <w:pPr>
              <w:pStyle w:val="409"/>
              <w:spacing w:line="240" w:lineRule="auto"/>
              <w:jc w:val="center"/>
              <w:rPr>
                <w:rFonts w:ascii="Times New Roman" w:hAnsi="Times New Roman" w:eastAsia="宋体"/>
                <w:color w:val="000000"/>
                <w:spacing w:val="-6"/>
                <w:sz w:val="20"/>
                <w:szCs w:val="20"/>
              </w:rPr>
            </w:pPr>
            <w:r>
              <w:rPr>
                <w:rFonts w:ascii="Times New Roman" w:hAnsi="Times New Roman" w:eastAsia="宋体"/>
                <w:color w:val="000000"/>
                <w:spacing w:val="-6"/>
                <w:sz w:val="20"/>
                <w:szCs w:val="20"/>
              </w:rPr>
              <w:t>《重庆市大气污染物综合排放标准》（DB50/418-2016）</w:t>
            </w:r>
          </w:p>
        </w:tc>
        <w:tc>
          <w:tcPr>
            <w:tcW w:w="298" w:type="pct"/>
            <w:vMerge w:val="restart"/>
            <w:vAlign w:val="center"/>
          </w:tcPr>
          <w:p w14:paraId="2891307B">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80</w:t>
            </w:r>
          </w:p>
        </w:tc>
        <w:tc>
          <w:tcPr>
            <w:tcW w:w="298" w:type="pct"/>
            <w:vMerge w:val="restart"/>
            <w:vAlign w:val="center"/>
          </w:tcPr>
          <w:p w14:paraId="3886FFC0">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1</w:t>
            </w:r>
          </w:p>
        </w:tc>
        <w:tc>
          <w:tcPr>
            <w:tcW w:w="162" w:type="pct"/>
            <w:vMerge w:val="restart"/>
            <w:vAlign w:val="center"/>
          </w:tcPr>
          <w:p w14:paraId="45C60870">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1</w:t>
            </w:r>
          </w:p>
        </w:tc>
        <w:tc>
          <w:tcPr>
            <w:tcW w:w="446" w:type="pct"/>
            <w:vAlign w:val="center"/>
          </w:tcPr>
          <w:p w14:paraId="69611D12">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120</w:t>
            </w:r>
          </w:p>
        </w:tc>
        <w:tc>
          <w:tcPr>
            <w:tcW w:w="391" w:type="pct"/>
            <w:vAlign w:val="center"/>
          </w:tcPr>
          <w:p w14:paraId="1C378AA3">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153.6</w:t>
            </w:r>
          </w:p>
        </w:tc>
        <w:tc>
          <w:tcPr>
            <w:tcW w:w="446" w:type="pct"/>
            <w:vMerge w:val="restart"/>
            <w:vAlign w:val="center"/>
          </w:tcPr>
          <w:p w14:paraId="53041A09">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w:t>
            </w:r>
          </w:p>
        </w:tc>
        <w:tc>
          <w:tcPr>
            <w:tcW w:w="414" w:type="pct"/>
            <w:vAlign w:val="center"/>
          </w:tcPr>
          <w:p w14:paraId="0DEE1861">
            <w:pPr>
              <w:pStyle w:val="12"/>
              <w:spacing w:line="240" w:lineRule="auto"/>
              <w:rPr>
                <w:color w:val="000000"/>
                <w:kern w:val="0"/>
              </w:rPr>
            </w:pPr>
            <w:r>
              <w:rPr>
                <w:color w:val="000000"/>
                <w:kern w:val="0"/>
              </w:rPr>
              <w:t>0.06</w:t>
            </w:r>
          </w:p>
        </w:tc>
      </w:tr>
      <w:tr w14:paraId="437D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61" w:type="pct"/>
            <w:vMerge w:val="continue"/>
            <w:vAlign w:val="center"/>
          </w:tcPr>
          <w:p w14:paraId="2A909412">
            <w:pPr>
              <w:pStyle w:val="409"/>
              <w:spacing w:line="240" w:lineRule="auto"/>
              <w:jc w:val="center"/>
              <w:rPr>
                <w:rFonts w:ascii="Times New Roman" w:hAnsi="Times New Roman" w:eastAsia="宋体"/>
                <w:color w:val="000000"/>
                <w:sz w:val="20"/>
                <w:szCs w:val="20"/>
              </w:rPr>
            </w:pPr>
          </w:p>
        </w:tc>
        <w:tc>
          <w:tcPr>
            <w:tcW w:w="615" w:type="pct"/>
            <w:vMerge w:val="continue"/>
            <w:vAlign w:val="center"/>
          </w:tcPr>
          <w:p w14:paraId="5A76C8A6">
            <w:pPr>
              <w:pStyle w:val="409"/>
              <w:spacing w:line="240" w:lineRule="auto"/>
              <w:jc w:val="center"/>
              <w:rPr>
                <w:rFonts w:ascii="Times New Roman" w:hAnsi="Times New Roman" w:eastAsia="宋体"/>
                <w:color w:val="000000"/>
                <w:sz w:val="20"/>
                <w:szCs w:val="20"/>
              </w:rPr>
            </w:pPr>
          </w:p>
        </w:tc>
        <w:tc>
          <w:tcPr>
            <w:tcW w:w="371" w:type="pct"/>
            <w:vAlign w:val="center"/>
          </w:tcPr>
          <w:p w14:paraId="3743DD14">
            <w:pPr>
              <w:pStyle w:val="12"/>
              <w:spacing w:line="240" w:lineRule="auto"/>
              <w:rPr>
                <w:color w:val="000000"/>
              </w:rPr>
            </w:pPr>
            <w:r>
              <w:rPr>
                <w:color w:val="000000"/>
                <w:sz w:val="21"/>
                <w:szCs w:val="21"/>
              </w:rPr>
              <w:t>SO</w:t>
            </w:r>
            <w:r>
              <w:rPr>
                <w:color w:val="000000"/>
                <w:sz w:val="21"/>
                <w:szCs w:val="21"/>
                <w:vertAlign w:val="subscript"/>
              </w:rPr>
              <w:t>2</w:t>
            </w:r>
          </w:p>
        </w:tc>
        <w:tc>
          <w:tcPr>
            <w:tcW w:w="606" w:type="pct"/>
            <w:vMerge w:val="continue"/>
            <w:vAlign w:val="center"/>
          </w:tcPr>
          <w:p w14:paraId="568B15BD">
            <w:pPr>
              <w:pStyle w:val="409"/>
              <w:spacing w:line="240" w:lineRule="auto"/>
              <w:jc w:val="center"/>
              <w:rPr>
                <w:rFonts w:ascii="Times New Roman" w:hAnsi="Times New Roman" w:eastAsia="宋体"/>
                <w:color w:val="000000"/>
                <w:sz w:val="20"/>
                <w:szCs w:val="20"/>
              </w:rPr>
            </w:pPr>
          </w:p>
        </w:tc>
        <w:tc>
          <w:tcPr>
            <w:tcW w:w="787" w:type="pct"/>
            <w:vMerge w:val="continue"/>
            <w:vAlign w:val="center"/>
          </w:tcPr>
          <w:p w14:paraId="572B2AEC">
            <w:pPr>
              <w:pStyle w:val="409"/>
              <w:spacing w:line="240" w:lineRule="auto"/>
              <w:jc w:val="center"/>
              <w:rPr>
                <w:rFonts w:ascii="Times New Roman" w:hAnsi="Times New Roman" w:eastAsia="宋体"/>
                <w:color w:val="000000"/>
                <w:spacing w:val="-6"/>
                <w:sz w:val="20"/>
                <w:szCs w:val="20"/>
              </w:rPr>
            </w:pPr>
          </w:p>
        </w:tc>
        <w:tc>
          <w:tcPr>
            <w:tcW w:w="298" w:type="pct"/>
            <w:vMerge w:val="continue"/>
            <w:vAlign w:val="center"/>
          </w:tcPr>
          <w:p w14:paraId="50B09B84">
            <w:pPr>
              <w:pStyle w:val="409"/>
              <w:spacing w:line="240" w:lineRule="auto"/>
              <w:jc w:val="center"/>
              <w:rPr>
                <w:rFonts w:ascii="Times New Roman" w:hAnsi="Times New Roman" w:eastAsia="宋体"/>
                <w:color w:val="000000"/>
                <w:sz w:val="20"/>
                <w:szCs w:val="20"/>
              </w:rPr>
            </w:pPr>
          </w:p>
        </w:tc>
        <w:tc>
          <w:tcPr>
            <w:tcW w:w="298" w:type="pct"/>
            <w:vMerge w:val="continue"/>
            <w:vAlign w:val="center"/>
          </w:tcPr>
          <w:p w14:paraId="4A34AC93">
            <w:pPr>
              <w:pStyle w:val="409"/>
              <w:spacing w:line="240" w:lineRule="auto"/>
              <w:jc w:val="center"/>
              <w:rPr>
                <w:rFonts w:ascii="Times New Roman" w:hAnsi="Times New Roman" w:eastAsia="宋体"/>
                <w:color w:val="000000"/>
                <w:sz w:val="20"/>
                <w:szCs w:val="20"/>
              </w:rPr>
            </w:pPr>
          </w:p>
        </w:tc>
        <w:tc>
          <w:tcPr>
            <w:tcW w:w="162" w:type="pct"/>
            <w:vMerge w:val="continue"/>
            <w:vAlign w:val="center"/>
          </w:tcPr>
          <w:p w14:paraId="6D24D24F">
            <w:pPr>
              <w:pStyle w:val="409"/>
              <w:spacing w:line="240" w:lineRule="auto"/>
              <w:jc w:val="center"/>
              <w:rPr>
                <w:rFonts w:ascii="Times New Roman" w:hAnsi="Times New Roman" w:eastAsia="宋体"/>
                <w:color w:val="000000"/>
                <w:sz w:val="20"/>
                <w:szCs w:val="20"/>
              </w:rPr>
            </w:pPr>
          </w:p>
        </w:tc>
        <w:tc>
          <w:tcPr>
            <w:tcW w:w="446" w:type="pct"/>
            <w:vAlign w:val="center"/>
          </w:tcPr>
          <w:p w14:paraId="29FEB281">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550</w:t>
            </w:r>
          </w:p>
        </w:tc>
        <w:tc>
          <w:tcPr>
            <w:tcW w:w="391" w:type="pct"/>
            <w:vAlign w:val="center"/>
          </w:tcPr>
          <w:p w14:paraId="4D4919E3">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99.84</w:t>
            </w:r>
          </w:p>
        </w:tc>
        <w:tc>
          <w:tcPr>
            <w:tcW w:w="446" w:type="pct"/>
            <w:vMerge w:val="continue"/>
            <w:vAlign w:val="center"/>
          </w:tcPr>
          <w:p w14:paraId="64459AF2">
            <w:pPr>
              <w:pStyle w:val="409"/>
              <w:spacing w:line="240" w:lineRule="auto"/>
              <w:jc w:val="center"/>
              <w:rPr>
                <w:rFonts w:ascii="Times New Roman" w:hAnsi="Times New Roman" w:eastAsia="宋体"/>
                <w:color w:val="000000"/>
                <w:sz w:val="20"/>
                <w:szCs w:val="20"/>
              </w:rPr>
            </w:pPr>
          </w:p>
        </w:tc>
        <w:tc>
          <w:tcPr>
            <w:tcW w:w="414" w:type="pct"/>
            <w:vAlign w:val="center"/>
          </w:tcPr>
          <w:p w14:paraId="4DB77DD3">
            <w:pPr>
              <w:pStyle w:val="12"/>
              <w:spacing w:line="240" w:lineRule="auto"/>
              <w:rPr>
                <w:color w:val="000000"/>
              </w:rPr>
            </w:pPr>
            <w:r>
              <w:rPr>
                <w:color w:val="000000"/>
              </w:rPr>
              <w:t>0.03</w:t>
            </w:r>
          </w:p>
        </w:tc>
      </w:tr>
      <w:tr w14:paraId="6BF8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61" w:type="pct"/>
            <w:vMerge w:val="continue"/>
            <w:vAlign w:val="center"/>
          </w:tcPr>
          <w:p w14:paraId="144F337C">
            <w:pPr>
              <w:pStyle w:val="409"/>
              <w:spacing w:line="240" w:lineRule="auto"/>
              <w:jc w:val="center"/>
              <w:rPr>
                <w:rFonts w:ascii="Times New Roman" w:hAnsi="Times New Roman" w:eastAsia="宋体"/>
                <w:color w:val="000000"/>
                <w:sz w:val="20"/>
                <w:szCs w:val="20"/>
              </w:rPr>
            </w:pPr>
          </w:p>
        </w:tc>
        <w:tc>
          <w:tcPr>
            <w:tcW w:w="615" w:type="pct"/>
            <w:vMerge w:val="continue"/>
            <w:vAlign w:val="center"/>
          </w:tcPr>
          <w:p w14:paraId="73920A21">
            <w:pPr>
              <w:pStyle w:val="409"/>
              <w:spacing w:line="240" w:lineRule="auto"/>
              <w:jc w:val="center"/>
              <w:rPr>
                <w:rFonts w:ascii="Times New Roman" w:hAnsi="Times New Roman" w:eastAsia="宋体"/>
                <w:color w:val="000000"/>
                <w:sz w:val="20"/>
                <w:szCs w:val="20"/>
              </w:rPr>
            </w:pPr>
          </w:p>
        </w:tc>
        <w:tc>
          <w:tcPr>
            <w:tcW w:w="371" w:type="pct"/>
            <w:vAlign w:val="center"/>
          </w:tcPr>
          <w:p w14:paraId="62BB7E5F">
            <w:pPr>
              <w:pStyle w:val="12"/>
              <w:spacing w:line="240" w:lineRule="auto"/>
              <w:rPr>
                <w:color w:val="000000"/>
              </w:rPr>
            </w:pPr>
            <w:r>
              <w:rPr>
                <w:color w:val="000000"/>
                <w:sz w:val="21"/>
                <w:szCs w:val="21"/>
              </w:rPr>
              <w:t>NO</w:t>
            </w:r>
            <w:r>
              <w:rPr>
                <w:rFonts w:hint="eastAsia"/>
                <w:color w:val="000000"/>
                <w:sz w:val="21"/>
                <w:szCs w:val="21"/>
                <w:vertAlign w:val="subscript"/>
              </w:rPr>
              <w:t>x</w:t>
            </w:r>
          </w:p>
        </w:tc>
        <w:tc>
          <w:tcPr>
            <w:tcW w:w="606" w:type="pct"/>
            <w:vMerge w:val="continue"/>
            <w:vAlign w:val="center"/>
          </w:tcPr>
          <w:p w14:paraId="668791DC">
            <w:pPr>
              <w:pStyle w:val="409"/>
              <w:spacing w:line="240" w:lineRule="auto"/>
              <w:jc w:val="center"/>
              <w:rPr>
                <w:rFonts w:ascii="Times New Roman" w:hAnsi="Times New Roman" w:eastAsia="宋体"/>
                <w:color w:val="000000"/>
                <w:sz w:val="20"/>
                <w:szCs w:val="20"/>
              </w:rPr>
            </w:pPr>
          </w:p>
        </w:tc>
        <w:tc>
          <w:tcPr>
            <w:tcW w:w="787" w:type="pct"/>
            <w:vMerge w:val="continue"/>
            <w:vAlign w:val="center"/>
          </w:tcPr>
          <w:p w14:paraId="625FCDB7">
            <w:pPr>
              <w:pStyle w:val="409"/>
              <w:spacing w:line="240" w:lineRule="auto"/>
              <w:jc w:val="center"/>
              <w:rPr>
                <w:rFonts w:ascii="Times New Roman" w:hAnsi="Times New Roman" w:eastAsia="宋体"/>
                <w:color w:val="000000"/>
                <w:spacing w:val="-6"/>
                <w:sz w:val="20"/>
                <w:szCs w:val="20"/>
              </w:rPr>
            </w:pPr>
          </w:p>
        </w:tc>
        <w:tc>
          <w:tcPr>
            <w:tcW w:w="298" w:type="pct"/>
            <w:vMerge w:val="continue"/>
            <w:vAlign w:val="center"/>
          </w:tcPr>
          <w:p w14:paraId="512E9177">
            <w:pPr>
              <w:pStyle w:val="409"/>
              <w:spacing w:line="240" w:lineRule="auto"/>
              <w:jc w:val="center"/>
              <w:rPr>
                <w:rFonts w:ascii="Times New Roman" w:hAnsi="Times New Roman" w:eastAsia="宋体"/>
                <w:color w:val="000000"/>
                <w:sz w:val="20"/>
                <w:szCs w:val="20"/>
              </w:rPr>
            </w:pPr>
          </w:p>
        </w:tc>
        <w:tc>
          <w:tcPr>
            <w:tcW w:w="298" w:type="pct"/>
            <w:vMerge w:val="continue"/>
            <w:vAlign w:val="center"/>
          </w:tcPr>
          <w:p w14:paraId="647BDCCA">
            <w:pPr>
              <w:pStyle w:val="409"/>
              <w:spacing w:line="240" w:lineRule="auto"/>
              <w:jc w:val="center"/>
              <w:rPr>
                <w:rFonts w:ascii="Times New Roman" w:hAnsi="Times New Roman" w:eastAsia="宋体"/>
                <w:color w:val="000000"/>
                <w:sz w:val="20"/>
                <w:szCs w:val="20"/>
              </w:rPr>
            </w:pPr>
          </w:p>
        </w:tc>
        <w:tc>
          <w:tcPr>
            <w:tcW w:w="162" w:type="pct"/>
            <w:vMerge w:val="continue"/>
            <w:vAlign w:val="center"/>
          </w:tcPr>
          <w:p w14:paraId="675CD702">
            <w:pPr>
              <w:pStyle w:val="409"/>
              <w:spacing w:line="240" w:lineRule="auto"/>
              <w:jc w:val="center"/>
              <w:rPr>
                <w:rFonts w:ascii="Times New Roman" w:hAnsi="Times New Roman" w:eastAsia="宋体"/>
                <w:color w:val="000000"/>
                <w:sz w:val="20"/>
                <w:szCs w:val="20"/>
              </w:rPr>
            </w:pPr>
          </w:p>
        </w:tc>
        <w:tc>
          <w:tcPr>
            <w:tcW w:w="446" w:type="pct"/>
            <w:vAlign w:val="center"/>
          </w:tcPr>
          <w:p w14:paraId="0D94EC40">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240</w:t>
            </w:r>
          </w:p>
        </w:tc>
        <w:tc>
          <w:tcPr>
            <w:tcW w:w="391" w:type="pct"/>
            <w:vAlign w:val="center"/>
          </w:tcPr>
          <w:p w14:paraId="50F80A15">
            <w:pPr>
              <w:spacing w:line="240" w:lineRule="auto"/>
              <w:jc w:val="center"/>
              <w:rPr>
                <w:color w:val="000000"/>
                <w:sz w:val="20"/>
                <w:szCs w:val="20"/>
              </w:rPr>
            </w:pPr>
            <w:r>
              <w:rPr>
                <w:color w:val="000000"/>
                <w:sz w:val="20"/>
                <w:szCs w:val="20"/>
              </w:rPr>
              <w:t>30.72</w:t>
            </w:r>
          </w:p>
        </w:tc>
        <w:tc>
          <w:tcPr>
            <w:tcW w:w="446" w:type="pct"/>
            <w:vMerge w:val="continue"/>
            <w:vAlign w:val="center"/>
          </w:tcPr>
          <w:p w14:paraId="2ABD85EA">
            <w:pPr>
              <w:pStyle w:val="409"/>
              <w:spacing w:line="240" w:lineRule="auto"/>
              <w:jc w:val="center"/>
              <w:rPr>
                <w:rFonts w:ascii="Times New Roman" w:hAnsi="Times New Roman" w:eastAsia="宋体"/>
                <w:color w:val="000000"/>
                <w:sz w:val="20"/>
                <w:szCs w:val="20"/>
              </w:rPr>
            </w:pPr>
          </w:p>
        </w:tc>
        <w:tc>
          <w:tcPr>
            <w:tcW w:w="414" w:type="pct"/>
            <w:vAlign w:val="center"/>
          </w:tcPr>
          <w:p w14:paraId="7D987695">
            <w:pPr>
              <w:pStyle w:val="12"/>
              <w:spacing w:line="240" w:lineRule="auto"/>
              <w:rPr>
                <w:color w:val="000000"/>
              </w:rPr>
            </w:pPr>
            <w:r>
              <w:rPr>
                <w:color w:val="000000"/>
              </w:rPr>
              <w:t>0.18</w:t>
            </w:r>
          </w:p>
        </w:tc>
      </w:tr>
      <w:tr w14:paraId="47C1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161" w:type="pct"/>
            <w:vMerge w:val="continue"/>
            <w:vAlign w:val="center"/>
          </w:tcPr>
          <w:p w14:paraId="0FF9F113">
            <w:pPr>
              <w:pStyle w:val="409"/>
              <w:spacing w:line="240" w:lineRule="auto"/>
              <w:jc w:val="center"/>
              <w:rPr>
                <w:rFonts w:ascii="Times New Roman" w:hAnsi="Times New Roman" w:eastAsia="宋体"/>
                <w:color w:val="000000"/>
                <w:sz w:val="20"/>
                <w:szCs w:val="20"/>
              </w:rPr>
            </w:pPr>
          </w:p>
        </w:tc>
        <w:tc>
          <w:tcPr>
            <w:tcW w:w="615" w:type="pct"/>
            <w:vAlign w:val="center"/>
          </w:tcPr>
          <w:p w14:paraId="0F25745F">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吸附脱氢再生尾气G3、脱碳干燥再生尾气G4</w:t>
            </w:r>
          </w:p>
        </w:tc>
        <w:tc>
          <w:tcPr>
            <w:tcW w:w="371" w:type="pct"/>
            <w:vAlign w:val="center"/>
          </w:tcPr>
          <w:p w14:paraId="44CE6683">
            <w:pPr>
              <w:pStyle w:val="12"/>
              <w:spacing w:line="240" w:lineRule="auto"/>
              <w:rPr>
                <w:color w:val="000000"/>
              </w:rPr>
            </w:pPr>
            <w:r>
              <w:rPr>
                <w:color w:val="000000"/>
              </w:rPr>
              <w:t>N</w:t>
            </w:r>
            <w:r>
              <w:rPr>
                <w:color w:val="000000"/>
                <w:vertAlign w:val="subscript"/>
              </w:rPr>
              <w:t>2</w:t>
            </w:r>
            <w:r>
              <w:rPr>
                <w:color w:val="000000"/>
              </w:rPr>
              <w:t>、O</w:t>
            </w:r>
            <w:r>
              <w:rPr>
                <w:color w:val="000000"/>
                <w:vertAlign w:val="subscript"/>
              </w:rPr>
              <w:t>2</w:t>
            </w:r>
            <w:r>
              <w:rPr>
                <w:rFonts w:hint="eastAsia"/>
                <w:color w:val="000000"/>
              </w:rPr>
              <w:t>等</w:t>
            </w:r>
          </w:p>
        </w:tc>
        <w:tc>
          <w:tcPr>
            <w:tcW w:w="606" w:type="pct"/>
            <w:vAlign w:val="center"/>
          </w:tcPr>
          <w:p w14:paraId="522738E0">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直接放空</w:t>
            </w:r>
          </w:p>
        </w:tc>
        <w:tc>
          <w:tcPr>
            <w:tcW w:w="787" w:type="pct"/>
            <w:vAlign w:val="center"/>
          </w:tcPr>
          <w:p w14:paraId="23D4F3E2">
            <w:pPr>
              <w:spacing w:line="240" w:lineRule="auto"/>
              <w:jc w:val="center"/>
              <w:rPr>
                <w:color w:val="000000"/>
                <w:spacing w:val="-6"/>
                <w:sz w:val="20"/>
                <w:szCs w:val="20"/>
              </w:rPr>
            </w:pPr>
            <w:r>
              <w:rPr>
                <w:color w:val="000000"/>
                <w:sz w:val="20"/>
                <w:szCs w:val="20"/>
              </w:rPr>
              <w:t>/</w:t>
            </w:r>
          </w:p>
        </w:tc>
        <w:tc>
          <w:tcPr>
            <w:tcW w:w="298" w:type="pct"/>
            <w:vAlign w:val="center"/>
          </w:tcPr>
          <w:p w14:paraId="16D9BCC5">
            <w:pPr>
              <w:spacing w:line="240" w:lineRule="auto"/>
              <w:jc w:val="center"/>
              <w:rPr>
                <w:color w:val="000000"/>
                <w:sz w:val="20"/>
                <w:szCs w:val="20"/>
              </w:rPr>
            </w:pPr>
            <w:r>
              <w:rPr>
                <w:color w:val="000000"/>
                <w:sz w:val="20"/>
                <w:szCs w:val="20"/>
              </w:rPr>
              <w:t>/</w:t>
            </w:r>
          </w:p>
        </w:tc>
        <w:tc>
          <w:tcPr>
            <w:tcW w:w="298" w:type="pct"/>
            <w:vAlign w:val="center"/>
          </w:tcPr>
          <w:p w14:paraId="05C63572">
            <w:pPr>
              <w:spacing w:line="240" w:lineRule="auto"/>
              <w:jc w:val="center"/>
              <w:rPr>
                <w:color w:val="000000"/>
                <w:sz w:val="20"/>
                <w:szCs w:val="20"/>
              </w:rPr>
            </w:pPr>
            <w:r>
              <w:rPr>
                <w:color w:val="000000"/>
                <w:sz w:val="20"/>
                <w:szCs w:val="20"/>
              </w:rPr>
              <w:t>/</w:t>
            </w:r>
          </w:p>
        </w:tc>
        <w:tc>
          <w:tcPr>
            <w:tcW w:w="162" w:type="pct"/>
            <w:vAlign w:val="center"/>
          </w:tcPr>
          <w:p w14:paraId="7C1AA744">
            <w:pPr>
              <w:spacing w:line="240" w:lineRule="auto"/>
              <w:jc w:val="center"/>
              <w:rPr>
                <w:color w:val="000000"/>
                <w:sz w:val="20"/>
                <w:szCs w:val="20"/>
              </w:rPr>
            </w:pPr>
            <w:r>
              <w:rPr>
                <w:color w:val="000000"/>
                <w:sz w:val="20"/>
                <w:szCs w:val="20"/>
              </w:rPr>
              <w:t>/</w:t>
            </w:r>
          </w:p>
        </w:tc>
        <w:tc>
          <w:tcPr>
            <w:tcW w:w="446" w:type="pct"/>
            <w:vAlign w:val="center"/>
          </w:tcPr>
          <w:p w14:paraId="0611FAAD">
            <w:pPr>
              <w:spacing w:line="240" w:lineRule="auto"/>
              <w:jc w:val="center"/>
              <w:rPr>
                <w:color w:val="000000"/>
                <w:sz w:val="20"/>
                <w:szCs w:val="20"/>
              </w:rPr>
            </w:pPr>
            <w:r>
              <w:rPr>
                <w:color w:val="000000"/>
                <w:sz w:val="20"/>
                <w:szCs w:val="20"/>
              </w:rPr>
              <w:t>/</w:t>
            </w:r>
          </w:p>
        </w:tc>
        <w:tc>
          <w:tcPr>
            <w:tcW w:w="391" w:type="pct"/>
            <w:vAlign w:val="center"/>
          </w:tcPr>
          <w:p w14:paraId="077FCAC6">
            <w:pPr>
              <w:spacing w:line="240" w:lineRule="auto"/>
              <w:jc w:val="center"/>
              <w:rPr>
                <w:color w:val="000000"/>
                <w:sz w:val="20"/>
                <w:szCs w:val="20"/>
              </w:rPr>
            </w:pPr>
            <w:r>
              <w:rPr>
                <w:color w:val="000000"/>
                <w:sz w:val="20"/>
                <w:szCs w:val="20"/>
              </w:rPr>
              <w:t>/</w:t>
            </w:r>
          </w:p>
        </w:tc>
        <w:tc>
          <w:tcPr>
            <w:tcW w:w="446" w:type="pct"/>
            <w:vAlign w:val="center"/>
          </w:tcPr>
          <w:p w14:paraId="2CAE294B">
            <w:pPr>
              <w:spacing w:line="240" w:lineRule="auto"/>
              <w:jc w:val="center"/>
              <w:rPr>
                <w:color w:val="000000"/>
                <w:sz w:val="20"/>
                <w:szCs w:val="20"/>
              </w:rPr>
            </w:pPr>
            <w:r>
              <w:rPr>
                <w:color w:val="000000"/>
                <w:sz w:val="20"/>
                <w:szCs w:val="20"/>
              </w:rPr>
              <w:t>/</w:t>
            </w:r>
          </w:p>
        </w:tc>
        <w:tc>
          <w:tcPr>
            <w:tcW w:w="414" w:type="pct"/>
            <w:vAlign w:val="center"/>
          </w:tcPr>
          <w:p w14:paraId="79CFAD20">
            <w:pPr>
              <w:spacing w:line="240" w:lineRule="auto"/>
              <w:jc w:val="center"/>
              <w:rPr>
                <w:color w:val="000000"/>
              </w:rPr>
            </w:pPr>
            <w:r>
              <w:rPr>
                <w:color w:val="000000"/>
                <w:sz w:val="20"/>
                <w:szCs w:val="20"/>
              </w:rPr>
              <w:t>/</w:t>
            </w:r>
          </w:p>
        </w:tc>
      </w:tr>
    </w:tbl>
    <w:p w14:paraId="1064928C">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9.5.1</w:t>
      </w:r>
      <w:r>
        <w:rPr>
          <w:rFonts w:ascii="Times New Roman" w:hAnsi="Times New Roman"/>
          <w:color w:val="000000"/>
        </w:rPr>
        <w:t>-</w:t>
      </w:r>
      <w:r>
        <w:rPr>
          <w:rFonts w:ascii="Times New Roman" w:hAnsi="Times New Roman"/>
          <w:color w:val="000000"/>
          <w:lang w:val="en-US"/>
        </w:rPr>
        <w:t>2</w:t>
      </w:r>
      <w:r>
        <w:rPr>
          <w:rFonts w:ascii="Times New Roman" w:hAnsi="Times New Roman"/>
          <w:color w:val="000000"/>
        </w:rPr>
        <w:t xml:space="preserve">  项目废水污染物排放清单</w:t>
      </w:r>
    </w:p>
    <w:tbl>
      <w:tblPr>
        <w:tblStyle w:val="7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1175"/>
        <w:gridCol w:w="1213"/>
        <w:gridCol w:w="3044"/>
        <w:gridCol w:w="2237"/>
        <w:gridCol w:w="1495"/>
        <w:gridCol w:w="1498"/>
        <w:gridCol w:w="1103"/>
      </w:tblGrid>
      <w:tr w14:paraId="27CBB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vMerge w:val="restart"/>
            <w:tcBorders>
              <w:top w:val="single" w:color="auto" w:sz="2" w:space="0"/>
              <w:left w:val="single" w:color="auto" w:sz="2" w:space="0"/>
            </w:tcBorders>
            <w:vAlign w:val="center"/>
          </w:tcPr>
          <w:p w14:paraId="3FE3E001">
            <w:pPr>
              <w:pStyle w:val="2191"/>
              <w:rPr>
                <w:color w:val="000000"/>
                <w:kern w:val="44"/>
                <w:szCs w:val="21"/>
              </w:rPr>
            </w:pPr>
            <w:r>
              <w:rPr>
                <w:color w:val="000000"/>
                <w:kern w:val="44"/>
                <w:szCs w:val="21"/>
              </w:rPr>
              <w:t>类别</w:t>
            </w:r>
          </w:p>
        </w:tc>
        <w:tc>
          <w:tcPr>
            <w:tcW w:w="437" w:type="pct"/>
            <w:vMerge w:val="restart"/>
            <w:tcBorders>
              <w:top w:val="single" w:color="auto" w:sz="2" w:space="0"/>
            </w:tcBorders>
            <w:vAlign w:val="center"/>
          </w:tcPr>
          <w:p w14:paraId="451B7525">
            <w:pPr>
              <w:pStyle w:val="2191"/>
              <w:rPr>
                <w:color w:val="000000"/>
                <w:kern w:val="44"/>
                <w:szCs w:val="21"/>
              </w:rPr>
            </w:pPr>
            <w:r>
              <w:rPr>
                <w:color w:val="000000"/>
                <w:kern w:val="44"/>
                <w:szCs w:val="21"/>
              </w:rPr>
              <w:t>污染源</w:t>
            </w:r>
          </w:p>
        </w:tc>
        <w:tc>
          <w:tcPr>
            <w:tcW w:w="451" w:type="pct"/>
            <w:vMerge w:val="restart"/>
            <w:tcBorders>
              <w:top w:val="single" w:color="auto" w:sz="2" w:space="0"/>
            </w:tcBorders>
            <w:vAlign w:val="center"/>
          </w:tcPr>
          <w:p w14:paraId="0C4041D3">
            <w:pPr>
              <w:pStyle w:val="2191"/>
              <w:rPr>
                <w:color w:val="000000"/>
                <w:kern w:val="44"/>
                <w:szCs w:val="21"/>
              </w:rPr>
            </w:pPr>
            <w:r>
              <w:rPr>
                <w:color w:val="000000"/>
                <w:kern w:val="44"/>
                <w:szCs w:val="21"/>
              </w:rPr>
              <w:t>污染因子</w:t>
            </w:r>
          </w:p>
        </w:tc>
        <w:tc>
          <w:tcPr>
            <w:tcW w:w="1132" w:type="pct"/>
            <w:vMerge w:val="restart"/>
            <w:tcBorders>
              <w:top w:val="single" w:color="auto" w:sz="2" w:space="0"/>
            </w:tcBorders>
            <w:vAlign w:val="center"/>
          </w:tcPr>
          <w:p w14:paraId="56DD21AE">
            <w:pPr>
              <w:pStyle w:val="2191"/>
              <w:rPr>
                <w:color w:val="000000"/>
                <w:kern w:val="44"/>
                <w:szCs w:val="21"/>
              </w:rPr>
            </w:pPr>
            <w:r>
              <w:rPr>
                <w:color w:val="000000"/>
                <w:kern w:val="44"/>
                <w:szCs w:val="21"/>
              </w:rPr>
              <w:t>治理措施</w:t>
            </w:r>
          </w:p>
        </w:tc>
        <w:tc>
          <w:tcPr>
            <w:tcW w:w="832" w:type="pct"/>
            <w:vMerge w:val="restart"/>
            <w:tcBorders>
              <w:top w:val="single" w:color="auto" w:sz="2" w:space="0"/>
            </w:tcBorders>
            <w:vAlign w:val="center"/>
          </w:tcPr>
          <w:p w14:paraId="27579261">
            <w:pPr>
              <w:pStyle w:val="2191"/>
              <w:rPr>
                <w:color w:val="000000"/>
                <w:kern w:val="44"/>
                <w:szCs w:val="21"/>
              </w:rPr>
            </w:pPr>
            <w:r>
              <w:rPr>
                <w:color w:val="000000"/>
                <w:kern w:val="44"/>
                <w:szCs w:val="21"/>
              </w:rPr>
              <w:t>验收执行标准</w:t>
            </w:r>
          </w:p>
        </w:tc>
        <w:tc>
          <w:tcPr>
            <w:tcW w:w="1113" w:type="pct"/>
            <w:gridSpan w:val="2"/>
            <w:tcBorders>
              <w:top w:val="single" w:color="auto" w:sz="2" w:space="0"/>
            </w:tcBorders>
            <w:vAlign w:val="center"/>
          </w:tcPr>
          <w:p w14:paraId="68F35FF9">
            <w:pPr>
              <w:pStyle w:val="2191"/>
              <w:rPr>
                <w:color w:val="000000"/>
                <w:kern w:val="44"/>
                <w:szCs w:val="21"/>
              </w:rPr>
            </w:pPr>
            <w:r>
              <w:rPr>
                <w:color w:val="000000"/>
                <w:kern w:val="44"/>
                <w:szCs w:val="21"/>
              </w:rPr>
              <w:t>废水排放</w:t>
            </w:r>
          </w:p>
        </w:tc>
        <w:tc>
          <w:tcPr>
            <w:tcW w:w="410" w:type="pct"/>
            <w:vMerge w:val="restart"/>
            <w:tcBorders>
              <w:top w:val="single" w:color="auto" w:sz="2" w:space="0"/>
              <w:right w:val="single" w:color="auto" w:sz="2" w:space="0"/>
            </w:tcBorders>
            <w:vAlign w:val="center"/>
          </w:tcPr>
          <w:p w14:paraId="12746ED3">
            <w:pPr>
              <w:pStyle w:val="2191"/>
              <w:rPr>
                <w:color w:val="000000"/>
                <w:kern w:val="44"/>
                <w:szCs w:val="21"/>
              </w:rPr>
            </w:pPr>
            <w:r>
              <w:rPr>
                <w:color w:val="000000"/>
                <w:kern w:val="44"/>
                <w:szCs w:val="21"/>
              </w:rPr>
              <w:t>允许排放指标t/a</w:t>
            </w:r>
          </w:p>
        </w:tc>
      </w:tr>
      <w:tr w14:paraId="5145A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vMerge w:val="continue"/>
            <w:tcBorders>
              <w:left w:val="single" w:color="auto" w:sz="2" w:space="0"/>
            </w:tcBorders>
            <w:vAlign w:val="center"/>
          </w:tcPr>
          <w:p w14:paraId="6B6A86C3">
            <w:pPr>
              <w:pStyle w:val="2191"/>
              <w:rPr>
                <w:color w:val="000000"/>
                <w:kern w:val="44"/>
                <w:szCs w:val="21"/>
              </w:rPr>
            </w:pPr>
          </w:p>
        </w:tc>
        <w:tc>
          <w:tcPr>
            <w:tcW w:w="437" w:type="pct"/>
            <w:vMerge w:val="continue"/>
            <w:vAlign w:val="center"/>
          </w:tcPr>
          <w:p w14:paraId="0B7A899E">
            <w:pPr>
              <w:pStyle w:val="2191"/>
              <w:rPr>
                <w:color w:val="000000"/>
                <w:kern w:val="44"/>
                <w:szCs w:val="21"/>
              </w:rPr>
            </w:pPr>
          </w:p>
        </w:tc>
        <w:tc>
          <w:tcPr>
            <w:tcW w:w="451" w:type="pct"/>
            <w:vMerge w:val="continue"/>
            <w:vAlign w:val="center"/>
          </w:tcPr>
          <w:p w14:paraId="67007A50">
            <w:pPr>
              <w:pStyle w:val="2191"/>
              <w:rPr>
                <w:color w:val="000000"/>
                <w:kern w:val="44"/>
                <w:szCs w:val="21"/>
              </w:rPr>
            </w:pPr>
          </w:p>
        </w:tc>
        <w:tc>
          <w:tcPr>
            <w:tcW w:w="1132" w:type="pct"/>
            <w:vMerge w:val="continue"/>
            <w:vAlign w:val="center"/>
          </w:tcPr>
          <w:p w14:paraId="715B349C">
            <w:pPr>
              <w:pStyle w:val="2191"/>
              <w:rPr>
                <w:color w:val="000000"/>
                <w:kern w:val="44"/>
                <w:szCs w:val="21"/>
              </w:rPr>
            </w:pPr>
          </w:p>
        </w:tc>
        <w:tc>
          <w:tcPr>
            <w:tcW w:w="832" w:type="pct"/>
            <w:vMerge w:val="continue"/>
            <w:vAlign w:val="center"/>
          </w:tcPr>
          <w:p w14:paraId="6CAFBD41">
            <w:pPr>
              <w:pStyle w:val="2191"/>
              <w:rPr>
                <w:color w:val="000000"/>
                <w:kern w:val="44"/>
                <w:szCs w:val="21"/>
              </w:rPr>
            </w:pPr>
          </w:p>
        </w:tc>
        <w:tc>
          <w:tcPr>
            <w:tcW w:w="556" w:type="pct"/>
            <w:vMerge w:val="restart"/>
            <w:vAlign w:val="center"/>
          </w:tcPr>
          <w:p w14:paraId="0648526E">
            <w:pPr>
              <w:pStyle w:val="2191"/>
              <w:rPr>
                <w:color w:val="000000"/>
                <w:kern w:val="44"/>
                <w:szCs w:val="21"/>
              </w:rPr>
            </w:pPr>
            <w:r>
              <w:rPr>
                <w:color w:val="000000"/>
                <w:kern w:val="44"/>
                <w:szCs w:val="21"/>
              </w:rPr>
              <w:t>浓度限值（mg/L）</w:t>
            </w:r>
          </w:p>
        </w:tc>
        <w:tc>
          <w:tcPr>
            <w:tcW w:w="557" w:type="pct"/>
            <w:vMerge w:val="restart"/>
            <w:vAlign w:val="center"/>
          </w:tcPr>
          <w:p w14:paraId="5A84F96E">
            <w:pPr>
              <w:pStyle w:val="2191"/>
              <w:rPr>
                <w:color w:val="000000"/>
                <w:kern w:val="44"/>
                <w:szCs w:val="21"/>
              </w:rPr>
            </w:pPr>
            <w:r>
              <w:rPr>
                <w:color w:val="000000"/>
                <w:kern w:val="44"/>
                <w:szCs w:val="21"/>
              </w:rPr>
              <w:t>速率限值（kg/h）</w:t>
            </w:r>
          </w:p>
        </w:tc>
        <w:tc>
          <w:tcPr>
            <w:tcW w:w="410" w:type="pct"/>
            <w:vMerge w:val="continue"/>
            <w:tcBorders>
              <w:right w:val="single" w:color="auto" w:sz="2" w:space="0"/>
            </w:tcBorders>
            <w:vAlign w:val="center"/>
          </w:tcPr>
          <w:p w14:paraId="05FBA302">
            <w:pPr>
              <w:pStyle w:val="2191"/>
              <w:rPr>
                <w:color w:val="000000"/>
                <w:kern w:val="44"/>
                <w:szCs w:val="21"/>
              </w:rPr>
            </w:pPr>
          </w:p>
        </w:tc>
      </w:tr>
      <w:tr w14:paraId="7AA1F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vMerge w:val="continue"/>
            <w:tcBorders>
              <w:left w:val="single" w:color="auto" w:sz="2" w:space="0"/>
            </w:tcBorders>
            <w:vAlign w:val="center"/>
          </w:tcPr>
          <w:p w14:paraId="7FD4DE9A">
            <w:pPr>
              <w:pStyle w:val="2191"/>
              <w:rPr>
                <w:color w:val="000000"/>
                <w:kern w:val="44"/>
                <w:szCs w:val="21"/>
              </w:rPr>
            </w:pPr>
          </w:p>
        </w:tc>
        <w:tc>
          <w:tcPr>
            <w:tcW w:w="437" w:type="pct"/>
            <w:vMerge w:val="continue"/>
            <w:vAlign w:val="center"/>
          </w:tcPr>
          <w:p w14:paraId="6A95FBDD">
            <w:pPr>
              <w:pStyle w:val="2191"/>
              <w:rPr>
                <w:color w:val="000000"/>
                <w:kern w:val="44"/>
                <w:szCs w:val="21"/>
              </w:rPr>
            </w:pPr>
          </w:p>
        </w:tc>
        <w:tc>
          <w:tcPr>
            <w:tcW w:w="451" w:type="pct"/>
            <w:vMerge w:val="continue"/>
            <w:vAlign w:val="center"/>
          </w:tcPr>
          <w:p w14:paraId="2B7A3762">
            <w:pPr>
              <w:pStyle w:val="2191"/>
              <w:rPr>
                <w:color w:val="000000"/>
                <w:kern w:val="44"/>
                <w:szCs w:val="21"/>
              </w:rPr>
            </w:pPr>
          </w:p>
        </w:tc>
        <w:tc>
          <w:tcPr>
            <w:tcW w:w="1132" w:type="pct"/>
            <w:vMerge w:val="continue"/>
            <w:vAlign w:val="center"/>
          </w:tcPr>
          <w:p w14:paraId="1E74A1B0">
            <w:pPr>
              <w:pStyle w:val="2191"/>
              <w:rPr>
                <w:color w:val="000000"/>
                <w:kern w:val="44"/>
                <w:szCs w:val="21"/>
              </w:rPr>
            </w:pPr>
          </w:p>
        </w:tc>
        <w:tc>
          <w:tcPr>
            <w:tcW w:w="832" w:type="pct"/>
            <w:vMerge w:val="continue"/>
            <w:vAlign w:val="center"/>
          </w:tcPr>
          <w:p w14:paraId="50F05622">
            <w:pPr>
              <w:pStyle w:val="2191"/>
              <w:rPr>
                <w:color w:val="000000"/>
                <w:kern w:val="44"/>
                <w:szCs w:val="21"/>
              </w:rPr>
            </w:pPr>
          </w:p>
        </w:tc>
        <w:tc>
          <w:tcPr>
            <w:tcW w:w="556" w:type="pct"/>
            <w:vMerge w:val="continue"/>
            <w:vAlign w:val="center"/>
          </w:tcPr>
          <w:p w14:paraId="2E078321">
            <w:pPr>
              <w:pStyle w:val="2191"/>
              <w:rPr>
                <w:color w:val="000000"/>
                <w:kern w:val="44"/>
                <w:szCs w:val="21"/>
              </w:rPr>
            </w:pPr>
          </w:p>
        </w:tc>
        <w:tc>
          <w:tcPr>
            <w:tcW w:w="557" w:type="pct"/>
            <w:vMerge w:val="continue"/>
            <w:vAlign w:val="center"/>
          </w:tcPr>
          <w:p w14:paraId="27327698">
            <w:pPr>
              <w:pStyle w:val="2191"/>
              <w:rPr>
                <w:color w:val="000000"/>
                <w:kern w:val="44"/>
                <w:szCs w:val="21"/>
              </w:rPr>
            </w:pPr>
          </w:p>
        </w:tc>
        <w:tc>
          <w:tcPr>
            <w:tcW w:w="410" w:type="pct"/>
            <w:vMerge w:val="continue"/>
            <w:tcBorders>
              <w:right w:val="single" w:color="auto" w:sz="2" w:space="0"/>
            </w:tcBorders>
            <w:vAlign w:val="center"/>
          </w:tcPr>
          <w:p w14:paraId="33AE31FB">
            <w:pPr>
              <w:pStyle w:val="2191"/>
              <w:rPr>
                <w:color w:val="000000"/>
                <w:kern w:val="44"/>
                <w:szCs w:val="21"/>
              </w:rPr>
            </w:pPr>
          </w:p>
        </w:tc>
      </w:tr>
      <w:tr w14:paraId="3BC93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vMerge w:val="restart"/>
            <w:tcBorders>
              <w:left w:val="single" w:color="auto" w:sz="2" w:space="0"/>
            </w:tcBorders>
            <w:vAlign w:val="center"/>
          </w:tcPr>
          <w:p w14:paraId="6FE29AD8">
            <w:pPr>
              <w:pStyle w:val="2191"/>
              <w:rPr>
                <w:color w:val="000000"/>
                <w:kern w:val="44"/>
                <w:szCs w:val="21"/>
              </w:rPr>
            </w:pPr>
            <w:r>
              <w:rPr>
                <w:color w:val="000000"/>
                <w:kern w:val="44"/>
                <w:szCs w:val="21"/>
              </w:rPr>
              <w:t>生产废水（废水量为44.76m</w:t>
            </w:r>
            <w:r>
              <w:rPr>
                <w:color w:val="000000"/>
                <w:kern w:val="44"/>
                <w:szCs w:val="21"/>
                <w:vertAlign w:val="superscript"/>
              </w:rPr>
              <w:t>3</w:t>
            </w:r>
            <w:r>
              <w:rPr>
                <w:color w:val="000000"/>
                <w:kern w:val="44"/>
                <w:szCs w:val="21"/>
              </w:rPr>
              <w:t>/a）</w:t>
            </w:r>
          </w:p>
        </w:tc>
        <w:tc>
          <w:tcPr>
            <w:tcW w:w="437" w:type="pct"/>
            <w:vMerge w:val="restart"/>
            <w:vAlign w:val="center"/>
          </w:tcPr>
          <w:p w14:paraId="1F595C27">
            <w:pPr>
              <w:pStyle w:val="2191"/>
              <w:rPr>
                <w:color w:val="000000"/>
                <w:kern w:val="44"/>
                <w:szCs w:val="21"/>
              </w:rPr>
            </w:pPr>
            <w:r>
              <w:rPr>
                <w:color w:val="000000"/>
                <w:kern w:val="44"/>
                <w:szCs w:val="21"/>
              </w:rPr>
              <w:t>生产废水排放口</w:t>
            </w:r>
          </w:p>
        </w:tc>
        <w:tc>
          <w:tcPr>
            <w:tcW w:w="451" w:type="pct"/>
            <w:vAlign w:val="center"/>
          </w:tcPr>
          <w:p w14:paraId="392D6758">
            <w:pPr>
              <w:pStyle w:val="2191"/>
              <w:rPr>
                <w:color w:val="000000"/>
                <w:kern w:val="44"/>
                <w:szCs w:val="21"/>
              </w:rPr>
            </w:pPr>
            <w:r>
              <w:rPr>
                <w:color w:val="000000"/>
                <w:kern w:val="44"/>
                <w:szCs w:val="21"/>
              </w:rPr>
              <w:t>COD</w:t>
            </w:r>
          </w:p>
        </w:tc>
        <w:tc>
          <w:tcPr>
            <w:tcW w:w="1132" w:type="pct"/>
            <w:vMerge w:val="restart"/>
            <w:vAlign w:val="center"/>
          </w:tcPr>
          <w:p w14:paraId="40558B8E">
            <w:pPr>
              <w:pStyle w:val="2191"/>
              <w:rPr>
                <w:color w:val="000000"/>
                <w:kern w:val="44"/>
                <w:szCs w:val="21"/>
              </w:rPr>
            </w:pPr>
            <w:r>
              <w:rPr>
                <w:color w:val="000000"/>
                <w:kern w:val="44"/>
                <w:szCs w:val="21"/>
              </w:rPr>
              <w:t>生产废水依托LNG工厂生产废水池处理后进入生产废水提升池、生活污水依托LNG工厂现有化粪池处理后进入生活污水提升池，分别经泵提升后在界区内汇合后统一输送至园区潘家坝污水处理厂处理</w:t>
            </w:r>
          </w:p>
        </w:tc>
        <w:tc>
          <w:tcPr>
            <w:tcW w:w="832" w:type="pct"/>
            <w:vMerge w:val="restart"/>
            <w:vAlign w:val="center"/>
          </w:tcPr>
          <w:p w14:paraId="13CC7AB1">
            <w:pPr>
              <w:pStyle w:val="2191"/>
              <w:rPr>
                <w:color w:val="000000"/>
                <w:kern w:val="44"/>
                <w:szCs w:val="21"/>
              </w:rPr>
            </w:pPr>
            <w:r>
              <w:rPr>
                <w:color w:val="000000"/>
              </w:rPr>
              <w:t>涪陵区拓源污水治理有限公司白涛化工园区潘家坝污水处理厂进水水质标准及</w:t>
            </w:r>
            <w:r>
              <w:rPr>
                <w:color w:val="000000"/>
                <w:sz w:val="20"/>
                <w:szCs w:val="20"/>
              </w:rPr>
              <w:t>《污水综合排放标准》（GB8978-1996）三级标准</w:t>
            </w:r>
          </w:p>
        </w:tc>
        <w:tc>
          <w:tcPr>
            <w:tcW w:w="556" w:type="pct"/>
            <w:vAlign w:val="center"/>
          </w:tcPr>
          <w:p w14:paraId="5771066D">
            <w:pPr>
              <w:pStyle w:val="2191"/>
              <w:rPr>
                <w:color w:val="000000"/>
                <w:kern w:val="44"/>
                <w:szCs w:val="21"/>
              </w:rPr>
            </w:pPr>
            <w:r>
              <w:rPr>
                <w:color w:val="000000"/>
                <w:kern w:val="44"/>
                <w:szCs w:val="21"/>
              </w:rPr>
              <w:t>500</w:t>
            </w:r>
          </w:p>
        </w:tc>
        <w:tc>
          <w:tcPr>
            <w:tcW w:w="557" w:type="pct"/>
            <w:vAlign w:val="center"/>
          </w:tcPr>
          <w:p w14:paraId="674CBDD1">
            <w:pPr>
              <w:ind w:firstLine="420" w:firstLineChars="200"/>
              <w:rPr>
                <w:color w:val="000000"/>
                <w:kern w:val="44"/>
                <w:sz w:val="21"/>
              </w:rPr>
            </w:pPr>
            <w:r>
              <w:rPr>
                <w:color w:val="000000"/>
                <w:kern w:val="44"/>
                <w:sz w:val="21"/>
              </w:rPr>
              <w:t>/</w:t>
            </w:r>
          </w:p>
        </w:tc>
        <w:tc>
          <w:tcPr>
            <w:tcW w:w="410" w:type="pct"/>
            <w:tcBorders>
              <w:right w:val="single" w:color="auto" w:sz="2" w:space="0"/>
            </w:tcBorders>
            <w:vAlign w:val="center"/>
          </w:tcPr>
          <w:p w14:paraId="0C550621">
            <w:pPr>
              <w:pStyle w:val="2191"/>
              <w:rPr>
                <w:color w:val="000000"/>
                <w:kern w:val="44"/>
                <w:szCs w:val="21"/>
              </w:rPr>
            </w:pPr>
            <w:r>
              <w:rPr>
                <w:color w:val="000000"/>
                <w:kern w:val="44"/>
                <w:szCs w:val="21"/>
              </w:rPr>
              <w:t xml:space="preserve">0.022 </w:t>
            </w:r>
          </w:p>
        </w:tc>
      </w:tr>
      <w:tr w14:paraId="2B914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vMerge w:val="continue"/>
            <w:tcBorders>
              <w:left w:val="single" w:color="auto" w:sz="2" w:space="0"/>
            </w:tcBorders>
            <w:vAlign w:val="center"/>
          </w:tcPr>
          <w:p w14:paraId="5E5AC901">
            <w:pPr>
              <w:pStyle w:val="2191"/>
              <w:rPr>
                <w:color w:val="000000"/>
                <w:kern w:val="44"/>
                <w:szCs w:val="21"/>
              </w:rPr>
            </w:pPr>
          </w:p>
        </w:tc>
        <w:tc>
          <w:tcPr>
            <w:tcW w:w="437" w:type="pct"/>
            <w:vMerge w:val="continue"/>
            <w:vAlign w:val="center"/>
          </w:tcPr>
          <w:p w14:paraId="4480533B">
            <w:pPr>
              <w:pStyle w:val="2191"/>
              <w:rPr>
                <w:color w:val="000000"/>
                <w:kern w:val="44"/>
                <w:szCs w:val="21"/>
              </w:rPr>
            </w:pPr>
          </w:p>
        </w:tc>
        <w:tc>
          <w:tcPr>
            <w:tcW w:w="451" w:type="pct"/>
            <w:vAlign w:val="center"/>
          </w:tcPr>
          <w:p w14:paraId="5609C60D">
            <w:pPr>
              <w:pStyle w:val="2191"/>
              <w:rPr>
                <w:color w:val="000000"/>
                <w:kern w:val="44"/>
                <w:szCs w:val="21"/>
              </w:rPr>
            </w:pPr>
            <w:r>
              <w:rPr>
                <w:color w:val="000000"/>
                <w:kern w:val="44"/>
                <w:szCs w:val="21"/>
              </w:rPr>
              <w:t>SS</w:t>
            </w:r>
          </w:p>
        </w:tc>
        <w:tc>
          <w:tcPr>
            <w:tcW w:w="1132" w:type="pct"/>
            <w:vMerge w:val="continue"/>
            <w:vAlign w:val="center"/>
          </w:tcPr>
          <w:p w14:paraId="714DC251">
            <w:pPr>
              <w:pStyle w:val="2191"/>
              <w:rPr>
                <w:color w:val="000000"/>
                <w:szCs w:val="21"/>
              </w:rPr>
            </w:pPr>
          </w:p>
        </w:tc>
        <w:tc>
          <w:tcPr>
            <w:tcW w:w="832" w:type="pct"/>
            <w:vMerge w:val="continue"/>
            <w:vAlign w:val="center"/>
          </w:tcPr>
          <w:p w14:paraId="5F4C81E8">
            <w:pPr>
              <w:pStyle w:val="2191"/>
              <w:rPr>
                <w:color w:val="000000"/>
                <w:sz w:val="20"/>
                <w:szCs w:val="20"/>
              </w:rPr>
            </w:pPr>
          </w:p>
        </w:tc>
        <w:tc>
          <w:tcPr>
            <w:tcW w:w="556" w:type="pct"/>
            <w:vAlign w:val="center"/>
          </w:tcPr>
          <w:p w14:paraId="73C5E9CD">
            <w:pPr>
              <w:pStyle w:val="2191"/>
              <w:rPr>
                <w:color w:val="000000"/>
                <w:kern w:val="44"/>
                <w:szCs w:val="21"/>
              </w:rPr>
            </w:pPr>
            <w:r>
              <w:rPr>
                <w:color w:val="000000"/>
                <w:kern w:val="44"/>
                <w:szCs w:val="21"/>
              </w:rPr>
              <w:t>400</w:t>
            </w:r>
          </w:p>
        </w:tc>
        <w:tc>
          <w:tcPr>
            <w:tcW w:w="557" w:type="pct"/>
            <w:vAlign w:val="center"/>
          </w:tcPr>
          <w:p w14:paraId="3F867F7B">
            <w:pPr>
              <w:ind w:firstLine="420" w:firstLineChars="200"/>
              <w:rPr>
                <w:color w:val="000000"/>
                <w:kern w:val="44"/>
                <w:sz w:val="21"/>
              </w:rPr>
            </w:pPr>
            <w:r>
              <w:rPr>
                <w:color w:val="000000"/>
                <w:kern w:val="44"/>
                <w:sz w:val="21"/>
              </w:rPr>
              <w:t>/</w:t>
            </w:r>
          </w:p>
        </w:tc>
        <w:tc>
          <w:tcPr>
            <w:tcW w:w="410" w:type="pct"/>
            <w:tcBorders>
              <w:right w:val="single" w:color="auto" w:sz="2" w:space="0"/>
            </w:tcBorders>
            <w:vAlign w:val="center"/>
          </w:tcPr>
          <w:p w14:paraId="34527F00">
            <w:pPr>
              <w:pStyle w:val="2191"/>
              <w:rPr>
                <w:color w:val="000000"/>
                <w:kern w:val="44"/>
                <w:szCs w:val="21"/>
              </w:rPr>
            </w:pPr>
            <w:r>
              <w:rPr>
                <w:color w:val="000000"/>
                <w:kern w:val="44"/>
                <w:szCs w:val="21"/>
              </w:rPr>
              <w:t xml:space="preserve">0.018 </w:t>
            </w:r>
          </w:p>
        </w:tc>
      </w:tr>
      <w:tr w14:paraId="094C1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vMerge w:val="restart"/>
            <w:tcBorders>
              <w:left w:val="single" w:color="auto" w:sz="2" w:space="0"/>
            </w:tcBorders>
            <w:vAlign w:val="center"/>
          </w:tcPr>
          <w:p w14:paraId="25BC3506">
            <w:pPr>
              <w:pStyle w:val="2191"/>
              <w:rPr>
                <w:color w:val="000000"/>
                <w:kern w:val="44"/>
                <w:szCs w:val="21"/>
              </w:rPr>
            </w:pPr>
            <w:r>
              <w:rPr>
                <w:color w:val="000000"/>
                <w:kern w:val="44"/>
                <w:szCs w:val="21"/>
              </w:rPr>
              <w:t>生活污水</w:t>
            </w:r>
          </w:p>
          <w:p w14:paraId="55FF052B">
            <w:pPr>
              <w:pStyle w:val="2191"/>
              <w:rPr>
                <w:color w:val="000000"/>
                <w:kern w:val="44"/>
                <w:szCs w:val="21"/>
              </w:rPr>
            </w:pPr>
            <w:r>
              <w:rPr>
                <w:color w:val="000000"/>
                <w:kern w:val="44"/>
                <w:szCs w:val="21"/>
              </w:rPr>
              <w:t>（废水量为179.82m</w:t>
            </w:r>
            <w:r>
              <w:rPr>
                <w:color w:val="000000"/>
                <w:kern w:val="44"/>
                <w:szCs w:val="21"/>
                <w:vertAlign w:val="superscript"/>
              </w:rPr>
              <w:t>3</w:t>
            </w:r>
            <w:r>
              <w:rPr>
                <w:color w:val="000000"/>
                <w:kern w:val="44"/>
                <w:szCs w:val="21"/>
              </w:rPr>
              <w:t>/a）</w:t>
            </w:r>
          </w:p>
        </w:tc>
        <w:tc>
          <w:tcPr>
            <w:tcW w:w="437" w:type="pct"/>
            <w:vMerge w:val="restart"/>
            <w:vAlign w:val="center"/>
          </w:tcPr>
          <w:p w14:paraId="2D28FD24">
            <w:pPr>
              <w:pStyle w:val="2191"/>
              <w:rPr>
                <w:color w:val="000000"/>
                <w:kern w:val="44"/>
                <w:szCs w:val="21"/>
              </w:rPr>
            </w:pPr>
            <w:r>
              <w:rPr>
                <w:color w:val="000000"/>
                <w:kern w:val="44"/>
                <w:szCs w:val="21"/>
              </w:rPr>
              <w:t>生活污水排放口</w:t>
            </w:r>
          </w:p>
        </w:tc>
        <w:tc>
          <w:tcPr>
            <w:tcW w:w="451" w:type="pct"/>
            <w:vAlign w:val="center"/>
          </w:tcPr>
          <w:p w14:paraId="58B7FF21">
            <w:pPr>
              <w:pStyle w:val="2191"/>
              <w:rPr>
                <w:color w:val="000000"/>
                <w:kern w:val="44"/>
                <w:szCs w:val="21"/>
              </w:rPr>
            </w:pPr>
            <w:r>
              <w:rPr>
                <w:color w:val="000000"/>
                <w:kern w:val="44"/>
                <w:szCs w:val="21"/>
              </w:rPr>
              <w:t>COD</w:t>
            </w:r>
          </w:p>
        </w:tc>
        <w:tc>
          <w:tcPr>
            <w:tcW w:w="1132" w:type="pct"/>
            <w:vMerge w:val="continue"/>
            <w:vAlign w:val="center"/>
          </w:tcPr>
          <w:p w14:paraId="4E1C4AA1">
            <w:pPr>
              <w:pStyle w:val="2191"/>
              <w:rPr>
                <w:color w:val="000000"/>
                <w:kern w:val="44"/>
                <w:szCs w:val="21"/>
              </w:rPr>
            </w:pPr>
          </w:p>
        </w:tc>
        <w:tc>
          <w:tcPr>
            <w:tcW w:w="832" w:type="pct"/>
            <w:vMerge w:val="continue"/>
            <w:vAlign w:val="center"/>
          </w:tcPr>
          <w:p w14:paraId="0F75CBFD">
            <w:pPr>
              <w:pStyle w:val="2191"/>
              <w:rPr>
                <w:color w:val="000000"/>
                <w:kern w:val="44"/>
                <w:szCs w:val="21"/>
              </w:rPr>
            </w:pPr>
          </w:p>
        </w:tc>
        <w:tc>
          <w:tcPr>
            <w:tcW w:w="556" w:type="pct"/>
            <w:vAlign w:val="center"/>
          </w:tcPr>
          <w:p w14:paraId="49787881">
            <w:pPr>
              <w:pStyle w:val="2191"/>
              <w:rPr>
                <w:color w:val="000000"/>
                <w:kern w:val="44"/>
                <w:szCs w:val="21"/>
              </w:rPr>
            </w:pPr>
            <w:r>
              <w:rPr>
                <w:color w:val="000000"/>
                <w:kern w:val="44"/>
                <w:szCs w:val="21"/>
              </w:rPr>
              <w:t>500</w:t>
            </w:r>
          </w:p>
        </w:tc>
        <w:tc>
          <w:tcPr>
            <w:tcW w:w="557" w:type="pct"/>
            <w:vAlign w:val="center"/>
          </w:tcPr>
          <w:p w14:paraId="6B1C1ACA">
            <w:pPr>
              <w:ind w:firstLine="420" w:firstLineChars="200"/>
              <w:rPr>
                <w:color w:val="000000"/>
                <w:kern w:val="44"/>
                <w:sz w:val="21"/>
              </w:rPr>
            </w:pPr>
            <w:r>
              <w:rPr>
                <w:color w:val="000000"/>
                <w:kern w:val="44"/>
                <w:sz w:val="21"/>
              </w:rPr>
              <w:t>/</w:t>
            </w:r>
          </w:p>
        </w:tc>
        <w:tc>
          <w:tcPr>
            <w:tcW w:w="410" w:type="pct"/>
            <w:tcBorders>
              <w:right w:val="single" w:color="auto" w:sz="2" w:space="0"/>
            </w:tcBorders>
            <w:vAlign w:val="center"/>
          </w:tcPr>
          <w:p w14:paraId="41EF6516">
            <w:pPr>
              <w:pStyle w:val="2191"/>
              <w:rPr>
                <w:color w:val="000000"/>
                <w:kern w:val="44"/>
                <w:szCs w:val="21"/>
              </w:rPr>
            </w:pPr>
            <w:r>
              <w:rPr>
                <w:color w:val="000000"/>
                <w:kern w:val="44"/>
                <w:szCs w:val="21"/>
              </w:rPr>
              <w:t xml:space="preserve">0.090 </w:t>
            </w:r>
          </w:p>
        </w:tc>
      </w:tr>
      <w:tr w14:paraId="12E0A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vMerge w:val="continue"/>
            <w:tcBorders>
              <w:left w:val="single" w:color="auto" w:sz="2" w:space="0"/>
            </w:tcBorders>
            <w:vAlign w:val="center"/>
          </w:tcPr>
          <w:p w14:paraId="6114CBBE">
            <w:pPr>
              <w:pStyle w:val="2191"/>
              <w:rPr>
                <w:color w:val="000000"/>
                <w:kern w:val="44"/>
                <w:szCs w:val="21"/>
              </w:rPr>
            </w:pPr>
          </w:p>
        </w:tc>
        <w:tc>
          <w:tcPr>
            <w:tcW w:w="437" w:type="pct"/>
            <w:vMerge w:val="continue"/>
            <w:vAlign w:val="center"/>
          </w:tcPr>
          <w:p w14:paraId="5C6BDCA6">
            <w:pPr>
              <w:pStyle w:val="2191"/>
              <w:rPr>
                <w:color w:val="000000"/>
                <w:kern w:val="44"/>
                <w:szCs w:val="21"/>
              </w:rPr>
            </w:pPr>
          </w:p>
        </w:tc>
        <w:tc>
          <w:tcPr>
            <w:tcW w:w="451" w:type="pct"/>
            <w:vAlign w:val="center"/>
          </w:tcPr>
          <w:p w14:paraId="22B77980">
            <w:pPr>
              <w:pStyle w:val="2191"/>
              <w:rPr>
                <w:color w:val="000000"/>
                <w:kern w:val="44"/>
                <w:szCs w:val="21"/>
              </w:rPr>
            </w:pPr>
            <w:r>
              <w:rPr>
                <w:color w:val="000000"/>
                <w:kern w:val="44"/>
                <w:szCs w:val="21"/>
              </w:rPr>
              <w:t>BOD</w:t>
            </w:r>
            <w:r>
              <w:rPr>
                <w:color w:val="000000"/>
                <w:kern w:val="44"/>
                <w:szCs w:val="21"/>
                <w:vertAlign w:val="subscript"/>
              </w:rPr>
              <w:t>5</w:t>
            </w:r>
          </w:p>
        </w:tc>
        <w:tc>
          <w:tcPr>
            <w:tcW w:w="1132" w:type="pct"/>
            <w:vMerge w:val="continue"/>
            <w:vAlign w:val="center"/>
          </w:tcPr>
          <w:p w14:paraId="327D384D">
            <w:pPr>
              <w:pStyle w:val="2191"/>
              <w:rPr>
                <w:color w:val="000000"/>
                <w:kern w:val="44"/>
                <w:szCs w:val="21"/>
              </w:rPr>
            </w:pPr>
          </w:p>
        </w:tc>
        <w:tc>
          <w:tcPr>
            <w:tcW w:w="832" w:type="pct"/>
            <w:vMerge w:val="continue"/>
            <w:vAlign w:val="center"/>
          </w:tcPr>
          <w:p w14:paraId="1AF796B3">
            <w:pPr>
              <w:pStyle w:val="2191"/>
              <w:rPr>
                <w:color w:val="000000"/>
                <w:kern w:val="44"/>
                <w:szCs w:val="21"/>
              </w:rPr>
            </w:pPr>
          </w:p>
        </w:tc>
        <w:tc>
          <w:tcPr>
            <w:tcW w:w="556" w:type="pct"/>
            <w:vAlign w:val="center"/>
          </w:tcPr>
          <w:p w14:paraId="5BAC1892">
            <w:pPr>
              <w:pStyle w:val="2191"/>
              <w:rPr>
                <w:color w:val="000000"/>
                <w:kern w:val="44"/>
                <w:szCs w:val="21"/>
              </w:rPr>
            </w:pPr>
            <w:r>
              <w:rPr>
                <w:color w:val="000000"/>
                <w:kern w:val="44"/>
                <w:szCs w:val="21"/>
              </w:rPr>
              <w:t>236</w:t>
            </w:r>
          </w:p>
        </w:tc>
        <w:tc>
          <w:tcPr>
            <w:tcW w:w="557" w:type="pct"/>
            <w:vAlign w:val="center"/>
          </w:tcPr>
          <w:p w14:paraId="30A6924B">
            <w:pPr>
              <w:ind w:firstLine="420" w:firstLineChars="200"/>
              <w:rPr>
                <w:color w:val="000000"/>
                <w:kern w:val="44"/>
                <w:sz w:val="21"/>
              </w:rPr>
            </w:pPr>
            <w:r>
              <w:rPr>
                <w:color w:val="000000"/>
                <w:kern w:val="44"/>
                <w:sz w:val="21"/>
              </w:rPr>
              <w:t>/</w:t>
            </w:r>
          </w:p>
        </w:tc>
        <w:tc>
          <w:tcPr>
            <w:tcW w:w="410" w:type="pct"/>
            <w:tcBorders>
              <w:right w:val="single" w:color="auto" w:sz="2" w:space="0"/>
            </w:tcBorders>
            <w:vAlign w:val="center"/>
          </w:tcPr>
          <w:p w14:paraId="426626B0">
            <w:pPr>
              <w:pStyle w:val="2191"/>
              <w:rPr>
                <w:color w:val="000000"/>
                <w:kern w:val="44"/>
                <w:szCs w:val="21"/>
              </w:rPr>
            </w:pPr>
            <w:r>
              <w:rPr>
                <w:color w:val="000000"/>
                <w:kern w:val="44"/>
                <w:szCs w:val="21"/>
              </w:rPr>
              <w:t>0.042</w:t>
            </w:r>
          </w:p>
        </w:tc>
      </w:tr>
      <w:tr w14:paraId="30735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vMerge w:val="continue"/>
            <w:tcBorders>
              <w:left w:val="single" w:color="auto" w:sz="2" w:space="0"/>
            </w:tcBorders>
            <w:vAlign w:val="center"/>
          </w:tcPr>
          <w:p w14:paraId="078BEAC4">
            <w:pPr>
              <w:pStyle w:val="2191"/>
              <w:rPr>
                <w:color w:val="000000"/>
                <w:kern w:val="44"/>
                <w:szCs w:val="21"/>
              </w:rPr>
            </w:pPr>
          </w:p>
        </w:tc>
        <w:tc>
          <w:tcPr>
            <w:tcW w:w="437" w:type="pct"/>
            <w:vMerge w:val="continue"/>
            <w:vAlign w:val="center"/>
          </w:tcPr>
          <w:p w14:paraId="354CBF5F">
            <w:pPr>
              <w:pStyle w:val="2191"/>
              <w:rPr>
                <w:color w:val="000000"/>
                <w:kern w:val="44"/>
                <w:szCs w:val="21"/>
              </w:rPr>
            </w:pPr>
          </w:p>
        </w:tc>
        <w:tc>
          <w:tcPr>
            <w:tcW w:w="451" w:type="pct"/>
            <w:vAlign w:val="center"/>
          </w:tcPr>
          <w:p w14:paraId="52F24CBA">
            <w:pPr>
              <w:pStyle w:val="2191"/>
              <w:rPr>
                <w:color w:val="000000"/>
                <w:kern w:val="44"/>
                <w:szCs w:val="21"/>
              </w:rPr>
            </w:pPr>
            <w:r>
              <w:rPr>
                <w:color w:val="000000"/>
                <w:kern w:val="44"/>
                <w:szCs w:val="21"/>
              </w:rPr>
              <w:t>氨氮</w:t>
            </w:r>
          </w:p>
        </w:tc>
        <w:tc>
          <w:tcPr>
            <w:tcW w:w="1132" w:type="pct"/>
            <w:vMerge w:val="continue"/>
            <w:vAlign w:val="center"/>
          </w:tcPr>
          <w:p w14:paraId="314D5662">
            <w:pPr>
              <w:pStyle w:val="2191"/>
              <w:rPr>
                <w:color w:val="000000"/>
                <w:kern w:val="44"/>
                <w:szCs w:val="21"/>
              </w:rPr>
            </w:pPr>
          </w:p>
        </w:tc>
        <w:tc>
          <w:tcPr>
            <w:tcW w:w="832" w:type="pct"/>
            <w:vMerge w:val="continue"/>
            <w:vAlign w:val="center"/>
          </w:tcPr>
          <w:p w14:paraId="2115233C">
            <w:pPr>
              <w:pStyle w:val="2191"/>
              <w:rPr>
                <w:color w:val="000000"/>
                <w:kern w:val="44"/>
                <w:szCs w:val="21"/>
              </w:rPr>
            </w:pPr>
          </w:p>
        </w:tc>
        <w:tc>
          <w:tcPr>
            <w:tcW w:w="556" w:type="pct"/>
            <w:vAlign w:val="center"/>
          </w:tcPr>
          <w:p w14:paraId="53406A5B">
            <w:pPr>
              <w:pStyle w:val="2191"/>
              <w:rPr>
                <w:color w:val="000000"/>
                <w:kern w:val="44"/>
                <w:szCs w:val="21"/>
              </w:rPr>
            </w:pPr>
            <w:r>
              <w:rPr>
                <w:color w:val="000000"/>
                <w:kern w:val="44"/>
                <w:szCs w:val="21"/>
              </w:rPr>
              <w:t>56</w:t>
            </w:r>
          </w:p>
        </w:tc>
        <w:tc>
          <w:tcPr>
            <w:tcW w:w="557" w:type="pct"/>
            <w:vAlign w:val="center"/>
          </w:tcPr>
          <w:p w14:paraId="7CE1042A">
            <w:pPr>
              <w:ind w:firstLine="420" w:firstLineChars="200"/>
              <w:rPr>
                <w:color w:val="000000"/>
                <w:kern w:val="44"/>
                <w:sz w:val="21"/>
              </w:rPr>
            </w:pPr>
            <w:r>
              <w:rPr>
                <w:color w:val="000000"/>
                <w:kern w:val="44"/>
                <w:sz w:val="21"/>
              </w:rPr>
              <w:t>/</w:t>
            </w:r>
          </w:p>
        </w:tc>
        <w:tc>
          <w:tcPr>
            <w:tcW w:w="410" w:type="pct"/>
            <w:tcBorders>
              <w:right w:val="single" w:color="auto" w:sz="2" w:space="0"/>
            </w:tcBorders>
            <w:vAlign w:val="center"/>
          </w:tcPr>
          <w:p w14:paraId="22F4D9DC">
            <w:pPr>
              <w:pStyle w:val="2191"/>
              <w:rPr>
                <w:color w:val="000000"/>
                <w:kern w:val="44"/>
                <w:szCs w:val="21"/>
              </w:rPr>
            </w:pPr>
            <w:r>
              <w:rPr>
                <w:color w:val="000000"/>
                <w:kern w:val="44"/>
                <w:szCs w:val="21"/>
              </w:rPr>
              <w:t xml:space="preserve">0.010 </w:t>
            </w:r>
          </w:p>
        </w:tc>
      </w:tr>
      <w:tr w14:paraId="27D5B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vMerge w:val="continue"/>
            <w:tcBorders>
              <w:left w:val="single" w:color="auto" w:sz="2" w:space="0"/>
            </w:tcBorders>
            <w:vAlign w:val="center"/>
          </w:tcPr>
          <w:p w14:paraId="334D19CA">
            <w:pPr>
              <w:pStyle w:val="2191"/>
              <w:rPr>
                <w:color w:val="000000"/>
                <w:kern w:val="44"/>
                <w:szCs w:val="21"/>
              </w:rPr>
            </w:pPr>
          </w:p>
        </w:tc>
        <w:tc>
          <w:tcPr>
            <w:tcW w:w="437" w:type="pct"/>
            <w:vMerge w:val="continue"/>
            <w:vAlign w:val="center"/>
          </w:tcPr>
          <w:p w14:paraId="3A9E7C72">
            <w:pPr>
              <w:pStyle w:val="2191"/>
              <w:rPr>
                <w:color w:val="000000"/>
                <w:kern w:val="44"/>
                <w:szCs w:val="21"/>
              </w:rPr>
            </w:pPr>
          </w:p>
        </w:tc>
        <w:tc>
          <w:tcPr>
            <w:tcW w:w="451" w:type="pct"/>
            <w:vAlign w:val="center"/>
          </w:tcPr>
          <w:p w14:paraId="7E398948">
            <w:pPr>
              <w:pStyle w:val="2191"/>
              <w:rPr>
                <w:color w:val="000000"/>
                <w:kern w:val="44"/>
                <w:szCs w:val="21"/>
              </w:rPr>
            </w:pPr>
            <w:r>
              <w:rPr>
                <w:color w:val="000000"/>
                <w:kern w:val="44"/>
                <w:szCs w:val="21"/>
              </w:rPr>
              <w:t>SS</w:t>
            </w:r>
          </w:p>
        </w:tc>
        <w:tc>
          <w:tcPr>
            <w:tcW w:w="1132" w:type="pct"/>
            <w:vMerge w:val="continue"/>
            <w:vAlign w:val="center"/>
          </w:tcPr>
          <w:p w14:paraId="68DAF740">
            <w:pPr>
              <w:pStyle w:val="2191"/>
              <w:rPr>
                <w:color w:val="000000"/>
                <w:kern w:val="44"/>
                <w:szCs w:val="21"/>
              </w:rPr>
            </w:pPr>
          </w:p>
        </w:tc>
        <w:tc>
          <w:tcPr>
            <w:tcW w:w="832" w:type="pct"/>
            <w:vMerge w:val="continue"/>
            <w:vAlign w:val="center"/>
          </w:tcPr>
          <w:p w14:paraId="6D76A17A">
            <w:pPr>
              <w:pStyle w:val="2191"/>
              <w:rPr>
                <w:color w:val="000000"/>
                <w:kern w:val="44"/>
                <w:szCs w:val="21"/>
              </w:rPr>
            </w:pPr>
          </w:p>
        </w:tc>
        <w:tc>
          <w:tcPr>
            <w:tcW w:w="556" w:type="pct"/>
            <w:vAlign w:val="center"/>
          </w:tcPr>
          <w:p w14:paraId="5EC36E15">
            <w:pPr>
              <w:pStyle w:val="2191"/>
              <w:rPr>
                <w:color w:val="000000"/>
                <w:kern w:val="44"/>
                <w:szCs w:val="21"/>
              </w:rPr>
            </w:pPr>
            <w:r>
              <w:rPr>
                <w:color w:val="000000"/>
                <w:kern w:val="44"/>
                <w:szCs w:val="21"/>
              </w:rPr>
              <w:t>400</w:t>
            </w:r>
          </w:p>
        </w:tc>
        <w:tc>
          <w:tcPr>
            <w:tcW w:w="557" w:type="pct"/>
            <w:vAlign w:val="center"/>
          </w:tcPr>
          <w:p w14:paraId="105EC555">
            <w:pPr>
              <w:ind w:firstLine="420" w:firstLineChars="200"/>
              <w:rPr>
                <w:color w:val="000000"/>
                <w:kern w:val="44"/>
                <w:sz w:val="21"/>
              </w:rPr>
            </w:pPr>
          </w:p>
        </w:tc>
        <w:tc>
          <w:tcPr>
            <w:tcW w:w="410" w:type="pct"/>
            <w:tcBorders>
              <w:right w:val="single" w:color="auto" w:sz="2" w:space="0"/>
            </w:tcBorders>
            <w:vAlign w:val="center"/>
          </w:tcPr>
          <w:p w14:paraId="4DEEC95F">
            <w:pPr>
              <w:pStyle w:val="2191"/>
              <w:rPr>
                <w:color w:val="000000"/>
                <w:kern w:val="44"/>
                <w:szCs w:val="21"/>
              </w:rPr>
            </w:pPr>
            <w:r>
              <w:rPr>
                <w:color w:val="000000"/>
                <w:kern w:val="44"/>
                <w:szCs w:val="21"/>
              </w:rPr>
              <w:t xml:space="preserve">0.072 </w:t>
            </w:r>
          </w:p>
        </w:tc>
      </w:tr>
      <w:tr w14:paraId="44553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4" w:type="pct"/>
            <w:vMerge w:val="continue"/>
            <w:tcBorders>
              <w:left w:val="single" w:color="auto" w:sz="2" w:space="0"/>
            </w:tcBorders>
            <w:vAlign w:val="center"/>
          </w:tcPr>
          <w:p w14:paraId="38E78454">
            <w:pPr>
              <w:pStyle w:val="2191"/>
              <w:rPr>
                <w:color w:val="000000"/>
                <w:kern w:val="44"/>
                <w:szCs w:val="21"/>
              </w:rPr>
            </w:pPr>
          </w:p>
        </w:tc>
        <w:tc>
          <w:tcPr>
            <w:tcW w:w="437" w:type="pct"/>
            <w:vMerge w:val="continue"/>
            <w:vAlign w:val="center"/>
          </w:tcPr>
          <w:p w14:paraId="780CE711">
            <w:pPr>
              <w:pStyle w:val="2191"/>
              <w:rPr>
                <w:color w:val="000000"/>
                <w:kern w:val="44"/>
                <w:szCs w:val="21"/>
              </w:rPr>
            </w:pPr>
          </w:p>
        </w:tc>
        <w:tc>
          <w:tcPr>
            <w:tcW w:w="451" w:type="pct"/>
            <w:vAlign w:val="center"/>
          </w:tcPr>
          <w:p w14:paraId="4F6FD766">
            <w:pPr>
              <w:pStyle w:val="2191"/>
              <w:rPr>
                <w:color w:val="000000"/>
                <w:kern w:val="44"/>
                <w:szCs w:val="21"/>
              </w:rPr>
            </w:pPr>
            <w:r>
              <w:rPr>
                <w:color w:val="000000"/>
                <w:kern w:val="44"/>
                <w:szCs w:val="21"/>
              </w:rPr>
              <w:t>TP</w:t>
            </w:r>
          </w:p>
        </w:tc>
        <w:tc>
          <w:tcPr>
            <w:tcW w:w="1132" w:type="pct"/>
            <w:vMerge w:val="continue"/>
            <w:vAlign w:val="center"/>
          </w:tcPr>
          <w:p w14:paraId="0B4855E2">
            <w:pPr>
              <w:pStyle w:val="2191"/>
              <w:rPr>
                <w:color w:val="000000"/>
                <w:kern w:val="44"/>
                <w:szCs w:val="21"/>
              </w:rPr>
            </w:pPr>
          </w:p>
        </w:tc>
        <w:tc>
          <w:tcPr>
            <w:tcW w:w="832" w:type="pct"/>
            <w:vMerge w:val="continue"/>
            <w:vAlign w:val="center"/>
          </w:tcPr>
          <w:p w14:paraId="48ACCCC8">
            <w:pPr>
              <w:pStyle w:val="2191"/>
              <w:rPr>
                <w:color w:val="000000"/>
                <w:kern w:val="44"/>
                <w:szCs w:val="21"/>
              </w:rPr>
            </w:pPr>
          </w:p>
        </w:tc>
        <w:tc>
          <w:tcPr>
            <w:tcW w:w="556" w:type="pct"/>
            <w:vAlign w:val="center"/>
          </w:tcPr>
          <w:p w14:paraId="662F0578">
            <w:pPr>
              <w:pStyle w:val="2191"/>
              <w:rPr>
                <w:color w:val="000000"/>
                <w:kern w:val="44"/>
                <w:szCs w:val="21"/>
              </w:rPr>
            </w:pPr>
            <w:r>
              <w:rPr>
                <w:color w:val="000000"/>
                <w:kern w:val="44"/>
                <w:szCs w:val="21"/>
              </w:rPr>
              <w:t>5.6</w:t>
            </w:r>
          </w:p>
        </w:tc>
        <w:tc>
          <w:tcPr>
            <w:tcW w:w="557" w:type="pct"/>
            <w:vAlign w:val="center"/>
          </w:tcPr>
          <w:p w14:paraId="40A3F117">
            <w:pPr>
              <w:ind w:firstLine="420" w:firstLineChars="200"/>
              <w:rPr>
                <w:color w:val="000000"/>
                <w:kern w:val="44"/>
                <w:sz w:val="21"/>
              </w:rPr>
            </w:pPr>
            <w:r>
              <w:rPr>
                <w:color w:val="000000"/>
                <w:kern w:val="44"/>
                <w:sz w:val="21"/>
              </w:rPr>
              <w:t>/</w:t>
            </w:r>
          </w:p>
        </w:tc>
        <w:tc>
          <w:tcPr>
            <w:tcW w:w="410" w:type="pct"/>
            <w:tcBorders>
              <w:right w:val="single" w:color="auto" w:sz="2" w:space="0"/>
            </w:tcBorders>
            <w:vAlign w:val="center"/>
          </w:tcPr>
          <w:p w14:paraId="1C64A51D">
            <w:pPr>
              <w:pStyle w:val="2191"/>
              <w:rPr>
                <w:color w:val="000000"/>
                <w:kern w:val="44"/>
                <w:szCs w:val="21"/>
              </w:rPr>
            </w:pPr>
            <w:r>
              <w:rPr>
                <w:color w:val="000000"/>
                <w:kern w:val="44"/>
                <w:szCs w:val="21"/>
              </w:rPr>
              <w:t xml:space="preserve">0.001 </w:t>
            </w:r>
          </w:p>
        </w:tc>
      </w:tr>
    </w:tbl>
    <w:p w14:paraId="402FAD12">
      <w:pPr>
        <w:pStyle w:val="133"/>
        <w:outlineLvl w:val="9"/>
        <w:rPr>
          <w:rFonts w:ascii="Times New Roman" w:hAnsi="Times New Roman"/>
          <w:color w:val="000000"/>
        </w:rPr>
      </w:pPr>
      <w:r>
        <w:rPr>
          <w:rFonts w:ascii="Times New Roman" w:hAnsi="Times New Roman"/>
          <w:color w:val="000000"/>
        </w:rPr>
        <w:t>表</w:t>
      </w:r>
      <w:r>
        <w:rPr>
          <w:rFonts w:ascii="Times New Roman" w:hAnsi="Times New Roman"/>
          <w:color w:val="000000"/>
          <w:lang w:val="en-US"/>
        </w:rPr>
        <w:t>9.5.1-3</w:t>
      </w:r>
      <w:r>
        <w:rPr>
          <w:rFonts w:ascii="Times New Roman" w:hAnsi="Times New Roman"/>
          <w:color w:val="000000"/>
        </w:rPr>
        <w:t xml:space="preserve"> 项目噪声污染物排放清单</w:t>
      </w:r>
    </w:p>
    <w:tbl>
      <w:tblPr>
        <w:tblStyle w:val="7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1926"/>
        <w:gridCol w:w="3618"/>
        <w:gridCol w:w="3696"/>
        <w:gridCol w:w="2283"/>
      </w:tblGrid>
      <w:tr w14:paraId="7DEF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430" w:type="pct"/>
            <w:gridSpan w:val="2"/>
            <w:vAlign w:val="center"/>
          </w:tcPr>
          <w:p w14:paraId="34D904FB">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噪声源</w:t>
            </w:r>
          </w:p>
        </w:tc>
        <w:tc>
          <w:tcPr>
            <w:tcW w:w="1345" w:type="pct"/>
            <w:vAlign w:val="center"/>
          </w:tcPr>
          <w:p w14:paraId="0803554C">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治理措施</w:t>
            </w:r>
          </w:p>
        </w:tc>
        <w:tc>
          <w:tcPr>
            <w:tcW w:w="1374" w:type="pct"/>
            <w:vAlign w:val="center"/>
          </w:tcPr>
          <w:p w14:paraId="09868F4D">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验收标准及标准号</w:t>
            </w:r>
          </w:p>
        </w:tc>
        <w:tc>
          <w:tcPr>
            <w:tcW w:w="849" w:type="pct"/>
            <w:vAlign w:val="center"/>
          </w:tcPr>
          <w:p w14:paraId="4EB2F183">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监测点</w:t>
            </w:r>
          </w:p>
        </w:tc>
      </w:tr>
      <w:tr w14:paraId="5F85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3C896F14">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生产设备</w:t>
            </w:r>
          </w:p>
        </w:tc>
        <w:tc>
          <w:tcPr>
            <w:tcW w:w="716" w:type="pct"/>
            <w:vAlign w:val="center"/>
          </w:tcPr>
          <w:p w14:paraId="5D8FF824">
            <w:pPr>
              <w:spacing w:line="240" w:lineRule="auto"/>
              <w:jc w:val="center"/>
              <w:textAlignment w:val="baseline"/>
              <w:rPr>
                <w:color w:val="000000"/>
                <w:sz w:val="20"/>
                <w:szCs w:val="20"/>
              </w:rPr>
            </w:pPr>
            <w:r>
              <w:rPr>
                <w:color w:val="000000"/>
                <w:sz w:val="20"/>
                <w:szCs w:val="20"/>
              </w:rPr>
              <w:t>压缩机、各种泵类等</w:t>
            </w:r>
          </w:p>
          <w:p w14:paraId="3411E0C6">
            <w:pPr>
              <w:spacing w:line="240" w:lineRule="auto"/>
              <w:jc w:val="center"/>
              <w:textAlignment w:val="baseline"/>
              <w:rPr>
                <w:color w:val="000000"/>
                <w:sz w:val="20"/>
                <w:szCs w:val="20"/>
              </w:rPr>
            </w:pPr>
          </w:p>
        </w:tc>
        <w:tc>
          <w:tcPr>
            <w:tcW w:w="1345" w:type="pct"/>
            <w:vAlign w:val="center"/>
          </w:tcPr>
          <w:p w14:paraId="3C1925A5">
            <w:pPr>
              <w:spacing w:line="240" w:lineRule="auto"/>
              <w:jc w:val="center"/>
              <w:textAlignment w:val="baseline"/>
              <w:rPr>
                <w:color w:val="000000"/>
                <w:sz w:val="20"/>
                <w:szCs w:val="20"/>
              </w:rPr>
            </w:pPr>
            <w:r>
              <w:rPr>
                <w:bCs/>
                <w:color w:val="000000"/>
                <w:spacing w:val="-10"/>
                <w:sz w:val="21"/>
              </w:rPr>
              <w:t>选用低噪声设备、基础减振、合理布局、建筑隔声、消声</w:t>
            </w:r>
          </w:p>
        </w:tc>
        <w:tc>
          <w:tcPr>
            <w:tcW w:w="1374" w:type="pct"/>
            <w:vAlign w:val="center"/>
          </w:tcPr>
          <w:p w14:paraId="5DE96C62">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《工业企业厂界环境噪声标准》（GB12348—2008）的3类标准</w:t>
            </w:r>
          </w:p>
          <w:p w14:paraId="3E327B32">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厂界：</w:t>
            </w:r>
          </w:p>
          <w:p w14:paraId="591C674E">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昼间65dB（A）</w:t>
            </w:r>
          </w:p>
          <w:p w14:paraId="56A324CD">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夜间55dB（A）</w:t>
            </w:r>
          </w:p>
        </w:tc>
        <w:tc>
          <w:tcPr>
            <w:tcW w:w="849" w:type="pct"/>
            <w:vAlign w:val="center"/>
          </w:tcPr>
          <w:p w14:paraId="49377F53">
            <w:pPr>
              <w:pStyle w:val="409"/>
              <w:spacing w:line="240" w:lineRule="auto"/>
              <w:jc w:val="center"/>
              <w:rPr>
                <w:rFonts w:ascii="Times New Roman" w:hAnsi="Times New Roman" w:eastAsia="宋体"/>
                <w:color w:val="000000"/>
                <w:sz w:val="20"/>
                <w:szCs w:val="20"/>
              </w:rPr>
            </w:pPr>
            <w:r>
              <w:rPr>
                <w:rFonts w:ascii="Times New Roman" w:hAnsi="Times New Roman" w:eastAsia="宋体"/>
                <w:color w:val="000000"/>
                <w:sz w:val="20"/>
                <w:szCs w:val="20"/>
              </w:rPr>
              <w:t>厂界外1米</w:t>
            </w:r>
          </w:p>
        </w:tc>
      </w:tr>
    </w:tbl>
    <w:p w14:paraId="2CE10A9F">
      <w:pPr>
        <w:pStyle w:val="133"/>
        <w:outlineLvl w:val="9"/>
        <w:rPr>
          <w:rFonts w:ascii="Times New Roman" w:hAnsi="Times New Roman"/>
          <w:bCs/>
          <w:color w:val="000000"/>
          <w:sz w:val="20"/>
          <w:szCs w:val="20"/>
        </w:rPr>
      </w:pPr>
      <w:r>
        <w:rPr>
          <w:rFonts w:ascii="Times New Roman" w:hAnsi="Times New Roman"/>
          <w:bCs/>
          <w:color w:val="000000"/>
          <w:sz w:val="20"/>
          <w:szCs w:val="20"/>
        </w:rPr>
        <w:t>表</w:t>
      </w:r>
      <w:r>
        <w:rPr>
          <w:rFonts w:ascii="Times New Roman" w:hAnsi="Times New Roman"/>
          <w:color w:val="000000"/>
          <w:lang w:val="en-US"/>
        </w:rPr>
        <w:t>9.5.1</w:t>
      </w:r>
      <w:r>
        <w:rPr>
          <w:rFonts w:ascii="Times New Roman" w:hAnsi="Times New Roman"/>
          <w:bCs/>
          <w:color w:val="000000"/>
          <w:sz w:val="20"/>
          <w:szCs w:val="20"/>
        </w:rPr>
        <w:t>-</w:t>
      </w:r>
      <w:r>
        <w:rPr>
          <w:rFonts w:ascii="Times New Roman" w:hAnsi="Times New Roman"/>
          <w:bCs/>
          <w:color w:val="000000"/>
          <w:sz w:val="20"/>
          <w:szCs w:val="20"/>
          <w:lang w:val="en-US"/>
        </w:rPr>
        <w:t>4</w:t>
      </w:r>
      <w:r>
        <w:rPr>
          <w:rFonts w:ascii="Times New Roman" w:hAnsi="Times New Roman"/>
          <w:bCs/>
          <w:color w:val="000000"/>
          <w:sz w:val="20"/>
          <w:szCs w:val="20"/>
        </w:rPr>
        <w:t xml:space="preserve"> 项目固体废物</w:t>
      </w:r>
      <w:r>
        <w:rPr>
          <w:rFonts w:ascii="Times New Roman" w:hAnsi="Times New Roman"/>
          <w:color w:val="000000"/>
        </w:rPr>
        <w:t>污染物排放清单</w:t>
      </w:r>
    </w:p>
    <w:tbl>
      <w:tblPr>
        <w:tblStyle w:val="7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522"/>
        <w:gridCol w:w="1522"/>
        <w:gridCol w:w="1081"/>
        <w:gridCol w:w="1084"/>
        <w:gridCol w:w="2187"/>
        <w:gridCol w:w="1296"/>
        <w:gridCol w:w="1323"/>
        <w:gridCol w:w="1478"/>
      </w:tblGrid>
      <w:tr w14:paraId="1C39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5" w:type="pct"/>
            <w:vMerge w:val="restart"/>
            <w:vAlign w:val="center"/>
          </w:tcPr>
          <w:p w14:paraId="00CB8D0F">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固废种类</w:t>
            </w:r>
          </w:p>
        </w:tc>
        <w:tc>
          <w:tcPr>
            <w:tcW w:w="566" w:type="pct"/>
            <w:vMerge w:val="restart"/>
            <w:vAlign w:val="center"/>
          </w:tcPr>
          <w:p w14:paraId="20460FE6">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固体废物名称</w:t>
            </w:r>
          </w:p>
        </w:tc>
        <w:tc>
          <w:tcPr>
            <w:tcW w:w="566" w:type="pct"/>
            <w:vMerge w:val="restart"/>
            <w:vAlign w:val="center"/>
          </w:tcPr>
          <w:p w14:paraId="24AF9556">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产生量（t/a）</w:t>
            </w:r>
          </w:p>
        </w:tc>
        <w:tc>
          <w:tcPr>
            <w:tcW w:w="805" w:type="pct"/>
            <w:gridSpan w:val="2"/>
            <w:vAlign w:val="center"/>
          </w:tcPr>
          <w:p w14:paraId="178F2C6F">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主要成分含量（%）</w:t>
            </w:r>
          </w:p>
        </w:tc>
        <w:tc>
          <w:tcPr>
            <w:tcW w:w="1787" w:type="pct"/>
            <w:gridSpan w:val="3"/>
            <w:vAlign w:val="center"/>
          </w:tcPr>
          <w:p w14:paraId="319641BE">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处置方式及数量（t/a）</w:t>
            </w:r>
          </w:p>
        </w:tc>
        <w:tc>
          <w:tcPr>
            <w:tcW w:w="549" w:type="pct"/>
            <w:vMerge w:val="restart"/>
            <w:vAlign w:val="center"/>
          </w:tcPr>
          <w:p w14:paraId="24353378">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排放量（t/a）</w:t>
            </w:r>
          </w:p>
        </w:tc>
      </w:tr>
      <w:tr w14:paraId="0FA7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5" w:type="pct"/>
            <w:vMerge w:val="continue"/>
            <w:vAlign w:val="center"/>
          </w:tcPr>
          <w:p w14:paraId="6206A777">
            <w:pPr>
              <w:pStyle w:val="409"/>
              <w:spacing w:line="240" w:lineRule="auto"/>
              <w:jc w:val="center"/>
              <w:rPr>
                <w:rFonts w:ascii="Times New Roman" w:hAnsi="Times New Roman" w:eastAsia="宋体"/>
                <w:bCs/>
                <w:color w:val="000000"/>
                <w:sz w:val="20"/>
                <w:szCs w:val="20"/>
              </w:rPr>
            </w:pPr>
          </w:p>
        </w:tc>
        <w:tc>
          <w:tcPr>
            <w:tcW w:w="566" w:type="pct"/>
            <w:vMerge w:val="continue"/>
            <w:vAlign w:val="center"/>
          </w:tcPr>
          <w:p w14:paraId="73287F12">
            <w:pPr>
              <w:pStyle w:val="409"/>
              <w:spacing w:line="240" w:lineRule="auto"/>
              <w:jc w:val="center"/>
              <w:rPr>
                <w:rFonts w:ascii="Times New Roman" w:hAnsi="Times New Roman" w:eastAsia="宋体"/>
                <w:bCs/>
                <w:color w:val="000000"/>
                <w:sz w:val="20"/>
                <w:szCs w:val="20"/>
              </w:rPr>
            </w:pPr>
          </w:p>
        </w:tc>
        <w:tc>
          <w:tcPr>
            <w:tcW w:w="566" w:type="pct"/>
            <w:vMerge w:val="continue"/>
            <w:vAlign w:val="center"/>
          </w:tcPr>
          <w:p w14:paraId="6750BD00">
            <w:pPr>
              <w:pStyle w:val="409"/>
              <w:spacing w:line="240" w:lineRule="auto"/>
              <w:jc w:val="center"/>
              <w:rPr>
                <w:rFonts w:ascii="Times New Roman" w:hAnsi="Times New Roman" w:eastAsia="宋体"/>
                <w:bCs/>
                <w:color w:val="000000"/>
                <w:sz w:val="20"/>
                <w:szCs w:val="20"/>
              </w:rPr>
            </w:pPr>
          </w:p>
        </w:tc>
        <w:tc>
          <w:tcPr>
            <w:tcW w:w="402" w:type="pct"/>
            <w:vAlign w:val="center"/>
          </w:tcPr>
          <w:p w14:paraId="6E322B7D">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最高</w:t>
            </w:r>
          </w:p>
        </w:tc>
        <w:tc>
          <w:tcPr>
            <w:tcW w:w="403" w:type="pct"/>
            <w:vAlign w:val="center"/>
          </w:tcPr>
          <w:p w14:paraId="7DFE451F">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平均</w:t>
            </w:r>
          </w:p>
        </w:tc>
        <w:tc>
          <w:tcPr>
            <w:tcW w:w="813" w:type="pct"/>
            <w:vAlign w:val="center"/>
          </w:tcPr>
          <w:p w14:paraId="08B922EC">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方式</w:t>
            </w:r>
          </w:p>
        </w:tc>
        <w:tc>
          <w:tcPr>
            <w:tcW w:w="482" w:type="pct"/>
            <w:vAlign w:val="center"/>
          </w:tcPr>
          <w:p w14:paraId="2229878F">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数量</w:t>
            </w:r>
          </w:p>
        </w:tc>
        <w:tc>
          <w:tcPr>
            <w:tcW w:w="492" w:type="pct"/>
            <w:vAlign w:val="center"/>
          </w:tcPr>
          <w:p w14:paraId="4304CC6A">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占总量</w:t>
            </w:r>
          </w:p>
        </w:tc>
        <w:tc>
          <w:tcPr>
            <w:tcW w:w="549" w:type="pct"/>
            <w:vMerge w:val="continue"/>
            <w:vAlign w:val="center"/>
          </w:tcPr>
          <w:p w14:paraId="357BAA82">
            <w:pPr>
              <w:pStyle w:val="409"/>
              <w:spacing w:line="240" w:lineRule="auto"/>
              <w:jc w:val="center"/>
              <w:rPr>
                <w:rFonts w:ascii="Times New Roman" w:hAnsi="Times New Roman" w:eastAsia="宋体"/>
                <w:bCs/>
                <w:color w:val="000000"/>
                <w:sz w:val="20"/>
                <w:szCs w:val="20"/>
              </w:rPr>
            </w:pPr>
          </w:p>
        </w:tc>
      </w:tr>
      <w:tr w14:paraId="29A6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5" w:type="pct"/>
            <w:vAlign w:val="center"/>
          </w:tcPr>
          <w:p w14:paraId="74E778A9">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危险废物</w:t>
            </w:r>
          </w:p>
        </w:tc>
        <w:tc>
          <w:tcPr>
            <w:tcW w:w="566" w:type="pct"/>
            <w:vAlign w:val="center"/>
          </w:tcPr>
          <w:p w14:paraId="587EE689">
            <w:pPr>
              <w:pStyle w:val="409"/>
              <w:spacing w:line="240" w:lineRule="auto"/>
              <w:jc w:val="center"/>
              <w:rPr>
                <w:rFonts w:ascii="Times New Roman" w:hAnsi="Times New Roman" w:eastAsia="宋体"/>
                <w:bCs/>
                <w:snapToGrid w:val="0"/>
                <w:color w:val="000000"/>
                <w:sz w:val="20"/>
                <w:szCs w:val="20"/>
              </w:rPr>
            </w:pPr>
            <w:r>
              <w:rPr>
                <w:rFonts w:ascii="Times New Roman" w:hAnsi="Times New Roman" w:eastAsia="宋体"/>
                <w:bCs/>
                <w:color w:val="000000"/>
                <w:sz w:val="20"/>
                <w:szCs w:val="20"/>
              </w:rPr>
              <w:t>催化脱氢废催化剂</w:t>
            </w:r>
          </w:p>
        </w:tc>
        <w:tc>
          <w:tcPr>
            <w:tcW w:w="566" w:type="pct"/>
            <w:vAlign w:val="center"/>
          </w:tcPr>
          <w:p w14:paraId="2628BA3C">
            <w:pPr>
              <w:pStyle w:val="12"/>
              <w:spacing w:line="240" w:lineRule="auto"/>
              <w:rPr>
                <w:bCs/>
                <w:color w:val="000000"/>
              </w:rPr>
            </w:pPr>
            <w:r>
              <w:rPr>
                <w:bCs/>
                <w:snapToGrid w:val="0"/>
                <w:color w:val="000000"/>
              </w:rPr>
              <w:t>0.4135</w:t>
            </w:r>
          </w:p>
        </w:tc>
        <w:tc>
          <w:tcPr>
            <w:tcW w:w="402" w:type="pct"/>
            <w:vAlign w:val="center"/>
          </w:tcPr>
          <w:p w14:paraId="2191F827">
            <w:pPr>
              <w:spacing w:line="240" w:lineRule="auto"/>
              <w:jc w:val="center"/>
              <w:rPr>
                <w:bCs/>
                <w:color w:val="000000"/>
                <w:sz w:val="20"/>
                <w:szCs w:val="20"/>
              </w:rPr>
            </w:pPr>
            <w:r>
              <w:rPr>
                <w:bCs/>
                <w:color w:val="000000"/>
                <w:sz w:val="20"/>
                <w:szCs w:val="20"/>
              </w:rPr>
              <w:t>/</w:t>
            </w:r>
          </w:p>
        </w:tc>
        <w:tc>
          <w:tcPr>
            <w:tcW w:w="403" w:type="pct"/>
            <w:vAlign w:val="center"/>
          </w:tcPr>
          <w:p w14:paraId="5DB9EF39">
            <w:pPr>
              <w:spacing w:line="240" w:lineRule="auto"/>
              <w:jc w:val="center"/>
              <w:rPr>
                <w:bCs/>
                <w:color w:val="000000"/>
                <w:sz w:val="20"/>
                <w:szCs w:val="20"/>
              </w:rPr>
            </w:pPr>
            <w:r>
              <w:rPr>
                <w:bCs/>
                <w:color w:val="000000"/>
                <w:sz w:val="20"/>
                <w:szCs w:val="20"/>
              </w:rPr>
              <w:t>/</w:t>
            </w:r>
          </w:p>
        </w:tc>
        <w:tc>
          <w:tcPr>
            <w:tcW w:w="813" w:type="pct"/>
            <w:vAlign w:val="center"/>
          </w:tcPr>
          <w:p w14:paraId="438CAA85">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交有危废处理资质的单位统一处置</w:t>
            </w:r>
          </w:p>
        </w:tc>
        <w:tc>
          <w:tcPr>
            <w:tcW w:w="482" w:type="pct"/>
            <w:vAlign w:val="center"/>
          </w:tcPr>
          <w:p w14:paraId="435E44C0">
            <w:pPr>
              <w:pStyle w:val="12"/>
              <w:spacing w:line="240" w:lineRule="auto"/>
              <w:rPr>
                <w:bCs/>
                <w:color w:val="000000"/>
              </w:rPr>
            </w:pPr>
            <w:r>
              <w:rPr>
                <w:bCs/>
                <w:snapToGrid w:val="0"/>
                <w:color w:val="000000"/>
              </w:rPr>
              <w:t>0.4135</w:t>
            </w:r>
          </w:p>
        </w:tc>
        <w:tc>
          <w:tcPr>
            <w:tcW w:w="492" w:type="pct"/>
            <w:vAlign w:val="center"/>
          </w:tcPr>
          <w:p w14:paraId="0153F561">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100%</w:t>
            </w:r>
          </w:p>
        </w:tc>
        <w:tc>
          <w:tcPr>
            <w:tcW w:w="549" w:type="pct"/>
            <w:vAlign w:val="center"/>
          </w:tcPr>
          <w:p w14:paraId="35E80FF5">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0</w:t>
            </w:r>
          </w:p>
        </w:tc>
      </w:tr>
      <w:tr w14:paraId="75D5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pct"/>
            <w:vMerge w:val="restart"/>
            <w:vAlign w:val="center"/>
          </w:tcPr>
          <w:p w14:paraId="46D25626">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一般工业固体废物</w:t>
            </w:r>
          </w:p>
        </w:tc>
        <w:tc>
          <w:tcPr>
            <w:tcW w:w="566" w:type="pct"/>
            <w:vAlign w:val="center"/>
          </w:tcPr>
          <w:p w14:paraId="1860A1B2">
            <w:pPr>
              <w:widowControl w:val="0"/>
              <w:adjustRightInd/>
              <w:snapToGrid/>
              <w:spacing w:line="240" w:lineRule="auto"/>
              <w:jc w:val="center"/>
              <w:rPr>
                <w:bCs/>
                <w:color w:val="000000"/>
                <w:sz w:val="20"/>
                <w:szCs w:val="20"/>
              </w:rPr>
            </w:pPr>
            <w:r>
              <w:rPr>
                <w:color w:val="000000"/>
                <w:sz w:val="21"/>
              </w:rPr>
              <w:t>废干燥剂</w:t>
            </w:r>
          </w:p>
        </w:tc>
        <w:tc>
          <w:tcPr>
            <w:tcW w:w="566" w:type="pct"/>
            <w:vAlign w:val="center"/>
          </w:tcPr>
          <w:p w14:paraId="0A547D9A">
            <w:pPr>
              <w:widowControl w:val="0"/>
              <w:adjustRightInd/>
              <w:snapToGrid/>
              <w:spacing w:line="240" w:lineRule="auto"/>
              <w:jc w:val="center"/>
              <w:rPr>
                <w:bCs/>
                <w:color w:val="000000"/>
                <w:sz w:val="20"/>
                <w:szCs w:val="20"/>
              </w:rPr>
            </w:pPr>
            <w:r>
              <w:rPr>
                <w:color w:val="000000"/>
                <w:sz w:val="21"/>
              </w:rPr>
              <w:t>1.1305</w:t>
            </w:r>
          </w:p>
        </w:tc>
        <w:tc>
          <w:tcPr>
            <w:tcW w:w="402" w:type="pct"/>
            <w:vAlign w:val="center"/>
          </w:tcPr>
          <w:p w14:paraId="23369214">
            <w:pPr>
              <w:spacing w:line="240" w:lineRule="auto"/>
              <w:jc w:val="center"/>
              <w:rPr>
                <w:bCs/>
                <w:color w:val="000000"/>
                <w:sz w:val="20"/>
                <w:szCs w:val="20"/>
              </w:rPr>
            </w:pPr>
            <w:r>
              <w:rPr>
                <w:bCs/>
                <w:color w:val="000000"/>
                <w:sz w:val="20"/>
                <w:szCs w:val="20"/>
              </w:rPr>
              <w:t>/</w:t>
            </w:r>
          </w:p>
        </w:tc>
        <w:tc>
          <w:tcPr>
            <w:tcW w:w="403" w:type="pct"/>
            <w:vAlign w:val="center"/>
          </w:tcPr>
          <w:p w14:paraId="201931F9">
            <w:pPr>
              <w:spacing w:line="240" w:lineRule="auto"/>
              <w:jc w:val="center"/>
              <w:rPr>
                <w:bCs/>
                <w:color w:val="000000"/>
                <w:sz w:val="20"/>
                <w:szCs w:val="20"/>
              </w:rPr>
            </w:pPr>
            <w:r>
              <w:rPr>
                <w:bCs/>
                <w:color w:val="000000"/>
                <w:sz w:val="20"/>
                <w:szCs w:val="20"/>
              </w:rPr>
              <w:t>/</w:t>
            </w:r>
          </w:p>
        </w:tc>
        <w:tc>
          <w:tcPr>
            <w:tcW w:w="813" w:type="pct"/>
            <w:vMerge w:val="restart"/>
            <w:vAlign w:val="center"/>
          </w:tcPr>
          <w:p w14:paraId="03FC84AF">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更换时交由回收单位</w:t>
            </w:r>
          </w:p>
        </w:tc>
        <w:tc>
          <w:tcPr>
            <w:tcW w:w="482" w:type="pct"/>
            <w:vAlign w:val="center"/>
          </w:tcPr>
          <w:p w14:paraId="20D8A7E3">
            <w:pPr>
              <w:widowControl w:val="0"/>
              <w:adjustRightInd/>
              <w:snapToGrid/>
              <w:spacing w:line="240" w:lineRule="auto"/>
              <w:jc w:val="center"/>
              <w:rPr>
                <w:bCs/>
                <w:color w:val="000000"/>
                <w:sz w:val="20"/>
                <w:szCs w:val="20"/>
              </w:rPr>
            </w:pPr>
            <w:r>
              <w:rPr>
                <w:color w:val="000000"/>
                <w:sz w:val="21"/>
              </w:rPr>
              <w:t>1.1305</w:t>
            </w:r>
          </w:p>
        </w:tc>
        <w:tc>
          <w:tcPr>
            <w:tcW w:w="492" w:type="pct"/>
            <w:vAlign w:val="center"/>
          </w:tcPr>
          <w:p w14:paraId="460249E7">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100%</w:t>
            </w:r>
          </w:p>
        </w:tc>
        <w:tc>
          <w:tcPr>
            <w:tcW w:w="549" w:type="pct"/>
            <w:vAlign w:val="center"/>
          </w:tcPr>
          <w:p w14:paraId="1BF44CA3">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0</w:t>
            </w:r>
          </w:p>
        </w:tc>
      </w:tr>
      <w:tr w14:paraId="3112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pct"/>
            <w:vMerge w:val="continue"/>
            <w:vAlign w:val="center"/>
          </w:tcPr>
          <w:p w14:paraId="1E194D0A">
            <w:pPr>
              <w:pStyle w:val="409"/>
              <w:spacing w:line="240" w:lineRule="auto"/>
              <w:jc w:val="center"/>
              <w:rPr>
                <w:rFonts w:ascii="Times New Roman" w:hAnsi="Times New Roman" w:eastAsia="宋体"/>
                <w:bCs/>
                <w:color w:val="000000"/>
                <w:sz w:val="20"/>
                <w:szCs w:val="20"/>
              </w:rPr>
            </w:pPr>
          </w:p>
        </w:tc>
        <w:tc>
          <w:tcPr>
            <w:tcW w:w="566" w:type="pct"/>
            <w:vAlign w:val="center"/>
          </w:tcPr>
          <w:p w14:paraId="4277FE61">
            <w:pPr>
              <w:widowControl w:val="0"/>
              <w:adjustRightInd/>
              <w:snapToGrid/>
              <w:spacing w:line="240" w:lineRule="auto"/>
              <w:jc w:val="center"/>
              <w:rPr>
                <w:bCs/>
                <w:color w:val="000000"/>
                <w:sz w:val="20"/>
                <w:szCs w:val="20"/>
              </w:rPr>
            </w:pPr>
            <w:r>
              <w:rPr>
                <w:color w:val="000000"/>
                <w:sz w:val="21"/>
              </w:rPr>
              <w:t>废滤膜</w:t>
            </w:r>
          </w:p>
        </w:tc>
        <w:tc>
          <w:tcPr>
            <w:tcW w:w="566" w:type="pct"/>
            <w:vAlign w:val="center"/>
          </w:tcPr>
          <w:p w14:paraId="538CF94D">
            <w:pPr>
              <w:widowControl w:val="0"/>
              <w:adjustRightInd/>
              <w:snapToGrid/>
              <w:spacing w:line="240" w:lineRule="auto"/>
              <w:jc w:val="center"/>
              <w:rPr>
                <w:bCs/>
                <w:color w:val="000000"/>
                <w:sz w:val="20"/>
                <w:szCs w:val="20"/>
              </w:rPr>
            </w:pPr>
            <w:r>
              <w:rPr>
                <w:color w:val="000000"/>
                <w:sz w:val="21"/>
              </w:rPr>
              <w:t>0.05</w:t>
            </w:r>
          </w:p>
        </w:tc>
        <w:tc>
          <w:tcPr>
            <w:tcW w:w="1081" w:type="dxa"/>
            <w:vAlign w:val="center"/>
          </w:tcPr>
          <w:p w14:paraId="38FFE14B">
            <w:pPr>
              <w:spacing w:line="240" w:lineRule="auto"/>
              <w:jc w:val="center"/>
              <w:rPr>
                <w:bCs/>
                <w:color w:val="000000"/>
                <w:sz w:val="20"/>
                <w:szCs w:val="20"/>
              </w:rPr>
            </w:pPr>
            <w:r>
              <w:rPr>
                <w:bCs/>
                <w:color w:val="000000"/>
                <w:sz w:val="20"/>
                <w:szCs w:val="20"/>
              </w:rPr>
              <w:t>/</w:t>
            </w:r>
          </w:p>
        </w:tc>
        <w:tc>
          <w:tcPr>
            <w:tcW w:w="1084" w:type="dxa"/>
            <w:vAlign w:val="center"/>
          </w:tcPr>
          <w:p w14:paraId="7208A64E">
            <w:pPr>
              <w:spacing w:line="240" w:lineRule="auto"/>
              <w:jc w:val="center"/>
              <w:rPr>
                <w:bCs/>
                <w:color w:val="000000"/>
                <w:sz w:val="20"/>
                <w:szCs w:val="20"/>
              </w:rPr>
            </w:pPr>
            <w:r>
              <w:rPr>
                <w:bCs/>
                <w:color w:val="000000"/>
                <w:sz w:val="20"/>
                <w:szCs w:val="20"/>
              </w:rPr>
              <w:t>/</w:t>
            </w:r>
          </w:p>
        </w:tc>
        <w:tc>
          <w:tcPr>
            <w:tcW w:w="813" w:type="pct"/>
            <w:vMerge w:val="continue"/>
            <w:vAlign w:val="center"/>
          </w:tcPr>
          <w:p w14:paraId="2A5D28ED">
            <w:pPr>
              <w:pStyle w:val="409"/>
              <w:spacing w:line="240" w:lineRule="auto"/>
              <w:jc w:val="center"/>
              <w:rPr>
                <w:rFonts w:ascii="Times New Roman" w:hAnsi="Times New Roman" w:eastAsia="宋体"/>
                <w:bCs/>
                <w:color w:val="000000"/>
                <w:sz w:val="20"/>
                <w:szCs w:val="20"/>
              </w:rPr>
            </w:pPr>
          </w:p>
        </w:tc>
        <w:tc>
          <w:tcPr>
            <w:tcW w:w="482" w:type="pct"/>
            <w:vAlign w:val="center"/>
          </w:tcPr>
          <w:p w14:paraId="4977F27F">
            <w:pPr>
              <w:widowControl w:val="0"/>
              <w:adjustRightInd/>
              <w:snapToGrid/>
              <w:spacing w:line="240" w:lineRule="auto"/>
              <w:jc w:val="center"/>
              <w:rPr>
                <w:bCs/>
                <w:color w:val="000000"/>
                <w:sz w:val="20"/>
                <w:szCs w:val="20"/>
              </w:rPr>
            </w:pPr>
            <w:r>
              <w:rPr>
                <w:color w:val="000000"/>
                <w:sz w:val="21"/>
              </w:rPr>
              <w:t>0.05</w:t>
            </w:r>
          </w:p>
        </w:tc>
        <w:tc>
          <w:tcPr>
            <w:tcW w:w="492" w:type="pct"/>
            <w:vAlign w:val="center"/>
          </w:tcPr>
          <w:p w14:paraId="266C2E25">
            <w:pPr>
              <w:spacing w:line="240" w:lineRule="auto"/>
              <w:jc w:val="center"/>
              <w:rPr>
                <w:bCs/>
                <w:color w:val="000000"/>
                <w:sz w:val="20"/>
                <w:szCs w:val="20"/>
              </w:rPr>
            </w:pPr>
            <w:r>
              <w:rPr>
                <w:bCs/>
                <w:color w:val="000000"/>
                <w:sz w:val="20"/>
                <w:szCs w:val="20"/>
              </w:rPr>
              <w:t>100%</w:t>
            </w:r>
          </w:p>
        </w:tc>
        <w:tc>
          <w:tcPr>
            <w:tcW w:w="549" w:type="pct"/>
            <w:vAlign w:val="center"/>
          </w:tcPr>
          <w:p w14:paraId="00FE9CB8">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0</w:t>
            </w:r>
          </w:p>
        </w:tc>
      </w:tr>
      <w:tr w14:paraId="0A67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pct"/>
            <w:vMerge w:val="continue"/>
            <w:vAlign w:val="center"/>
          </w:tcPr>
          <w:p w14:paraId="7152ED0E">
            <w:pPr>
              <w:pStyle w:val="409"/>
              <w:spacing w:line="240" w:lineRule="auto"/>
              <w:jc w:val="center"/>
              <w:rPr>
                <w:rFonts w:ascii="Times New Roman" w:hAnsi="Times New Roman" w:eastAsia="宋体"/>
                <w:bCs/>
                <w:color w:val="000000"/>
                <w:sz w:val="20"/>
                <w:szCs w:val="20"/>
              </w:rPr>
            </w:pPr>
          </w:p>
        </w:tc>
        <w:tc>
          <w:tcPr>
            <w:tcW w:w="566" w:type="pct"/>
            <w:vAlign w:val="center"/>
          </w:tcPr>
          <w:p w14:paraId="52825576">
            <w:pPr>
              <w:widowControl w:val="0"/>
              <w:adjustRightInd/>
              <w:snapToGrid/>
              <w:spacing w:line="240" w:lineRule="auto"/>
              <w:jc w:val="center"/>
              <w:rPr>
                <w:bCs/>
                <w:color w:val="000000"/>
                <w:sz w:val="20"/>
                <w:szCs w:val="20"/>
              </w:rPr>
            </w:pPr>
            <w:r>
              <w:rPr>
                <w:color w:val="000000"/>
                <w:sz w:val="21"/>
              </w:rPr>
              <w:t>吸附脱氢废催化剂</w:t>
            </w:r>
          </w:p>
        </w:tc>
        <w:tc>
          <w:tcPr>
            <w:tcW w:w="566" w:type="pct"/>
            <w:vAlign w:val="center"/>
          </w:tcPr>
          <w:p w14:paraId="1FCE7F9C">
            <w:pPr>
              <w:widowControl w:val="0"/>
              <w:adjustRightInd/>
              <w:snapToGrid/>
              <w:spacing w:line="240" w:lineRule="auto"/>
              <w:jc w:val="center"/>
              <w:rPr>
                <w:bCs/>
                <w:color w:val="000000"/>
                <w:sz w:val="20"/>
                <w:szCs w:val="20"/>
              </w:rPr>
            </w:pPr>
            <w:r>
              <w:rPr>
                <w:color w:val="000000"/>
                <w:sz w:val="21"/>
              </w:rPr>
              <w:t>0.0378</w:t>
            </w:r>
          </w:p>
        </w:tc>
        <w:tc>
          <w:tcPr>
            <w:tcW w:w="1081" w:type="dxa"/>
            <w:vAlign w:val="center"/>
          </w:tcPr>
          <w:p w14:paraId="1FCE619B">
            <w:pPr>
              <w:spacing w:line="240" w:lineRule="auto"/>
              <w:jc w:val="center"/>
              <w:rPr>
                <w:bCs/>
                <w:color w:val="000000"/>
                <w:sz w:val="20"/>
                <w:szCs w:val="20"/>
              </w:rPr>
            </w:pPr>
            <w:r>
              <w:rPr>
                <w:bCs/>
                <w:color w:val="000000"/>
                <w:sz w:val="20"/>
                <w:szCs w:val="20"/>
              </w:rPr>
              <w:t>/</w:t>
            </w:r>
          </w:p>
        </w:tc>
        <w:tc>
          <w:tcPr>
            <w:tcW w:w="1084" w:type="dxa"/>
            <w:vAlign w:val="center"/>
          </w:tcPr>
          <w:p w14:paraId="6646A132">
            <w:pPr>
              <w:spacing w:line="240" w:lineRule="auto"/>
              <w:jc w:val="center"/>
              <w:rPr>
                <w:bCs/>
                <w:color w:val="000000"/>
                <w:sz w:val="20"/>
                <w:szCs w:val="20"/>
              </w:rPr>
            </w:pPr>
            <w:r>
              <w:rPr>
                <w:bCs/>
                <w:color w:val="000000"/>
                <w:sz w:val="20"/>
                <w:szCs w:val="20"/>
              </w:rPr>
              <w:t>/</w:t>
            </w:r>
          </w:p>
        </w:tc>
        <w:tc>
          <w:tcPr>
            <w:tcW w:w="813" w:type="pct"/>
            <w:vMerge w:val="continue"/>
            <w:vAlign w:val="center"/>
          </w:tcPr>
          <w:p w14:paraId="15DE1901">
            <w:pPr>
              <w:pStyle w:val="409"/>
              <w:spacing w:line="240" w:lineRule="auto"/>
              <w:jc w:val="center"/>
              <w:rPr>
                <w:rFonts w:ascii="Times New Roman" w:hAnsi="Times New Roman" w:eastAsia="宋体"/>
                <w:bCs/>
                <w:color w:val="000000"/>
                <w:sz w:val="20"/>
                <w:szCs w:val="20"/>
              </w:rPr>
            </w:pPr>
          </w:p>
        </w:tc>
        <w:tc>
          <w:tcPr>
            <w:tcW w:w="482" w:type="pct"/>
            <w:vAlign w:val="center"/>
          </w:tcPr>
          <w:p w14:paraId="564CB859">
            <w:pPr>
              <w:widowControl w:val="0"/>
              <w:adjustRightInd/>
              <w:snapToGrid/>
              <w:spacing w:line="240" w:lineRule="auto"/>
              <w:jc w:val="center"/>
              <w:rPr>
                <w:bCs/>
                <w:color w:val="000000"/>
                <w:sz w:val="20"/>
                <w:szCs w:val="20"/>
              </w:rPr>
            </w:pPr>
            <w:r>
              <w:rPr>
                <w:color w:val="000000"/>
                <w:sz w:val="21"/>
              </w:rPr>
              <w:t>0.0378</w:t>
            </w:r>
          </w:p>
        </w:tc>
        <w:tc>
          <w:tcPr>
            <w:tcW w:w="492" w:type="pct"/>
            <w:vAlign w:val="center"/>
          </w:tcPr>
          <w:p w14:paraId="3166521F">
            <w:pPr>
              <w:spacing w:line="240" w:lineRule="auto"/>
              <w:jc w:val="center"/>
              <w:rPr>
                <w:bCs/>
                <w:color w:val="000000"/>
                <w:sz w:val="20"/>
                <w:szCs w:val="20"/>
              </w:rPr>
            </w:pPr>
            <w:r>
              <w:rPr>
                <w:bCs/>
                <w:color w:val="000000"/>
                <w:sz w:val="20"/>
                <w:szCs w:val="20"/>
              </w:rPr>
              <w:t>100%</w:t>
            </w:r>
          </w:p>
        </w:tc>
        <w:tc>
          <w:tcPr>
            <w:tcW w:w="549" w:type="pct"/>
            <w:vAlign w:val="center"/>
          </w:tcPr>
          <w:p w14:paraId="7CDD824E">
            <w:pPr>
              <w:spacing w:line="240" w:lineRule="auto"/>
              <w:jc w:val="center"/>
              <w:rPr>
                <w:bCs/>
                <w:color w:val="000000"/>
                <w:sz w:val="20"/>
                <w:szCs w:val="20"/>
              </w:rPr>
            </w:pPr>
            <w:r>
              <w:rPr>
                <w:bCs/>
                <w:color w:val="000000"/>
                <w:sz w:val="20"/>
                <w:szCs w:val="20"/>
              </w:rPr>
              <w:t>0</w:t>
            </w:r>
          </w:p>
        </w:tc>
      </w:tr>
      <w:tr w14:paraId="0A82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pct"/>
            <w:vMerge w:val="continue"/>
            <w:vAlign w:val="center"/>
          </w:tcPr>
          <w:p w14:paraId="34F56664">
            <w:pPr>
              <w:pStyle w:val="409"/>
              <w:spacing w:line="240" w:lineRule="auto"/>
              <w:jc w:val="center"/>
              <w:rPr>
                <w:rFonts w:ascii="Times New Roman" w:hAnsi="Times New Roman" w:eastAsia="宋体"/>
                <w:bCs/>
                <w:color w:val="000000"/>
                <w:sz w:val="20"/>
                <w:szCs w:val="20"/>
              </w:rPr>
            </w:pPr>
          </w:p>
        </w:tc>
        <w:tc>
          <w:tcPr>
            <w:tcW w:w="566" w:type="pct"/>
            <w:vAlign w:val="center"/>
          </w:tcPr>
          <w:p w14:paraId="64B7C958">
            <w:pPr>
              <w:widowControl w:val="0"/>
              <w:adjustRightInd/>
              <w:snapToGrid/>
              <w:spacing w:line="240" w:lineRule="auto"/>
              <w:jc w:val="center"/>
              <w:rPr>
                <w:bCs/>
                <w:color w:val="000000"/>
                <w:sz w:val="20"/>
                <w:szCs w:val="20"/>
              </w:rPr>
            </w:pPr>
            <w:r>
              <w:rPr>
                <w:color w:val="000000"/>
                <w:sz w:val="21"/>
              </w:rPr>
              <w:t>废干燥剂</w:t>
            </w:r>
          </w:p>
        </w:tc>
        <w:tc>
          <w:tcPr>
            <w:tcW w:w="566" w:type="pct"/>
            <w:vAlign w:val="center"/>
          </w:tcPr>
          <w:p w14:paraId="724AEA21">
            <w:pPr>
              <w:widowControl w:val="0"/>
              <w:adjustRightInd/>
              <w:snapToGrid/>
              <w:spacing w:line="240" w:lineRule="auto"/>
              <w:jc w:val="center"/>
              <w:rPr>
                <w:bCs/>
                <w:color w:val="000000"/>
                <w:sz w:val="20"/>
                <w:szCs w:val="20"/>
              </w:rPr>
            </w:pPr>
            <w:r>
              <w:rPr>
                <w:color w:val="000000"/>
                <w:sz w:val="21"/>
              </w:rPr>
              <w:t>0.0565</w:t>
            </w:r>
          </w:p>
        </w:tc>
        <w:tc>
          <w:tcPr>
            <w:tcW w:w="1081" w:type="dxa"/>
            <w:vAlign w:val="center"/>
          </w:tcPr>
          <w:p w14:paraId="67A93528">
            <w:pPr>
              <w:spacing w:line="240" w:lineRule="auto"/>
              <w:jc w:val="center"/>
              <w:rPr>
                <w:bCs/>
                <w:color w:val="000000"/>
                <w:sz w:val="20"/>
                <w:szCs w:val="20"/>
              </w:rPr>
            </w:pPr>
            <w:r>
              <w:rPr>
                <w:bCs/>
                <w:color w:val="000000"/>
                <w:sz w:val="20"/>
                <w:szCs w:val="20"/>
              </w:rPr>
              <w:t>/</w:t>
            </w:r>
          </w:p>
        </w:tc>
        <w:tc>
          <w:tcPr>
            <w:tcW w:w="1084" w:type="dxa"/>
            <w:vAlign w:val="center"/>
          </w:tcPr>
          <w:p w14:paraId="42D36224">
            <w:pPr>
              <w:spacing w:line="240" w:lineRule="auto"/>
              <w:jc w:val="center"/>
              <w:rPr>
                <w:bCs/>
                <w:color w:val="000000"/>
                <w:sz w:val="20"/>
                <w:szCs w:val="20"/>
              </w:rPr>
            </w:pPr>
            <w:r>
              <w:rPr>
                <w:bCs/>
                <w:color w:val="000000"/>
                <w:sz w:val="20"/>
                <w:szCs w:val="20"/>
              </w:rPr>
              <w:t>/</w:t>
            </w:r>
          </w:p>
        </w:tc>
        <w:tc>
          <w:tcPr>
            <w:tcW w:w="813" w:type="pct"/>
            <w:vMerge w:val="continue"/>
            <w:vAlign w:val="center"/>
          </w:tcPr>
          <w:p w14:paraId="12A20175">
            <w:pPr>
              <w:pStyle w:val="409"/>
              <w:spacing w:line="240" w:lineRule="auto"/>
              <w:jc w:val="center"/>
              <w:rPr>
                <w:rFonts w:ascii="Times New Roman" w:hAnsi="Times New Roman" w:eastAsia="宋体"/>
                <w:bCs/>
                <w:color w:val="000000"/>
                <w:sz w:val="20"/>
                <w:szCs w:val="20"/>
              </w:rPr>
            </w:pPr>
          </w:p>
        </w:tc>
        <w:tc>
          <w:tcPr>
            <w:tcW w:w="482" w:type="pct"/>
            <w:vAlign w:val="center"/>
          </w:tcPr>
          <w:p w14:paraId="2DDBE80D">
            <w:pPr>
              <w:widowControl w:val="0"/>
              <w:adjustRightInd/>
              <w:snapToGrid/>
              <w:spacing w:line="240" w:lineRule="auto"/>
              <w:jc w:val="center"/>
              <w:rPr>
                <w:bCs/>
                <w:color w:val="000000"/>
                <w:sz w:val="20"/>
                <w:szCs w:val="20"/>
              </w:rPr>
            </w:pPr>
            <w:r>
              <w:rPr>
                <w:color w:val="000000"/>
                <w:sz w:val="21"/>
              </w:rPr>
              <w:t>0.0565</w:t>
            </w:r>
          </w:p>
        </w:tc>
        <w:tc>
          <w:tcPr>
            <w:tcW w:w="492" w:type="pct"/>
            <w:vAlign w:val="center"/>
          </w:tcPr>
          <w:p w14:paraId="37F0C8E5">
            <w:pPr>
              <w:spacing w:line="240" w:lineRule="auto"/>
              <w:jc w:val="center"/>
              <w:rPr>
                <w:bCs/>
                <w:color w:val="000000"/>
                <w:sz w:val="20"/>
                <w:szCs w:val="20"/>
              </w:rPr>
            </w:pPr>
            <w:r>
              <w:rPr>
                <w:bCs/>
                <w:color w:val="000000"/>
                <w:sz w:val="20"/>
                <w:szCs w:val="20"/>
              </w:rPr>
              <w:t>100%</w:t>
            </w:r>
          </w:p>
        </w:tc>
        <w:tc>
          <w:tcPr>
            <w:tcW w:w="549" w:type="pct"/>
            <w:vAlign w:val="center"/>
          </w:tcPr>
          <w:p w14:paraId="5EE5527B">
            <w:pPr>
              <w:spacing w:line="240" w:lineRule="auto"/>
              <w:jc w:val="center"/>
              <w:rPr>
                <w:bCs/>
                <w:color w:val="000000"/>
                <w:sz w:val="20"/>
                <w:szCs w:val="20"/>
              </w:rPr>
            </w:pPr>
            <w:r>
              <w:rPr>
                <w:bCs/>
                <w:color w:val="000000"/>
                <w:sz w:val="20"/>
                <w:szCs w:val="20"/>
              </w:rPr>
              <w:t>0</w:t>
            </w:r>
          </w:p>
        </w:tc>
      </w:tr>
      <w:tr w14:paraId="27F2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pct"/>
            <w:vMerge w:val="continue"/>
            <w:vAlign w:val="center"/>
          </w:tcPr>
          <w:p w14:paraId="6EAC4A48">
            <w:pPr>
              <w:pStyle w:val="409"/>
              <w:spacing w:line="240" w:lineRule="auto"/>
              <w:jc w:val="center"/>
              <w:rPr>
                <w:rFonts w:ascii="Times New Roman" w:hAnsi="Times New Roman" w:eastAsia="宋体"/>
                <w:bCs/>
                <w:color w:val="000000"/>
                <w:sz w:val="20"/>
                <w:szCs w:val="20"/>
              </w:rPr>
            </w:pPr>
          </w:p>
        </w:tc>
        <w:tc>
          <w:tcPr>
            <w:tcW w:w="566" w:type="pct"/>
            <w:vAlign w:val="center"/>
          </w:tcPr>
          <w:p w14:paraId="6860E7C4">
            <w:pPr>
              <w:widowControl w:val="0"/>
              <w:adjustRightInd/>
              <w:snapToGrid/>
              <w:spacing w:line="240" w:lineRule="auto"/>
              <w:jc w:val="center"/>
              <w:rPr>
                <w:bCs/>
                <w:color w:val="000000"/>
                <w:sz w:val="20"/>
                <w:szCs w:val="20"/>
              </w:rPr>
            </w:pPr>
            <w:r>
              <w:rPr>
                <w:color w:val="000000"/>
                <w:sz w:val="21"/>
              </w:rPr>
              <w:t>低温精制废吸附剂</w:t>
            </w:r>
          </w:p>
        </w:tc>
        <w:tc>
          <w:tcPr>
            <w:tcW w:w="566" w:type="pct"/>
            <w:vAlign w:val="center"/>
          </w:tcPr>
          <w:p w14:paraId="2AB780CC">
            <w:pPr>
              <w:widowControl w:val="0"/>
              <w:adjustRightInd/>
              <w:snapToGrid/>
              <w:spacing w:line="240" w:lineRule="auto"/>
              <w:jc w:val="center"/>
              <w:rPr>
                <w:bCs/>
                <w:color w:val="000000"/>
                <w:sz w:val="20"/>
                <w:szCs w:val="20"/>
              </w:rPr>
            </w:pPr>
            <w:r>
              <w:rPr>
                <w:color w:val="000000"/>
                <w:sz w:val="21"/>
              </w:rPr>
              <w:t>0.1913</w:t>
            </w:r>
          </w:p>
        </w:tc>
        <w:tc>
          <w:tcPr>
            <w:tcW w:w="1081" w:type="dxa"/>
            <w:vAlign w:val="center"/>
          </w:tcPr>
          <w:p w14:paraId="10D055E7">
            <w:pPr>
              <w:spacing w:line="240" w:lineRule="auto"/>
              <w:jc w:val="center"/>
              <w:rPr>
                <w:bCs/>
                <w:color w:val="000000"/>
                <w:sz w:val="20"/>
                <w:szCs w:val="20"/>
              </w:rPr>
            </w:pPr>
            <w:r>
              <w:rPr>
                <w:bCs/>
                <w:color w:val="000000"/>
                <w:sz w:val="20"/>
                <w:szCs w:val="20"/>
              </w:rPr>
              <w:t>/</w:t>
            </w:r>
          </w:p>
        </w:tc>
        <w:tc>
          <w:tcPr>
            <w:tcW w:w="1084" w:type="dxa"/>
            <w:vAlign w:val="center"/>
          </w:tcPr>
          <w:p w14:paraId="1B9FA1B1">
            <w:pPr>
              <w:spacing w:line="240" w:lineRule="auto"/>
              <w:jc w:val="center"/>
              <w:rPr>
                <w:bCs/>
                <w:color w:val="000000"/>
                <w:sz w:val="20"/>
                <w:szCs w:val="20"/>
              </w:rPr>
            </w:pPr>
            <w:r>
              <w:rPr>
                <w:bCs/>
                <w:color w:val="000000"/>
                <w:sz w:val="20"/>
                <w:szCs w:val="20"/>
              </w:rPr>
              <w:t>/</w:t>
            </w:r>
          </w:p>
        </w:tc>
        <w:tc>
          <w:tcPr>
            <w:tcW w:w="813" w:type="pct"/>
            <w:vMerge w:val="continue"/>
            <w:vAlign w:val="center"/>
          </w:tcPr>
          <w:p w14:paraId="579C1370">
            <w:pPr>
              <w:pStyle w:val="409"/>
              <w:spacing w:line="240" w:lineRule="auto"/>
              <w:jc w:val="center"/>
              <w:rPr>
                <w:rFonts w:ascii="Times New Roman" w:hAnsi="Times New Roman" w:eastAsia="宋体"/>
                <w:bCs/>
                <w:color w:val="000000"/>
                <w:sz w:val="20"/>
                <w:szCs w:val="20"/>
              </w:rPr>
            </w:pPr>
          </w:p>
        </w:tc>
        <w:tc>
          <w:tcPr>
            <w:tcW w:w="482" w:type="pct"/>
            <w:vAlign w:val="center"/>
          </w:tcPr>
          <w:p w14:paraId="762D6C2F">
            <w:pPr>
              <w:widowControl w:val="0"/>
              <w:adjustRightInd/>
              <w:snapToGrid/>
              <w:spacing w:line="240" w:lineRule="auto"/>
              <w:jc w:val="center"/>
              <w:rPr>
                <w:bCs/>
                <w:color w:val="000000"/>
                <w:sz w:val="20"/>
                <w:szCs w:val="20"/>
              </w:rPr>
            </w:pPr>
            <w:r>
              <w:rPr>
                <w:color w:val="000000"/>
                <w:sz w:val="21"/>
              </w:rPr>
              <w:t>0.1913</w:t>
            </w:r>
          </w:p>
        </w:tc>
        <w:tc>
          <w:tcPr>
            <w:tcW w:w="492" w:type="pct"/>
            <w:vAlign w:val="center"/>
          </w:tcPr>
          <w:p w14:paraId="552663E5">
            <w:pPr>
              <w:spacing w:line="240" w:lineRule="auto"/>
              <w:jc w:val="center"/>
              <w:rPr>
                <w:bCs/>
                <w:color w:val="000000"/>
                <w:sz w:val="20"/>
                <w:szCs w:val="20"/>
              </w:rPr>
            </w:pPr>
            <w:r>
              <w:rPr>
                <w:bCs/>
                <w:color w:val="000000"/>
                <w:sz w:val="20"/>
                <w:szCs w:val="20"/>
              </w:rPr>
              <w:t>100%</w:t>
            </w:r>
          </w:p>
        </w:tc>
        <w:tc>
          <w:tcPr>
            <w:tcW w:w="549" w:type="pct"/>
            <w:vAlign w:val="center"/>
          </w:tcPr>
          <w:p w14:paraId="562C30AC">
            <w:pPr>
              <w:spacing w:line="240" w:lineRule="auto"/>
              <w:jc w:val="center"/>
              <w:rPr>
                <w:bCs/>
                <w:color w:val="000000"/>
                <w:sz w:val="20"/>
                <w:szCs w:val="20"/>
              </w:rPr>
            </w:pPr>
            <w:r>
              <w:rPr>
                <w:bCs/>
                <w:color w:val="000000"/>
                <w:sz w:val="20"/>
                <w:szCs w:val="20"/>
              </w:rPr>
              <w:t>0</w:t>
            </w:r>
          </w:p>
        </w:tc>
      </w:tr>
      <w:tr w14:paraId="09B8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pct"/>
            <w:vMerge w:val="continue"/>
            <w:vAlign w:val="center"/>
          </w:tcPr>
          <w:p w14:paraId="7319B399">
            <w:pPr>
              <w:pStyle w:val="409"/>
              <w:spacing w:line="240" w:lineRule="auto"/>
              <w:jc w:val="center"/>
              <w:rPr>
                <w:rFonts w:ascii="Times New Roman" w:hAnsi="Times New Roman" w:eastAsia="宋体"/>
                <w:bCs/>
                <w:color w:val="000000"/>
                <w:sz w:val="20"/>
                <w:szCs w:val="20"/>
              </w:rPr>
            </w:pPr>
          </w:p>
        </w:tc>
        <w:tc>
          <w:tcPr>
            <w:tcW w:w="566" w:type="pct"/>
            <w:vAlign w:val="center"/>
          </w:tcPr>
          <w:p w14:paraId="2D959CEA">
            <w:pPr>
              <w:widowControl w:val="0"/>
              <w:adjustRightInd/>
              <w:snapToGrid/>
              <w:spacing w:line="240" w:lineRule="auto"/>
              <w:jc w:val="center"/>
              <w:rPr>
                <w:bCs/>
                <w:color w:val="000000"/>
                <w:sz w:val="20"/>
                <w:szCs w:val="20"/>
              </w:rPr>
            </w:pPr>
            <w:r>
              <w:rPr>
                <w:color w:val="000000"/>
                <w:sz w:val="21"/>
              </w:rPr>
              <w:t>废瓷球</w:t>
            </w:r>
          </w:p>
        </w:tc>
        <w:tc>
          <w:tcPr>
            <w:tcW w:w="566" w:type="pct"/>
            <w:vAlign w:val="center"/>
          </w:tcPr>
          <w:p w14:paraId="0438D23D">
            <w:pPr>
              <w:widowControl w:val="0"/>
              <w:adjustRightInd/>
              <w:snapToGrid/>
              <w:spacing w:line="240" w:lineRule="auto"/>
              <w:jc w:val="center"/>
              <w:rPr>
                <w:bCs/>
                <w:color w:val="000000"/>
                <w:sz w:val="20"/>
                <w:szCs w:val="20"/>
              </w:rPr>
            </w:pPr>
            <w:r>
              <w:rPr>
                <w:color w:val="000000"/>
                <w:sz w:val="21"/>
              </w:rPr>
              <w:t>0.1875</w:t>
            </w:r>
          </w:p>
        </w:tc>
        <w:tc>
          <w:tcPr>
            <w:tcW w:w="1081" w:type="dxa"/>
            <w:vAlign w:val="center"/>
          </w:tcPr>
          <w:p w14:paraId="7674BE67">
            <w:pPr>
              <w:spacing w:line="240" w:lineRule="auto"/>
              <w:jc w:val="center"/>
              <w:rPr>
                <w:bCs/>
                <w:color w:val="000000"/>
                <w:sz w:val="20"/>
                <w:szCs w:val="20"/>
              </w:rPr>
            </w:pPr>
            <w:r>
              <w:rPr>
                <w:bCs/>
                <w:color w:val="000000"/>
                <w:sz w:val="20"/>
                <w:szCs w:val="20"/>
              </w:rPr>
              <w:t>/</w:t>
            </w:r>
          </w:p>
        </w:tc>
        <w:tc>
          <w:tcPr>
            <w:tcW w:w="1084" w:type="dxa"/>
            <w:vAlign w:val="center"/>
          </w:tcPr>
          <w:p w14:paraId="60C859E5">
            <w:pPr>
              <w:spacing w:line="240" w:lineRule="auto"/>
              <w:jc w:val="center"/>
              <w:rPr>
                <w:bCs/>
                <w:color w:val="000000"/>
                <w:sz w:val="20"/>
                <w:szCs w:val="20"/>
              </w:rPr>
            </w:pPr>
            <w:r>
              <w:rPr>
                <w:bCs/>
                <w:color w:val="000000"/>
                <w:sz w:val="20"/>
                <w:szCs w:val="20"/>
              </w:rPr>
              <w:t>/</w:t>
            </w:r>
          </w:p>
        </w:tc>
        <w:tc>
          <w:tcPr>
            <w:tcW w:w="813" w:type="pct"/>
            <w:vMerge w:val="continue"/>
            <w:vAlign w:val="center"/>
          </w:tcPr>
          <w:p w14:paraId="618F2A82">
            <w:pPr>
              <w:pStyle w:val="409"/>
              <w:spacing w:line="240" w:lineRule="auto"/>
              <w:jc w:val="center"/>
              <w:rPr>
                <w:rFonts w:ascii="Times New Roman" w:hAnsi="Times New Roman" w:eastAsia="宋体"/>
                <w:bCs/>
                <w:color w:val="000000"/>
                <w:sz w:val="20"/>
                <w:szCs w:val="20"/>
              </w:rPr>
            </w:pPr>
          </w:p>
        </w:tc>
        <w:tc>
          <w:tcPr>
            <w:tcW w:w="482" w:type="pct"/>
            <w:vAlign w:val="center"/>
          </w:tcPr>
          <w:p w14:paraId="114B254C">
            <w:pPr>
              <w:widowControl w:val="0"/>
              <w:adjustRightInd/>
              <w:snapToGrid/>
              <w:spacing w:line="240" w:lineRule="auto"/>
              <w:jc w:val="center"/>
              <w:rPr>
                <w:bCs/>
                <w:color w:val="000000"/>
                <w:sz w:val="20"/>
                <w:szCs w:val="20"/>
              </w:rPr>
            </w:pPr>
            <w:r>
              <w:rPr>
                <w:color w:val="000000"/>
                <w:sz w:val="21"/>
              </w:rPr>
              <w:t>0.1875</w:t>
            </w:r>
          </w:p>
        </w:tc>
        <w:tc>
          <w:tcPr>
            <w:tcW w:w="492" w:type="pct"/>
            <w:vAlign w:val="center"/>
          </w:tcPr>
          <w:p w14:paraId="3E93519A">
            <w:pPr>
              <w:spacing w:line="240" w:lineRule="auto"/>
              <w:jc w:val="center"/>
              <w:rPr>
                <w:bCs/>
                <w:color w:val="000000"/>
                <w:sz w:val="20"/>
                <w:szCs w:val="20"/>
              </w:rPr>
            </w:pPr>
            <w:r>
              <w:rPr>
                <w:bCs/>
                <w:color w:val="000000"/>
                <w:sz w:val="20"/>
                <w:szCs w:val="20"/>
              </w:rPr>
              <w:t>100%</w:t>
            </w:r>
          </w:p>
        </w:tc>
        <w:tc>
          <w:tcPr>
            <w:tcW w:w="549" w:type="pct"/>
            <w:vAlign w:val="center"/>
          </w:tcPr>
          <w:p w14:paraId="69A7A0F0">
            <w:pPr>
              <w:spacing w:line="240" w:lineRule="auto"/>
              <w:jc w:val="center"/>
              <w:rPr>
                <w:bCs/>
                <w:color w:val="000000"/>
                <w:sz w:val="20"/>
                <w:szCs w:val="20"/>
              </w:rPr>
            </w:pPr>
            <w:r>
              <w:rPr>
                <w:bCs/>
                <w:color w:val="000000"/>
                <w:sz w:val="20"/>
                <w:szCs w:val="20"/>
              </w:rPr>
              <w:t>0</w:t>
            </w:r>
          </w:p>
        </w:tc>
      </w:tr>
      <w:tr w14:paraId="7B1D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5" w:type="pct"/>
            <w:vAlign w:val="center"/>
          </w:tcPr>
          <w:p w14:paraId="5FAE1847">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生活垃圾</w:t>
            </w:r>
          </w:p>
        </w:tc>
        <w:tc>
          <w:tcPr>
            <w:tcW w:w="566" w:type="pct"/>
            <w:vAlign w:val="center"/>
          </w:tcPr>
          <w:p w14:paraId="0309A791">
            <w:pPr>
              <w:pStyle w:val="409"/>
              <w:spacing w:line="240" w:lineRule="auto"/>
              <w:jc w:val="center"/>
              <w:rPr>
                <w:rFonts w:ascii="Times New Roman" w:hAnsi="Times New Roman" w:eastAsia="宋体"/>
                <w:bCs/>
                <w:color w:val="000000"/>
                <w:kern w:val="0"/>
                <w:sz w:val="20"/>
                <w:szCs w:val="20"/>
              </w:rPr>
            </w:pPr>
            <w:r>
              <w:rPr>
                <w:rFonts w:ascii="Times New Roman" w:hAnsi="Times New Roman" w:eastAsia="宋体"/>
                <w:bCs/>
                <w:color w:val="000000"/>
                <w:sz w:val="20"/>
                <w:szCs w:val="20"/>
              </w:rPr>
              <w:t>生活垃圾</w:t>
            </w:r>
          </w:p>
        </w:tc>
        <w:tc>
          <w:tcPr>
            <w:tcW w:w="566" w:type="pct"/>
            <w:vAlign w:val="center"/>
          </w:tcPr>
          <w:p w14:paraId="2B28FC0B">
            <w:pPr>
              <w:jc w:val="center"/>
              <w:textAlignment w:val="center"/>
              <w:rPr>
                <w:bCs/>
                <w:color w:val="000000"/>
                <w:sz w:val="20"/>
                <w:szCs w:val="20"/>
              </w:rPr>
            </w:pPr>
            <w:r>
              <w:rPr>
                <w:bCs/>
                <w:color w:val="000000"/>
                <w:kern w:val="0"/>
                <w:sz w:val="20"/>
                <w:szCs w:val="20"/>
              </w:rPr>
              <w:t>1.998</w:t>
            </w:r>
          </w:p>
        </w:tc>
        <w:tc>
          <w:tcPr>
            <w:tcW w:w="402" w:type="pct"/>
            <w:vAlign w:val="center"/>
          </w:tcPr>
          <w:p w14:paraId="325FB338">
            <w:pPr>
              <w:spacing w:line="240" w:lineRule="auto"/>
              <w:jc w:val="center"/>
              <w:rPr>
                <w:bCs/>
                <w:color w:val="000000"/>
                <w:sz w:val="20"/>
                <w:szCs w:val="20"/>
              </w:rPr>
            </w:pPr>
            <w:r>
              <w:rPr>
                <w:bCs/>
                <w:color w:val="000000"/>
                <w:sz w:val="20"/>
                <w:szCs w:val="20"/>
              </w:rPr>
              <w:t>/</w:t>
            </w:r>
          </w:p>
        </w:tc>
        <w:tc>
          <w:tcPr>
            <w:tcW w:w="403" w:type="pct"/>
            <w:vAlign w:val="center"/>
          </w:tcPr>
          <w:p w14:paraId="14DE9F93">
            <w:pPr>
              <w:spacing w:line="240" w:lineRule="auto"/>
              <w:jc w:val="center"/>
              <w:rPr>
                <w:bCs/>
                <w:color w:val="000000"/>
                <w:sz w:val="20"/>
                <w:szCs w:val="20"/>
              </w:rPr>
            </w:pPr>
            <w:r>
              <w:rPr>
                <w:bCs/>
                <w:color w:val="000000"/>
                <w:sz w:val="20"/>
                <w:szCs w:val="20"/>
              </w:rPr>
              <w:t>/</w:t>
            </w:r>
          </w:p>
        </w:tc>
        <w:tc>
          <w:tcPr>
            <w:tcW w:w="813" w:type="pct"/>
            <w:vAlign w:val="center"/>
          </w:tcPr>
          <w:p w14:paraId="1C2CF8D7">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环卫部门统一处置</w:t>
            </w:r>
          </w:p>
        </w:tc>
        <w:tc>
          <w:tcPr>
            <w:tcW w:w="482" w:type="pct"/>
            <w:vAlign w:val="center"/>
          </w:tcPr>
          <w:p w14:paraId="310F739F">
            <w:pPr>
              <w:jc w:val="center"/>
              <w:textAlignment w:val="center"/>
              <w:rPr>
                <w:bCs/>
                <w:color w:val="000000"/>
                <w:sz w:val="20"/>
                <w:szCs w:val="20"/>
              </w:rPr>
            </w:pPr>
            <w:r>
              <w:rPr>
                <w:bCs/>
                <w:color w:val="000000"/>
                <w:kern w:val="0"/>
                <w:sz w:val="20"/>
                <w:szCs w:val="20"/>
              </w:rPr>
              <w:t>1.998</w:t>
            </w:r>
          </w:p>
        </w:tc>
        <w:tc>
          <w:tcPr>
            <w:tcW w:w="492" w:type="pct"/>
            <w:vAlign w:val="center"/>
          </w:tcPr>
          <w:p w14:paraId="413AA293">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100%</w:t>
            </w:r>
          </w:p>
        </w:tc>
        <w:tc>
          <w:tcPr>
            <w:tcW w:w="549" w:type="pct"/>
            <w:vAlign w:val="center"/>
          </w:tcPr>
          <w:p w14:paraId="3E95BBF6">
            <w:pPr>
              <w:pStyle w:val="409"/>
              <w:spacing w:line="240" w:lineRule="auto"/>
              <w:jc w:val="center"/>
              <w:rPr>
                <w:rFonts w:ascii="Times New Roman" w:hAnsi="Times New Roman" w:eastAsia="宋体"/>
                <w:bCs/>
                <w:color w:val="000000"/>
                <w:sz w:val="20"/>
                <w:szCs w:val="20"/>
              </w:rPr>
            </w:pPr>
            <w:r>
              <w:rPr>
                <w:rFonts w:ascii="Times New Roman" w:hAnsi="Times New Roman" w:eastAsia="宋体"/>
                <w:bCs/>
                <w:color w:val="000000"/>
                <w:sz w:val="20"/>
                <w:szCs w:val="20"/>
              </w:rPr>
              <w:t>0</w:t>
            </w:r>
          </w:p>
        </w:tc>
      </w:tr>
    </w:tbl>
    <w:p w14:paraId="2119F5A3">
      <w:pPr>
        <w:pStyle w:val="409"/>
        <w:spacing w:line="240" w:lineRule="auto"/>
        <w:rPr>
          <w:rFonts w:ascii="Times New Roman" w:hAnsi="Times New Roman" w:eastAsia="宋体"/>
          <w:color w:val="000000"/>
          <w:sz w:val="20"/>
          <w:szCs w:val="20"/>
        </w:rPr>
      </w:pPr>
    </w:p>
    <w:p w14:paraId="64686DEF">
      <w:pPr>
        <w:pStyle w:val="409"/>
        <w:spacing w:line="240" w:lineRule="auto"/>
        <w:rPr>
          <w:rFonts w:ascii="Times New Roman" w:hAnsi="Times New Roman" w:eastAsia="宋体"/>
          <w:color w:val="000000"/>
          <w:sz w:val="20"/>
          <w:szCs w:val="20"/>
        </w:rPr>
      </w:pPr>
    </w:p>
    <w:p w14:paraId="1E1C7FE6">
      <w:pPr>
        <w:pStyle w:val="409"/>
        <w:spacing w:line="240" w:lineRule="auto"/>
        <w:rPr>
          <w:rFonts w:ascii="Times New Roman" w:hAnsi="Times New Roman" w:eastAsia="宋体"/>
          <w:color w:val="000000"/>
          <w:sz w:val="20"/>
          <w:szCs w:val="20"/>
        </w:rPr>
      </w:pPr>
    </w:p>
    <w:p w14:paraId="088B1883">
      <w:pPr>
        <w:ind w:firstLine="560"/>
        <w:rPr>
          <w:color w:val="000000"/>
          <w:sz w:val="28"/>
        </w:rPr>
        <w:sectPr>
          <w:footerReference r:id="rId16" w:type="default"/>
          <w:pgSz w:w="16838" w:h="23811"/>
          <w:pgMar w:top="1440" w:right="1803" w:bottom="1440" w:left="1803" w:header="850" w:footer="907" w:gutter="0"/>
          <w:cols w:space="720" w:num="1"/>
          <w:docGrid w:type="lines" w:linePitch="332" w:charSpace="0"/>
        </w:sectPr>
      </w:pPr>
    </w:p>
    <w:p w14:paraId="753F0567">
      <w:pPr>
        <w:pStyle w:val="770"/>
        <w:rPr>
          <w:color w:val="000000"/>
        </w:rPr>
      </w:pPr>
      <w:bookmarkStart w:id="849" w:name="_Toc27695"/>
      <w:r>
        <w:rPr>
          <w:color w:val="000000"/>
        </w:rPr>
        <w:t>9.6环境信息公开及人员培训</w:t>
      </w:r>
      <w:bookmarkEnd w:id="849"/>
    </w:p>
    <w:p w14:paraId="77571E85">
      <w:pPr>
        <w:pStyle w:val="771"/>
        <w:rPr>
          <w:color w:val="000000"/>
        </w:rPr>
      </w:pPr>
      <w:r>
        <w:rPr>
          <w:color w:val="000000"/>
        </w:rPr>
        <w:t>9.6.1信息公开</w:t>
      </w:r>
    </w:p>
    <w:p w14:paraId="422FFDC2">
      <w:pPr>
        <w:ind w:firstLine="480" w:firstLineChars="200"/>
        <w:rPr>
          <w:color w:val="000000"/>
          <w:szCs w:val="24"/>
        </w:rPr>
      </w:pPr>
      <w:r>
        <w:rPr>
          <w:color w:val="000000"/>
          <w:szCs w:val="24"/>
        </w:rPr>
        <w:t>根据《企业事业单位环境信息公开办法》（环境保护部令第31号），排污单位应当通过其网站、企业事业单位环境信息公开平台或者当地报刊等便于公众知晓的方式公开环境信息，其具体公开的信息内容如下：</w:t>
      </w:r>
    </w:p>
    <w:p w14:paraId="74EC2905">
      <w:pPr>
        <w:ind w:firstLine="480" w:firstLineChars="200"/>
        <w:rPr>
          <w:color w:val="000000"/>
          <w:szCs w:val="24"/>
        </w:rPr>
      </w:pPr>
      <w:r>
        <w:rPr>
          <w:color w:val="000000"/>
          <w:szCs w:val="24"/>
        </w:rPr>
        <w:t>①基础信息，包括单位名称、组织机构代码、法定代表人、生产地址、联系方式，以及生产经营和管理服务的主要内容、产品及规模；</w:t>
      </w:r>
    </w:p>
    <w:p w14:paraId="3359962D">
      <w:pPr>
        <w:ind w:firstLine="480" w:firstLineChars="200"/>
        <w:rPr>
          <w:color w:val="000000"/>
          <w:szCs w:val="24"/>
        </w:rPr>
      </w:pPr>
      <w:r>
        <w:rPr>
          <w:color w:val="000000"/>
          <w:szCs w:val="24"/>
        </w:rPr>
        <w:t>②排污信息，包括主要污染物及特征污染物的名称、排放方式、排放口数量和分布情况、排放浓度和总量、超标情况，以及执行的污染物排放标准、核定的排放总量；</w:t>
      </w:r>
    </w:p>
    <w:p w14:paraId="09043A8F">
      <w:pPr>
        <w:ind w:firstLine="480" w:firstLineChars="200"/>
        <w:rPr>
          <w:color w:val="000000"/>
          <w:szCs w:val="24"/>
        </w:rPr>
      </w:pPr>
      <w:r>
        <w:rPr>
          <w:color w:val="000000"/>
          <w:szCs w:val="24"/>
        </w:rPr>
        <w:t>③防治污染设施的建设和运行情况；</w:t>
      </w:r>
    </w:p>
    <w:p w14:paraId="7974F30C">
      <w:pPr>
        <w:ind w:firstLine="480" w:firstLineChars="200"/>
        <w:rPr>
          <w:color w:val="000000"/>
          <w:szCs w:val="24"/>
        </w:rPr>
      </w:pPr>
      <w:r>
        <w:rPr>
          <w:color w:val="000000"/>
          <w:szCs w:val="24"/>
        </w:rPr>
        <w:t>④建设项目环境影响评价及其他环境保护行政许可情况；</w:t>
      </w:r>
    </w:p>
    <w:p w14:paraId="008B6577">
      <w:pPr>
        <w:ind w:firstLine="480" w:firstLineChars="200"/>
        <w:rPr>
          <w:color w:val="000000"/>
          <w:szCs w:val="24"/>
        </w:rPr>
      </w:pPr>
      <w:r>
        <w:rPr>
          <w:color w:val="000000"/>
          <w:szCs w:val="24"/>
        </w:rPr>
        <w:t>⑤突发环境事件应急预案；</w:t>
      </w:r>
    </w:p>
    <w:p w14:paraId="1A672A2E">
      <w:pPr>
        <w:ind w:firstLine="480" w:firstLineChars="200"/>
        <w:rPr>
          <w:color w:val="000000"/>
          <w:szCs w:val="24"/>
        </w:rPr>
      </w:pPr>
      <w:r>
        <w:rPr>
          <w:color w:val="000000"/>
          <w:szCs w:val="24"/>
        </w:rPr>
        <w:t>⑥其他应当公开的环境信息；</w:t>
      </w:r>
    </w:p>
    <w:p w14:paraId="2CD51441">
      <w:pPr>
        <w:ind w:firstLine="480" w:firstLineChars="200"/>
        <w:rPr>
          <w:color w:val="000000"/>
        </w:rPr>
      </w:pPr>
      <w:bookmarkStart w:id="850" w:name="_Toc533424153"/>
      <w:r>
        <w:rPr>
          <w:color w:val="000000"/>
          <w:szCs w:val="24"/>
        </w:rPr>
        <w:t>⑦列入国家重点监控企业名单的重点排污单位还应当公开其环境自行监测方案</w:t>
      </w:r>
      <w:bookmarkStart w:id="851" w:name="_bookmark144"/>
      <w:bookmarkEnd w:id="851"/>
      <w:r>
        <w:rPr>
          <w:color w:val="000000"/>
          <w:szCs w:val="24"/>
        </w:rPr>
        <w:t>。</w:t>
      </w:r>
      <w:bookmarkEnd w:id="850"/>
    </w:p>
    <w:p w14:paraId="300ED297">
      <w:pPr>
        <w:pStyle w:val="771"/>
        <w:rPr>
          <w:color w:val="000000"/>
        </w:rPr>
      </w:pPr>
      <w:r>
        <w:rPr>
          <w:color w:val="000000"/>
        </w:rPr>
        <w:t>9.6.2人员培训</w:t>
      </w:r>
    </w:p>
    <w:p w14:paraId="5BAFBDEE">
      <w:pPr>
        <w:pStyle w:val="205"/>
        <w:spacing w:line="360" w:lineRule="auto"/>
        <w:rPr>
          <w:rFonts w:ascii="Times New Roman"/>
          <w:color w:val="000000"/>
          <w:szCs w:val="24"/>
        </w:rPr>
      </w:pPr>
      <w:r>
        <w:rPr>
          <w:rFonts w:ascii="Times New Roman"/>
          <w:color w:val="000000"/>
          <w:szCs w:val="24"/>
        </w:rPr>
        <w:t>从事企业环境保护的人员应在有关部门和单位进行专业培训，应对上岗职工进行职业道德、环境保护、劳动卫生、安全生产等法规教育，以增强操作和管理人员的职业精神和业务技能。</w:t>
      </w:r>
    </w:p>
    <w:p w14:paraId="40373C70">
      <w:pPr>
        <w:pStyle w:val="7"/>
        <w:spacing w:beforeLines="0" w:afterLines="0" w:line="360" w:lineRule="auto"/>
        <w:rPr>
          <w:rFonts w:ascii="Times New Roman" w:eastAsia="宋体"/>
          <w:b w:val="0"/>
          <w:color w:val="000000"/>
          <w:szCs w:val="30"/>
        </w:rPr>
      </w:pPr>
      <w:bookmarkStart w:id="852" w:name="_Toc31422"/>
      <w:bookmarkStart w:id="853" w:name="_Toc23627"/>
      <w:r>
        <w:rPr>
          <w:rFonts w:ascii="Times New Roman" w:eastAsia="宋体"/>
          <w:b w:val="0"/>
          <w:color w:val="000000"/>
          <w:szCs w:val="30"/>
        </w:rPr>
        <w:t>9.7总量控制</w:t>
      </w:r>
      <w:bookmarkEnd w:id="852"/>
      <w:bookmarkEnd w:id="853"/>
    </w:p>
    <w:p w14:paraId="56F1DCC1">
      <w:pPr>
        <w:ind w:firstLine="480"/>
        <w:rPr>
          <w:color w:val="000000"/>
          <w:kern w:val="44"/>
          <w:szCs w:val="24"/>
        </w:rPr>
      </w:pPr>
      <w:r>
        <w:rPr>
          <w:color w:val="000000"/>
          <w:kern w:val="44"/>
          <w:szCs w:val="24"/>
        </w:rPr>
        <w:t>污染物总量控制是在当地环境功能区划和环境功能要求的基础上，结合当地污染源和总体排污水平，将各企业允许排放总量合理分析，以维持经济、环境的合理有序发展的、达到预定环境目标的一种控制手段。</w:t>
      </w:r>
    </w:p>
    <w:p w14:paraId="6650E4CF">
      <w:pPr>
        <w:ind w:firstLine="480"/>
        <w:rPr>
          <w:color w:val="000000"/>
        </w:rPr>
      </w:pPr>
      <w:r>
        <w:rPr>
          <w:color w:val="000000"/>
          <w:kern w:val="44"/>
          <w:szCs w:val="24"/>
        </w:rPr>
        <w:t>拟建项目排放的污染物应根据渝环发〔2017〕249号《重庆市环境保护局关于印发重庆市工业企业排污权有偿使用和交易工作实施细则的通知》的要求进行落实。</w:t>
      </w:r>
    </w:p>
    <w:p w14:paraId="7C64D402">
      <w:pPr>
        <w:ind w:firstLine="480"/>
        <w:rPr>
          <w:color w:val="000000"/>
          <w:szCs w:val="24"/>
        </w:rPr>
      </w:pPr>
      <w:r>
        <w:rPr>
          <w:color w:val="000000"/>
          <w:szCs w:val="24"/>
        </w:rPr>
        <w:t>①本项目污染物总量：</w:t>
      </w:r>
    </w:p>
    <w:p w14:paraId="4A752401">
      <w:pPr>
        <w:ind w:firstLine="480"/>
        <w:rPr>
          <w:color w:val="000000"/>
          <w:szCs w:val="24"/>
        </w:rPr>
      </w:pPr>
      <w:r>
        <w:rPr>
          <w:color w:val="000000"/>
          <w:szCs w:val="24"/>
        </w:rPr>
        <w:t>废水（排入环境）：COD 0.018t/a，NH</w:t>
      </w:r>
      <w:r>
        <w:rPr>
          <w:color w:val="000000"/>
          <w:szCs w:val="24"/>
          <w:vertAlign w:val="subscript"/>
        </w:rPr>
        <w:t>3</w:t>
      </w:r>
      <w:r>
        <w:rPr>
          <w:color w:val="000000"/>
          <w:szCs w:val="24"/>
        </w:rPr>
        <w:t>-N 0.002t/a；</w:t>
      </w:r>
    </w:p>
    <w:p w14:paraId="4F94FA9B">
      <w:pPr>
        <w:ind w:firstLine="480"/>
        <w:rPr>
          <w:color w:val="000000"/>
          <w:szCs w:val="24"/>
        </w:rPr>
      </w:pPr>
      <w:r>
        <w:rPr>
          <w:color w:val="000000"/>
          <w:szCs w:val="24"/>
        </w:rPr>
        <w:t>②扩建后全厂污染物总量：</w:t>
      </w:r>
    </w:p>
    <w:p w14:paraId="36DC42A0">
      <w:pPr>
        <w:ind w:firstLine="480"/>
        <w:rPr>
          <w:color w:val="000000"/>
          <w:szCs w:val="24"/>
        </w:rPr>
      </w:pPr>
      <w:r>
        <w:rPr>
          <w:color w:val="000000"/>
          <w:szCs w:val="24"/>
        </w:rPr>
        <w:t>废水（排入环境）：COD 0.3</w:t>
      </w:r>
      <w:r>
        <w:rPr>
          <w:rFonts w:hint="eastAsia"/>
          <w:color w:val="000000"/>
          <w:szCs w:val="24"/>
        </w:rPr>
        <w:t>2</w:t>
      </w:r>
      <w:r>
        <w:rPr>
          <w:color w:val="000000"/>
          <w:szCs w:val="24"/>
        </w:rPr>
        <w:t>13t/a，NH</w:t>
      </w:r>
      <w:r>
        <w:rPr>
          <w:color w:val="000000"/>
          <w:szCs w:val="24"/>
          <w:vertAlign w:val="subscript"/>
        </w:rPr>
        <w:t>3</w:t>
      </w:r>
      <w:r>
        <w:rPr>
          <w:color w:val="000000"/>
          <w:szCs w:val="24"/>
        </w:rPr>
        <w:t>-N 0.0</w:t>
      </w:r>
      <w:r>
        <w:rPr>
          <w:rFonts w:hint="eastAsia"/>
          <w:color w:val="000000"/>
          <w:szCs w:val="24"/>
        </w:rPr>
        <w:t>32</w:t>
      </w:r>
      <w:r>
        <w:rPr>
          <w:color w:val="000000"/>
          <w:szCs w:val="24"/>
        </w:rPr>
        <w:t>t/a；</w:t>
      </w:r>
    </w:p>
    <w:p w14:paraId="131FC953">
      <w:pPr>
        <w:ind w:firstLine="480"/>
        <w:rPr>
          <w:color w:val="000000"/>
          <w:szCs w:val="24"/>
        </w:rPr>
      </w:pPr>
      <w:r>
        <w:rPr>
          <w:color w:val="000000"/>
          <w:szCs w:val="24"/>
        </w:rPr>
        <w:t>废气：SO</w:t>
      </w:r>
      <w:r>
        <w:rPr>
          <w:color w:val="000000"/>
          <w:szCs w:val="24"/>
          <w:vertAlign w:val="subscript"/>
        </w:rPr>
        <w:t>2</w:t>
      </w:r>
      <w:r>
        <w:rPr>
          <w:color w:val="000000"/>
          <w:szCs w:val="24"/>
        </w:rPr>
        <w:t xml:space="preserve"> 0.03t/a，NO</w:t>
      </w:r>
      <w:r>
        <w:rPr>
          <w:color w:val="000000"/>
          <w:szCs w:val="24"/>
          <w:vertAlign w:val="subscript"/>
        </w:rPr>
        <w:t>X</w:t>
      </w:r>
      <w:r>
        <w:rPr>
          <w:color w:val="000000"/>
          <w:szCs w:val="24"/>
        </w:rPr>
        <w:t>0.18t/a。</w:t>
      </w:r>
    </w:p>
    <w:p w14:paraId="5D7E0672">
      <w:pPr>
        <w:pStyle w:val="43"/>
        <w:ind w:left="480"/>
        <w:rPr>
          <w:color w:val="000000"/>
        </w:rPr>
      </w:pPr>
    </w:p>
    <w:p w14:paraId="00689857">
      <w:pPr>
        <w:pStyle w:val="43"/>
        <w:ind w:left="480"/>
        <w:rPr>
          <w:color w:val="000000"/>
        </w:rPr>
        <w:sectPr>
          <w:pgSz w:w="11905" w:h="16838"/>
          <w:pgMar w:top="1440" w:right="1803" w:bottom="1440" w:left="1803" w:header="850" w:footer="907" w:gutter="0"/>
          <w:cols w:space="720" w:num="1"/>
          <w:docGrid w:type="lines" w:linePitch="332" w:charSpace="0"/>
        </w:sectPr>
      </w:pPr>
    </w:p>
    <w:p w14:paraId="594061F0">
      <w:pPr>
        <w:pStyle w:val="781"/>
        <w:rPr>
          <w:color w:val="000000"/>
        </w:rPr>
      </w:pPr>
      <w:bookmarkStart w:id="854" w:name="_Toc1169"/>
      <w:r>
        <w:rPr>
          <w:color w:val="000000"/>
        </w:rPr>
        <w:t>10结论及建议</w:t>
      </w:r>
      <w:bookmarkEnd w:id="854"/>
    </w:p>
    <w:p w14:paraId="0D3DFCFC">
      <w:pPr>
        <w:pStyle w:val="770"/>
        <w:rPr>
          <w:color w:val="000000"/>
        </w:rPr>
      </w:pPr>
      <w:bookmarkStart w:id="855" w:name="_Toc22623"/>
      <w:r>
        <w:rPr>
          <w:color w:val="000000"/>
        </w:rPr>
        <w:t>10.1结论</w:t>
      </w:r>
      <w:bookmarkEnd w:id="855"/>
    </w:p>
    <w:p w14:paraId="39AB2C7B">
      <w:pPr>
        <w:keepNext/>
        <w:keepLines/>
        <w:outlineLvl w:val="2"/>
        <w:rPr>
          <w:bCs/>
          <w:color w:val="000000"/>
          <w:szCs w:val="24"/>
        </w:rPr>
      </w:pPr>
      <w:r>
        <w:rPr>
          <w:bCs/>
          <w:color w:val="000000"/>
          <w:szCs w:val="24"/>
        </w:rPr>
        <w:t>10.1.1项目概况</w:t>
      </w:r>
    </w:p>
    <w:p w14:paraId="42F4A4B7">
      <w:pPr>
        <w:ind w:firstLine="480" w:firstLineChars="200"/>
        <w:rPr>
          <w:color w:val="000000"/>
        </w:rPr>
      </w:pPr>
      <w:r>
        <w:rPr>
          <w:color w:val="000000"/>
        </w:rPr>
        <w:t>重庆涪陵中石化通汇天然气液化工厂采用中石化开发的低能耗天然气液化技术，以LNG工厂现LNG储罐闪蒸气（即BOG尾气）为原料回收高纯氦气，具有极高的战略意义和经济价值。2021年9月重庆中石化通汇能源有限公司向涪陵区发展改革委员会申请了涪陵LNG工厂增设BOG尾气提氦改扩建项目建议书，于2021年12月获得了重庆市涪陵区发展和改革委员会下发的重庆市企业投资项目备案证（2107-500102-04-02-373372）。</w:t>
      </w:r>
    </w:p>
    <w:p w14:paraId="3A6953BE">
      <w:pPr>
        <w:ind w:firstLine="480" w:firstLineChars="200"/>
        <w:rPr>
          <w:color w:val="000000"/>
        </w:rPr>
      </w:pPr>
      <w:r>
        <w:rPr>
          <w:color w:val="000000"/>
        </w:rPr>
        <w:t>重庆中石化通汇能源有限公司依托现涪陵LNG工厂现场条件，投资5321万元利用LNG工厂现LNG储罐闪蒸气（即BOG尾气）为原料生产高纯氦气。项目主要有提氦装置区、装车及储存单元以及配套辅助工程、储运工程等组成，生产5N级氦气20 吨/年（以产品计）。</w:t>
      </w:r>
    </w:p>
    <w:p w14:paraId="563DC9C3">
      <w:pPr>
        <w:keepNext/>
        <w:keepLines/>
        <w:outlineLvl w:val="2"/>
        <w:rPr>
          <w:bCs/>
          <w:color w:val="000000"/>
          <w:szCs w:val="24"/>
        </w:rPr>
      </w:pPr>
      <w:r>
        <w:rPr>
          <w:bCs/>
          <w:color w:val="000000"/>
          <w:szCs w:val="24"/>
        </w:rPr>
        <w:t>10.1.2产业政策及规划符合性</w:t>
      </w:r>
    </w:p>
    <w:p w14:paraId="051D315C">
      <w:pPr>
        <w:ind w:firstLine="480"/>
        <w:rPr>
          <w:color w:val="000000"/>
        </w:rPr>
      </w:pPr>
      <w:r>
        <w:rPr>
          <w:color w:val="000000"/>
          <w:kern w:val="0"/>
        </w:rPr>
        <w:t>本项目不属于《产业结构调整指导目录（2019 年本）》中的鼓励类、限制类和淘汰类建设</w:t>
      </w:r>
      <w:r>
        <w:rPr>
          <w:rFonts w:hint="eastAsia"/>
          <w:color w:val="000000"/>
          <w:kern w:val="0"/>
          <w:lang w:eastAsia="zh-CN"/>
        </w:rPr>
        <w:t>项目</w:t>
      </w:r>
      <w:r>
        <w:rPr>
          <w:color w:val="000000"/>
          <w:kern w:val="0"/>
        </w:rPr>
        <w:t>，属于允许类，本项目已获得了重庆市涪陵区发展和改革委员会下发的重庆市企业投资项目备案证（2107-500102-04-02-373372）</w:t>
      </w:r>
      <w:r>
        <w:rPr>
          <w:color w:val="000000"/>
        </w:rPr>
        <w:t>。</w:t>
      </w:r>
    </w:p>
    <w:p w14:paraId="330190D7">
      <w:pPr>
        <w:ind w:firstLine="480" w:firstLineChars="200"/>
        <w:rPr>
          <w:color w:val="000000"/>
        </w:rPr>
      </w:pPr>
      <w:r>
        <w:rPr>
          <w:color w:val="000000"/>
        </w:rPr>
        <w:t>本项目在现有LNG工厂内建设，不新征用土地，用地性质为工业用地，符合用地规划。项目符合国家产业政策、产业规划及环保规划的相关要求，符合</w:t>
      </w:r>
      <w:r>
        <w:rPr>
          <w:color w:val="000000"/>
          <w:szCs w:val="24"/>
        </w:rPr>
        <w:t>气、水、土、地下水等污染防治政策</w:t>
      </w:r>
      <w:r>
        <w:rPr>
          <w:color w:val="000000"/>
        </w:rPr>
        <w:t>；符合</w:t>
      </w:r>
      <w:r>
        <w:rPr>
          <w:bCs/>
          <w:snapToGrid w:val="0"/>
          <w:color w:val="000000"/>
          <w:szCs w:val="24"/>
        </w:rPr>
        <w:t>《中华人民共和国长江保护法》、</w:t>
      </w:r>
      <w:r>
        <w:rPr>
          <w:color w:val="000000"/>
        </w:rPr>
        <w:t>《长江经济带生态环境保护规划》、《长江经济带发展负面清单指南（试行，2022年版）》、《重庆市长江经济带发展负面清单实施细则（试行）》文件的要求；符合《重庆白涛化工园区规划修编环境影响报告书》及审查意见、“三线一单”的要求。</w:t>
      </w:r>
    </w:p>
    <w:p w14:paraId="5A9AA45F">
      <w:pPr>
        <w:keepNext/>
        <w:keepLines/>
        <w:outlineLvl w:val="2"/>
        <w:rPr>
          <w:bCs/>
          <w:color w:val="000000"/>
          <w:szCs w:val="24"/>
        </w:rPr>
      </w:pPr>
      <w:r>
        <w:rPr>
          <w:bCs/>
          <w:color w:val="000000"/>
          <w:szCs w:val="24"/>
        </w:rPr>
        <w:t>10.1.3环境质量现状</w:t>
      </w:r>
    </w:p>
    <w:p w14:paraId="4109EC69">
      <w:pPr>
        <w:tabs>
          <w:tab w:val="left" w:pos="993"/>
        </w:tabs>
        <w:ind w:firstLine="480"/>
        <w:rPr>
          <w:color w:val="000000"/>
          <w:szCs w:val="24"/>
        </w:rPr>
      </w:pPr>
      <w:r>
        <w:rPr>
          <w:color w:val="000000"/>
          <w:szCs w:val="24"/>
        </w:rPr>
        <w:t>环境空气：2020年涪陵区环境空气中各污染物年均值达标，项目所在区域为达标区。</w:t>
      </w:r>
    </w:p>
    <w:p w14:paraId="49804E9C">
      <w:pPr>
        <w:tabs>
          <w:tab w:val="left" w:pos="993"/>
        </w:tabs>
        <w:ind w:firstLine="480"/>
        <w:rPr>
          <w:color w:val="000000"/>
          <w:szCs w:val="24"/>
        </w:rPr>
      </w:pPr>
      <w:r>
        <w:rPr>
          <w:color w:val="000000"/>
          <w:szCs w:val="24"/>
        </w:rPr>
        <w:t>地表水：本项目受纳水体为乌江，根据乌江的市控考核断面白涛断面和乌江麻柳嘴断面监测数据结果显示，各现状监测因子均符合《地表水环境质量标准》（GB3838-2002）Ⅲ类标准的要求。</w:t>
      </w:r>
    </w:p>
    <w:p w14:paraId="3632CBAB">
      <w:pPr>
        <w:tabs>
          <w:tab w:val="left" w:pos="993"/>
        </w:tabs>
        <w:ind w:firstLine="480"/>
        <w:rPr>
          <w:color w:val="000000"/>
          <w:szCs w:val="24"/>
        </w:rPr>
      </w:pPr>
      <w:r>
        <w:rPr>
          <w:color w:val="000000"/>
          <w:szCs w:val="24"/>
        </w:rPr>
        <w:t>地下水：</w:t>
      </w:r>
      <w:r>
        <w:rPr>
          <w:color w:val="000000"/>
        </w:rPr>
        <w:t>本次地下水环境现状监测数据引用天航（监）字【2020】第QTRJ0104DE 监测报告3个地下水环境质量现状监测点位（HS1、HS2、HS3）监测数据，以及九升（监）字【2019】第WT4158监测报告2个地下水环境质量现状监测点位（FX1、FX2）监测数据进行评价，引用的监测点均位于本项目所在的水文地质单元内</w:t>
      </w:r>
      <w:r>
        <w:rPr>
          <w:color w:val="000000"/>
          <w:szCs w:val="24"/>
        </w:rPr>
        <w:t>，其各项监测指标均满足《地下水质量标准》（GB/T14848-2017）中的III类水质标准，说明评价区域地下水环境质量现状较好。</w:t>
      </w:r>
    </w:p>
    <w:p w14:paraId="6E26676B">
      <w:pPr>
        <w:tabs>
          <w:tab w:val="left" w:pos="993"/>
        </w:tabs>
        <w:ind w:firstLine="480"/>
        <w:rPr>
          <w:color w:val="000000"/>
          <w:szCs w:val="24"/>
        </w:rPr>
      </w:pPr>
      <w:r>
        <w:rPr>
          <w:color w:val="000000"/>
          <w:szCs w:val="24"/>
        </w:rPr>
        <w:t>声学环境：根据实地监测结果，项目区域声环境质量现状昼、夜间等效声级均能满足《声环境质量标准（GB3096-2008）》3类标准要求，区域声环境现状较好。</w:t>
      </w:r>
    </w:p>
    <w:p w14:paraId="79D6EA21">
      <w:pPr>
        <w:tabs>
          <w:tab w:val="left" w:pos="993"/>
        </w:tabs>
        <w:ind w:firstLine="480"/>
        <w:rPr>
          <w:color w:val="000000"/>
        </w:rPr>
      </w:pPr>
      <w:r>
        <w:rPr>
          <w:color w:val="000000"/>
          <w:szCs w:val="24"/>
        </w:rPr>
        <w:t>土壤环境：根据实地监测结果和</w:t>
      </w:r>
      <w:r>
        <w:rPr>
          <w:rFonts w:hint="eastAsia"/>
          <w:color w:val="000000"/>
          <w:szCs w:val="24"/>
        </w:rPr>
        <w:t>引用</w:t>
      </w:r>
      <w:r>
        <w:rPr>
          <w:color w:val="000000"/>
        </w:rPr>
        <w:t>天航（监）字【2020】第QTPJ0197号中的 T4、T14土壤监测点监测数据</w:t>
      </w:r>
      <w:r>
        <w:rPr>
          <w:color w:val="000000"/>
          <w:szCs w:val="24"/>
        </w:rPr>
        <w:t>，土壤环境现状值均满足《土壤环境质量 建设用地土壤污染风险管控标准（试行）》（GB36600-2018）第二类用地筛选值标准，土壤环境质量现状较好。</w:t>
      </w:r>
    </w:p>
    <w:p w14:paraId="01049BE5">
      <w:pPr>
        <w:keepNext/>
        <w:keepLines/>
        <w:outlineLvl w:val="2"/>
        <w:rPr>
          <w:bCs/>
          <w:color w:val="000000"/>
          <w:szCs w:val="24"/>
        </w:rPr>
      </w:pPr>
      <w:r>
        <w:rPr>
          <w:bCs/>
          <w:color w:val="000000"/>
          <w:szCs w:val="24"/>
        </w:rPr>
        <w:t>10.1.4自然环境概况及环境敏感目标调查</w:t>
      </w:r>
    </w:p>
    <w:p w14:paraId="550EECB5">
      <w:pPr>
        <w:ind w:firstLine="480"/>
        <w:rPr>
          <w:color w:val="000000"/>
          <w:szCs w:val="24"/>
        </w:rPr>
      </w:pPr>
      <w:r>
        <w:rPr>
          <w:color w:val="000000"/>
          <w:szCs w:val="24"/>
        </w:rPr>
        <w:t>本项目位于</w:t>
      </w:r>
      <w:r>
        <w:rPr>
          <w:color w:val="000000"/>
        </w:rPr>
        <w:t>重庆白涛化工园区</w:t>
      </w:r>
      <w:r>
        <w:rPr>
          <w:color w:val="000000"/>
          <w:szCs w:val="24"/>
        </w:rPr>
        <w:t>，周边均为已建及规划工业企业。</w:t>
      </w:r>
      <w:r>
        <w:rPr>
          <w:color w:val="000000"/>
        </w:rPr>
        <w:t>项目评价范围不涉及自然保护区、风景名胜、森林公园、地表水饮用水源保护区等，也不涉及集中地下水饮用水源、特殊地下水资源。环境敏感目标主要为周边官桥村、新立村、油坊村等的散户居民以及学校等，地表水保护目标为后溪河、乌江。</w:t>
      </w:r>
    </w:p>
    <w:p w14:paraId="2B68AB0B">
      <w:pPr>
        <w:keepNext/>
        <w:keepLines/>
        <w:outlineLvl w:val="2"/>
        <w:rPr>
          <w:bCs/>
          <w:color w:val="000000"/>
          <w:szCs w:val="24"/>
        </w:rPr>
      </w:pPr>
      <w:r>
        <w:rPr>
          <w:bCs/>
          <w:color w:val="000000"/>
          <w:szCs w:val="24"/>
        </w:rPr>
        <w:t>10.1.5环境保护措施及环境影响</w:t>
      </w:r>
    </w:p>
    <w:p w14:paraId="41CCDDDF">
      <w:pPr>
        <w:ind w:firstLine="480"/>
        <w:rPr>
          <w:color w:val="000000"/>
          <w:szCs w:val="24"/>
        </w:rPr>
      </w:pPr>
      <w:r>
        <w:rPr>
          <w:color w:val="000000"/>
          <w:szCs w:val="24"/>
        </w:rPr>
        <w:t>（1）废气治理措施及环境影响</w:t>
      </w:r>
    </w:p>
    <w:p w14:paraId="26324306">
      <w:pPr>
        <w:pStyle w:val="31"/>
        <w:spacing w:after="0"/>
        <w:ind w:firstLine="480" w:firstLineChars="200"/>
        <w:rPr>
          <w:color w:val="000000"/>
          <w:szCs w:val="24"/>
        </w:rPr>
      </w:pPr>
      <w:r>
        <w:rPr>
          <w:color w:val="000000"/>
          <w:szCs w:val="24"/>
        </w:rPr>
        <w:t>本项目废气主要包括压缩脱碳干燥再生尾气G1、深冷分离尾气G2、吸附脱氢再生尾气G3、脱碳干燥再生尾气G4。</w:t>
      </w:r>
    </w:p>
    <w:p w14:paraId="3C8E0882">
      <w:pPr>
        <w:pStyle w:val="2"/>
        <w:spacing w:after="0" w:line="360" w:lineRule="auto"/>
        <w:ind w:left="0" w:leftChars="0" w:firstLine="480"/>
        <w:rPr>
          <w:rFonts w:ascii="Times New Roman" w:hAnsi="Times New Roman" w:cs="Times New Roman"/>
          <w:color w:val="000000"/>
          <w:sz w:val="24"/>
        </w:rPr>
      </w:pPr>
      <w:r>
        <w:rPr>
          <w:rFonts w:ascii="Times New Roman" w:hAnsi="Times New Roman" w:cs="Times New Roman"/>
          <w:color w:val="000000"/>
          <w:sz w:val="24"/>
        </w:rPr>
        <w:t>压缩脱碳干燥再生尾气G1，主要成分为甲烷、氮气，及少量吹脱的水、二氧化碳依托火炬系统燃烧后排放；深冷分离尾气G2，主要成分为甲烷、氮气，部分用作压缩脱碳再生气，另外部分与G1尾气依托现有火炬燃烧后排放；吸附脱氢再生尾气G3，主要成分为氮气及少量氧气，基本无污染，直接放空；脱碳干燥尾气G4，主要成分为氮气及吹脱的水、二氧化碳，基本无污染，直接放空。由于G1、G2尾气为BOG尾气提氦后的剩余组分，去火炬燃烧的方式与现有工程BOG尾气处置方式一致，故火炬烟气的排放情况几乎不变，故火炬烟气的排放情况几乎不变，满足《重庆市大气污染物综合排放标准》（DB50/418-2016）要求。因此，本项目废气经治理后对周边环境空气质量影响不大。</w:t>
      </w:r>
    </w:p>
    <w:p w14:paraId="00E4D54D">
      <w:pPr>
        <w:ind w:firstLine="480"/>
        <w:rPr>
          <w:color w:val="000000"/>
          <w:szCs w:val="24"/>
        </w:rPr>
      </w:pPr>
      <w:r>
        <w:rPr>
          <w:color w:val="000000"/>
          <w:szCs w:val="24"/>
        </w:rPr>
        <w:t>（2）废水治理措施及环境影响</w:t>
      </w:r>
    </w:p>
    <w:p w14:paraId="488D8338">
      <w:pPr>
        <w:ind w:firstLine="480"/>
        <w:rPr>
          <w:color w:val="000000"/>
          <w:szCs w:val="24"/>
        </w:rPr>
      </w:pPr>
      <w:r>
        <w:rPr>
          <w:color w:val="000000"/>
          <w:szCs w:val="24"/>
        </w:rPr>
        <w:t>本项目废水主要生产废水、生活污水。其中生产废水主要为生产装置催化燃烧脱氢中氢气和氧气发生反应生成的水经冷却器冷凝析出，产生冷凝水W1，该部分水量约为0.0056m</w:t>
      </w:r>
      <w:r>
        <w:rPr>
          <w:color w:val="000000"/>
          <w:szCs w:val="24"/>
          <w:vertAlign w:val="superscript"/>
        </w:rPr>
        <w:t>3</w:t>
      </w:r>
      <w:r>
        <w:rPr>
          <w:color w:val="000000"/>
          <w:szCs w:val="24"/>
        </w:rPr>
        <w:t>/h，污染物主要为SS、COD等，污染物浓度与生活污水中SS、COD浓度接近。本项目生活污水来自员工日常生活污水，产生量为0.54m</w:t>
      </w:r>
      <w:r>
        <w:rPr>
          <w:color w:val="000000"/>
          <w:szCs w:val="24"/>
          <w:vertAlign w:val="superscript"/>
        </w:rPr>
        <w:t>3</w:t>
      </w:r>
      <w:r>
        <w:rPr>
          <w:color w:val="000000"/>
          <w:szCs w:val="24"/>
        </w:rPr>
        <w:t>/d，产生量较小，污染物为COD、BOD</w:t>
      </w:r>
      <w:r>
        <w:rPr>
          <w:color w:val="000000"/>
          <w:szCs w:val="24"/>
          <w:vertAlign w:val="subscript"/>
        </w:rPr>
        <w:t>5</w:t>
      </w:r>
      <w:r>
        <w:rPr>
          <w:color w:val="000000"/>
          <w:szCs w:val="24"/>
        </w:rPr>
        <w:t>、NH</w:t>
      </w:r>
      <w:r>
        <w:rPr>
          <w:color w:val="000000"/>
          <w:szCs w:val="24"/>
          <w:vertAlign w:val="subscript"/>
        </w:rPr>
        <w:t>3</w:t>
      </w:r>
      <w:r>
        <w:rPr>
          <w:color w:val="000000"/>
          <w:szCs w:val="24"/>
        </w:rPr>
        <w:t>-N、SS</w:t>
      </w:r>
      <w:r>
        <w:rPr>
          <w:rFonts w:hint="eastAsia"/>
          <w:color w:val="000000"/>
          <w:szCs w:val="24"/>
        </w:rPr>
        <w:t>。生产废水依托LNG工厂生产废水池处理后进入生产废水提升池、生活污水依托LNG工厂现有化粪池处理后进入生活污水提升池，分别经泵提升后在界区内汇合后统一输送至园区潘家坝污水处理厂处理</w:t>
      </w:r>
      <w:r>
        <w:rPr>
          <w:color w:val="000000"/>
          <w:szCs w:val="24"/>
        </w:rPr>
        <w:t>。</w:t>
      </w:r>
    </w:p>
    <w:p w14:paraId="51E6F258">
      <w:pPr>
        <w:ind w:firstLine="480"/>
        <w:rPr>
          <w:color w:val="000000"/>
          <w:kern w:val="0"/>
          <w:szCs w:val="24"/>
        </w:rPr>
      </w:pPr>
      <w:r>
        <w:rPr>
          <w:color w:val="000000"/>
        </w:rPr>
        <w:t>从规模、技术、处理效果等方面分析，本项目废水依托厂区现有污水处理设施，</w:t>
      </w:r>
      <w:r>
        <w:rPr>
          <w:color w:val="000000"/>
          <w:szCs w:val="24"/>
        </w:rPr>
        <w:t>潘家坝污水处理厂</w:t>
      </w:r>
      <w:r>
        <w:rPr>
          <w:color w:val="000000"/>
        </w:rPr>
        <w:t>处理是可行的，废水对乌江水质的影响很小，环境可以接受。</w:t>
      </w:r>
    </w:p>
    <w:p w14:paraId="19E3FED9">
      <w:pPr>
        <w:ind w:firstLine="480"/>
        <w:rPr>
          <w:color w:val="000000"/>
          <w:szCs w:val="24"/>
        </w:rPr>
      </w:pPr>
      <w:r>
        <w:rPr>
          <w:color w:val="000000"/>
          <w:szCs w:val="24"/>
        </w:rPr>
        <w:t>（3）噪声治理措施及环境影响</w:t>
      </w:r>
    </w:p>
    <w:p w14:paraId="182451C2">
      <w:pPr>
        <w:tabs>
          <w:tab w:val="left" w:pos="993"/>
        </w:tabs>
        <w:ind w:firstLine="480"/>
        <w:rPr>
          <w:bCs/>
          <w:color w:val="000000"/>
          <w:szCs w:val="24"/>
        </w:rPr>
      </w:pPr>
      <w:r>
        <w:rPr>
          <w:color w:val="000000"/>
        </w:rPr>
        <w:t>本项目运营期的噪声源主要为压缩机、各种泵类等，主要噪声声压级在75～100dB（A）之间，本项目选用低噪声设备，对设备采取建筑隔声、基础减振、消声，在厂区进行合理布局等措施，</w:t>
      </w:r>
      <w:r>
        <w:rPr>
          <w:color w:val="000000"/>
          <w:szCs w:val="24"/>
        </w:rPr>
        <w:t>降噪效果在20dB（A）左右</w:t>
      </w:r>
      <w:r>
        <w:rPr>
          <w:bCs/>
          <w:color w:val="000000"/>
          <w:szCs w:val="24"/>
        </w:rPr>
        <w:t>。</w:t>
      </w:r>
    </w:p>
    <w:p w14:paraId="10A78970">
      <w:pPr>
        <w:tabs>
          <w:tab w:val="left" w:pos="993"/>
        </w:tabs>
        <w:ind w:firstLine="480"/>
        <w:rPr>
          <w:color w:val="000000"/>
        </w:rPr>
      </w:pPr>
      <w:r>
        <w:rPr>
          <w:bCs/>
          <w:color w:val="000000"/>
          <w:szCs w:val="24"/>
        </w:rPr>
        <w:t>以上措施成熟、可靠，</w:t>
      </w:r>
      <w:r>
        <w:rPr>
          <w:color w:val="000000"/>
          <w:szCs w:val="24"/>
        </w:rPr>
        <w:t>根据预测，厂界噪声满足《工业企业厂界环境噪声排放标准》（GB12348-2008）3类标准要求。</w:t>
      </w:r>
      <w:r>
        <w:rPr>
          <w:color w:val="000000"/>
        </w:rPr>
        <w:t>项目厂界周边200m无声环境敏感点分布，对周边居民声环境质量影响不大。</w:t>
      </w:r>
    </w:p>
    <w:p w14:paraId="572C194E">
      <w:pPr>
        <w:ind w:firstLine="480"/>
        <w:rPr>
          <w:color w:val="000000"/>
          <w:kern w:val="0"/>
          <w:szCs w:val="24"/>
        </w:rPr>
      </w:pPr>
      <w:r>
        <w:rPr>
          <w:color w:val="000000"/>
          <w:kern w:val="0"/>
          <w:szCs w:val="24"/>
        </w:rPr>
        <w:t>（4）固体废物处置措施及环境影响</w:t>
      </w:r>
    </w:p>
    <w:p w14:paraId="44AF7093">
      <w:pPr>
        <w:widowControl w:val="0"/>
        <w:ind w:firstLine="480" w:firstLineChars="200"/>
        <w:rPr>
          <w:color w:val="000000"/>
        </w:rPr>
      </w:pPr>
      <w:r>
        <w:rPr>
          <w:color w:val="000000"/>
        </w:rPr>
        <w:t>本项目固体废物主要为一般工业固体废物、危险废物和生活垃圾。其中一般工业固体废物包括废干燥剂、废过滤膜、吸附脱氢废催化剂、低温精制废吸附剂、废瓷球等；危险废物为催化脱氢废催化剂等。</w:t>
      </w:r>
    </w:p>
    <w:p w14:paraId="528FB632">
      <w:pPr>
        <w:pStyle w:val="31"/>
        <w:spacing w:after="0"/>
        <w:ind w:firstLine="480" w:firstLineChars="200"/>
        <w:rPr>
          <w:color w:val="000000"/>
        </w:rPr>
      </w:pPr>
      <w:r>
        <w:rPr>
          <w:color w:val="000000"/>
        </w:rPr>
        <w:t>一般工业固体废物总产生量约为1.6536t/a，可依托LNG工厂现有9m</w:t>
      </w:r>
      <w:r>
        <w:rPr>
          <w:color w:val="000000"/>
          <w:vertAlign w:val="superscript"/>
        </w:rPr>
        <w:t>2</w:t>
      </w:r>
      <w:r>
        <w:rPr>
          <w:color w:val="000000"/>
        </w:rPr>
        <w:t xml:space="preserve">的一般固废暂存间暂存后交由回收单位，由于本项目固废产生周期较长，且与现有工程产废周期不冲突，故现有一般固废暂存间能够满足本项目对固废暂存的需求，一般固废暂存点其贮存过程已采取相应的防渗漏、防雨淋、防扬尘等措施。 </w:t>
      </w:r>
    </w:p>
    <w:p w14:paraId="44F384F8">
      <w:pPr>
        <w:pStyle w:val="31"/>
        <w:spacing w:after="0"/>
        <w:ind w:firstLine="480" w:firstLineChars="200"/>
        <w:rPr>
          <w:color w:val="000000"/>
        </w:rPr>
      </w:pPr>
      <w:r>
        <w:rPr>
          <w:color w:val="000000"/>
        </w:rPr>
        <w:t>本项目危险废物主要为催化燃烧脱氢废催化剂，每2年更换一次，产生量为0.4135t/a，密闭罐可暂存于LNG工厂现有危废暂存间（53.76m</w:t>
      </w:r>
      <w:r>
        <w:rPr>
          <w:color w:val="000000"/>
          <w:vertAlign w:val="superscript"/>
        </w:rPr>
        <w:t>2</w:t>
      </w:r>
      <w:r>
        <w:rPr>
          <w:color w:val="000000"/>
        </w:rPr>
        <w:t>），后交危废资质单位处置。LNG工厂现有1个的危废暂存间满足《危险废物贮存污染控制标准》（GB 18597-2001）及其修改单要求。目前危废暂存间仅暂存少量实验室废液及废机油等，占用面积约13.76m</w:t>
      </w:r>
      <w:r>
        <w:rPr>
          <w:color w:val="000000"/>
          <w:vertAlign w:val="superscript"/>
        </w:rPr>
        <w:t>2</w:t>
      </w:r>
      <w:r>
        <w:rPr>
          <w:color w:val="000000"/>
        </w:rPr>
        <w:t>，富余面积40m</w:t>
      </w:r>
      <w:r>
        <w:rPr>
          <w:color w:val="000000"/>
          <w:vertAlign w:val="superscript"/>
        </w:rPr>
        <w:t>2</w:t>
      </w:r>
      <w:r>
        <w:rPr>
          <w:color w:val="000000"/>
        </w:rPr>
        <w:t>，本项目危废产生周期较少</w:t>
      </w:r>
      <w:bookmarkStart w:id="857" w:name="_GoBack"/>
      <w:bookmarkEnd w:id="857"/>
      <w:r>
        <w:rPr>
          <w:color w:val="000000"/>
        </w:rPr>
        <w:t>，即产即运，故现有危废暂存间能够满足本项目对危废暂存的需求。</w:t>
      </w:r>
    </w:p>
    <w:p w14:paraId="19443610">
      <w:pPr>
        <w:pStyle w:val="31"/>
        <w:spacing w:after="0"/>
        <w:ind w:firstLine="480" w:firstLineChars="200"/>
        <w:rPr>
          <w:color w:val="000000"/>
          <w:szCs w:val="24"/>
        </w:rPr>
      </w:pPr>
      <w:r>
        <w:rPr>
          <w:color w:val="000000"/>
        </w:rPr>
        <w:t>生活垃圾统一收集后交由当地环卫部门处理。</w:t>
      </w:r>
    </w:p>
    <w:p w14:paraId="53514DC6">
      <w:pPr>
        <w:ind w:firstLine="480"/>
        <w:rPr>
          <w:color w:val="000000"/>
          <w:kern w:val="0"/>
          <w:szCs w:val="24"/>
        </w:rPr>
      </w:pPr>
      <w:r>
        <w:rPr>
          <w:color w:val="000000"/>
          <w:kern w:val="0"/>
          <w:szCs w:val="24"/>
        </w:rPr>
        <w:t>以上处理措施是合理、可行的，可以保证固体废弃物的有效处置，不会产生明显的二次污染影响问题。</w:t>
      </w:r>
    </w:p>
    <w:p w14:paraId="2851FF39">
      <w:pPr>
        <w:ind w:firstLine="480"/>
        <w:rPr>
          <w:color w:val="000000"/>
          <w:kern w:val="0"/>
          <w:szCs w:val="24"/>
        </w:rPr>
      </w:pPr>
      <w:r>
        <w:rPr>
          <w:color w:val="000000"/>
          <w:kern w:val="0"/>
          <w:szCs w:val="24"/>
        </w:rPr>
        <w:t>（5）地下水污染防治措施及环境影响</w:t>
      </w:r>
    </w:p>
    <w:p w14:paraId="78BD554B">
      <w:pPr>
        <w:tabs>
          <w:tab w:val="left" w:pos="993"/>
        </w:tabs>
        <w:ind w:firstLine="480"/>
        <w:rPr>
          <w:color w:val="000000"/>
        </w:rPr>
      </w:pPr>
      <w:r>
        <w:rPr>
          <w:color w:val="000000"/>
        </w:rPr>
        <w:t>地下水污染防治措施坚持“源头控制、末端防治、污染监控、应急响应相结合”的原则，即采取主动控制和被动控制相结合的措施。</w:t>
      </w:r>
    </w:p>
    <w:p w14:paraId="22A6ACC2">
      <w:pPr>
        <w:ind w:firstLine="480"/>
        <w:rPr>
          <w:color w:val="000000"/>
        </w:rPr>
      </w:pPr>
      <w:r>
        <w:rPr>
          <w:color w:val="000000"/>
        </w:rPr>
        <w:t>本项目提氦装置区、废水收集管道等避开地下暗河通道、溶洞正上方</w:t>
      </w:r>
      <w:r>
        <w:rPr>
          <w:color w:val="000000"/>
          <w:szCs w:val="24"/>
        </w:rPr>
        <w:t>。对提氦装置区、污水收集设施及污水管沟进行重点防渗，装卸及储存单元进行一般防渗，其余区域为简单防渗，</w:t>
      </w:r>
      <w:r>
        <w:rPr>
          <w:color w:val="000000"/>
        </w:rPr>
        <w:t>在做好严格防渗措施及地下水水质监测方案，避免事故工况的发生，确保污染物泄漏进入地下水后第一时间采取措施进行控制和保护，进而确保地下水环境不受影响。</w:t>
      </w:r>
    </w:p>
    <w:p w14:paraId="516F2AC9">
      <w:pPr>
        <w:spacing w:before="31"/>
        <w:ind w:firstLine="480"/>
        <w:rPr>
          <w:color w:val="000000"/>
        </w:rPr>
      </w:pPr>
      <w:r>
        <w:rPr>
          <w:color w:val="000000"/>
        </w:rPr>
        <w:t>（6）</w:t>
      </w:r>
      <w:r>
        <w:rPr>
          <w:color w:val="000000"/>
          <w:kern w:val="0"/>
          <w:szCs w:val="24"/>
        </w:rPr>
        <w:t>土壤污染防治措施及环境影响</w:t>
      </w:r>
    </w:p>
    <w:p w14:paraId="64F9C04A">
      <w:pPr>
        <w:spacing w:before="31"/>
        <w:ind w:firstLine="480"/>
        <w:rPr>
          <w:color w:val="000000"/>
        </w:rPr>
      </w:pPr>
      <w:r>
        <w:rPr>
          <w:color w:val="000000"/>
        </w:rPr>
        <w:t>本项目对土壤的影响途径有大气沉降、垂直入渗、地面漫流。污染物通过大气沉降途径，对土壤环境影响较小。在落实分区防渗措施、事故废水防控措施的情况下，地面漫流对土壤影响较小。采取相应措施后通过垂直入、渗地面漫流途径对土壤环境影响较小。</w:t>
      </w:r>
    </w:p>
    <w:p w14:paraId="7FE1C1E0">
      <w:pPr>
        <w:ind w:firstLine="480"/>
        <w:rPr>
          <w:color w:val="000000"/>
          <w:kern w:val="0"/>
          <w:szCs w:val="24"/>
        </w:rPr>
      </w:pPr>
      <w:r>
        <w:rPr>
          <w:color w:val="000000"/>
          <w:kern w:val="0"/>
          <w:szCs w:val="24"/>
        </w:rPr>
        <w:t>（7）环境风险防范措施及环境影响</w:t>
      </w:r>
    </w:p>
    <w:p w14:paraId="788B559F">
      <w:pPr>
        <w:ind w:firstLine="480"/>
        <w:rPr>
          <w:color w:val="000000"/>
        </w:rPr>
      </w:pPr>
      <w:r>
        <w:rPr>
          <w:color w:val="000000"/>
        </w:rPr>
        <w:t>拟建项目涉及的危险物质主要为BOG尾气（含氢、甲烷等）、含甲烷尾气，对应的危险性生产系统为提氦装置区。考虑的风险事故为生产装置进料、放料、设备损坏、管线破损等造成气体泄漏，物料泄漏导致车间危险物质浓度超标或进入反应器内维检吸入蒸气，泄漏遇明火后发生火灾、爆炸产生的次生污染物。建设单位制定了环境风险应急预案，并报重庆市涪陵区环境保护局备案（环境风险评价报告备案编号：5001022021050003；突发环境事件应急预案备案编号：500102-2021-020-M）。在落实现有风险防控措施下，建设单位应重点针对新增项目区域平面布置、消防及工艺安全做好风险防控措施，提氦装置区、钢瓶充装区设边沟和收集井，与现有事故废水收集系统连通，防止事故发生时造成事故废水漫流的现象，在采取有效风险防范措施和修订应急预案后，风险处于环境可接受的水平。</w:t>
      </w:r>
    </w:p>
    <w:p w14:paraId="0D8128BF">
      <w:pPr>
        <w:keepNext/>
        <w:keepLines/>
        <w:outlineLvl w:val="2"/>
        <w:rPr>
          <w:bCs/>
          <w:color w:val="000000"/>
          <w:szCs w:val="24"/>
        </w:rPr>
      </w:pPr>
      <w:r>
        <w:rPr>
          <w:bCs/>
          <w:color w:val="000000"/>
          <w:szCs w:val="24"/>
        </w:rPr>
        <w:t>10.1.7环境影响经济损益分析</w:t>
      </w:r>
    </w:p>
    <w:p w14:paraId="20184A96">
      <w:pPr>
        <w:ind w:firstLine="480"/>
        <w:rPr>
          <w:color w:val="000000"/>
          <w:kern w:val="0"/>
          <w:szCs w:val="24"/>
        </w:rPr>
      </w:pPr>
      <w:r>
        <w:rPr>
          <w:color w:val="000000"/>
          <w:kern w:val="0"/>
          <w:szCs w:val="24"/>
        </w:rPr>
        <w:t>本项目环保措施效益与费用之比为</w:t>
      </w:r>
      <w:r>
        <w:rPr>
          <w:color w:val="000000"/>
        </w:rPr>
        <w:t>1.25</w:t>
      </w:r>
      <w:r>
        <w:rPr>
          <w:color w:val="000000"/>
          <w:kern w:val="0"/>
          <w:szCs w:val="24"/>
        </w:rPr>
        <w:t>，大于1，</w:t>
      </w:r>
      <w:r>
        <w:rPr>
          <w:bCs/>
          <w:color w:val="000000"/>
          <w:kern w:val="0"/>
          <w:szCs w:val="24"/>
        </w:rPr>
        <w:t>环境效益明显。</w:t>
      </w:r>
    </w:p>
    <w:p w14:paraId="1025F497">
      <w:pPr>
        <w:keepNext/>
        <w:keepLines/>
        <w:outlineLvl w:val="2"/>
        <w:rPr>
          <w:bCs/>
          <w:color w:val="000000"/>
          <w:szCs w:val="24"/>
        </w:rPr>
      </w:pPr>
      <w:r>
        <w:rPr>
          <w:bCs/>
          <w:color w:val="000000"/>
          <w:szCs w:val="24"/>
        </w:rPr>
        <w:t>10.1.8总量控制</w:t>
      </w:r>
    </w:p>
    <w:p w14:paraId="3951CA19">
      <w:pPr>
        <w:ind w:firstLine="480"/>
        <w:rPr>
          <w:color w:val="000000"/>
        </w:rPr>
      </w:pPr>
      <w:r>
        <w:rPr>
          <w:color w:val="000000"/>
          <w:kern w:val="0"/>
          <w:szCs w:val="24"/>
        </w:rPr>
        <w:t>本</w:t>
      </w:r>
      <w:r>
        <w:rPr>
          <w:color w:val="000000"/>
          <w:kern w:val="44"/>
          <w:szCs w:val="24"/>
        </w:rPr>
        <w:t>项目排放的污染物应根据渝环发〔2017〕249号《重庆市环境保护局关于印发重庆市工业企业排污权有偿使用和交易工作实施细则的通知》的要求进行落实。</w:t>
      </w:r>
    </w:p>
    <w:p w14:paraId="224E0CE9">
      <w:pPr>
        <w:ind w:firstLine="480"/>
        <w:rPr>
          <w:color w:val="000000"/>
          <w:szCs w:val="24"/>
        </w:rPr>
      </w:pPr>
      <w:r>
        <w:rPr>
          <w:color w:val="000000"/>
          <w:szCs w:val="24"/>
        </w:rPr>
        <w:t>①本项目污染物总量：</w:t>
      </w:r>
    </w:p>
    <w:p w14:paraId="51B571EF">
      <w:pPr>
        <w:ind w:firstLine="480"/>
        <w:rPr>
          <w:color w:val="000000"/>
          <w:szCs w:val="24"/>
        </w:rPr>
      </w:pPr>
      <w:r>
        <w:rPr>
          <w:color w:val="000000"/>
          <w:szCs w:val="24"/>
        </w:rPr>
        <w:t>废水（排入环境）：COD 0.018t/a，NH</w:t>
      </w:r>
      <w:r>
        <w:rPr>
          <w:color w:val="000000"/>
          <w:szCs w:val="24"/>
          <w:vertAlign w:val="subscript"/>
        </w:rPr>
        <w:t>3</w:t>
      </w:r>
      <w:r>
        <w:rPr>
          <w:color w:val="000000"/>
          <w:szCs w:val="24"/>
        </w:rPr>
        <w:t>-N 0.002t/a；</w:t>
      </w:r>
    </w:p>
    <w:p w14:paraId="3B58B568">
      <w:pPr>
        <w:ind w:firstLine="480"/>
        <w:rPr>
          <w:color w:val="000000"/>
          <w:szCs w:val="24"/>
        </w:rPr>
      </w:pPr>
      <w:r>
        <w:rPr>
          <w:color w:val="000000"/>
          <w:szCs w:val="24"/>
        </w:rPr>
        <w:t>②扩建后全厂污染物总量：</w:t>
      </w:r>
    </w:p>
    <w:p w14:paraId="105BC730">
      <w:pPr>
        <w:ind w:firstLine="480"/>
        <w:rPr>
          <w:color w:val="000000"/>
          <w:szCs w:val="24"/>
        </w:rPr>
      </w:pPr>
      <w:r>
        <w:rPr>
          <w:color w:val="000000"/>
          <w:szCs w:val="24"/>
        </w:rPr>
        <w:t>废水（排入环境）：COD 0.3</w:t>
      </w:r>
      <w:r>
        <w:rPr>
          <w:rFonts w:hint="eastAsia"/>
          <w:color w:val="000000"/>
          <w:szCs w:val="24"/>
        </w:rPr>
        <w:t>213</w:t>
      </w:r>
      <w:r>
        <w:rPr>
          <w:color w:val="000000"/>
          <w:szCs w:val="24"/>
        </w:rPr>
        <w:t>t/a，NH</w:t>
      </w:r>
      <w:r>
        <w:rPr>
          <w:color w:val="000000"/>
          <w:szCs w:val="24"/>
          <w:vertAlign w:val="subscript"/>
        </w:rPr>
        <w:t>3</w:t>
      </w:r>
      <w:r>
        <w:rPr>
          <w:color w:val="000000"/>
          <w:szCs w:val="24"/>
        </w:rPr>
        <w:t>-N 0.032t/a；</w:t>
      </w:r>
    </w:p>
    <w:p w14:paraId="2F21CC81">
      <w:pPr>
        <w:pStyle w:val="131"/>
        <w:ind w:firstLine="480" w:firstLineChars="200"/>
        <w:rPr>
          <w:rFonts w:ascii="Times New Roman"/>
        </w:rPr>
      </w:pPr>
      <w:r>
        <w:rPr>
          <w:rFonts w:ascii="Times New Roman"/>
        </w:rPr>
        <w:t>废气：SO</w:t>
      </w:r>
      <w:r>
        <w:rPr>
          <w:rFonts w:ascii="Times New Roman"/>
          <w:vertAlign w:val="subscript"/>
        </w:rPr>
        <w:t>2</w:t>
      </w:r>
      <w:r>
        <w:rPr>
          <w:rFonts w:ascii="Times New Roman"/>
        </w:rPr>
        <w:t xml:space="preserve"> 0.03t/a，NO</w:t>
      </w:r>
      <w:r>
        <w:rPr>
          <w:rFonts w:ascii="Times New Roman"/>
          <w:vertAlign w:val="subscript"/>
        </w:rPr>
        <w:t>X</w:t>
      </w:r>
      <w:r>
        <w:rPr>
          <w:rFonts w:ascii="Times New Roman"/>
        </w:rPr>
        <w:t>0.18t/a。</w:t>
      </w:r>
    </w:p>
    <w:p w14:paraId="2D3C37B5">
      <w:pPr>
        <w:keepNext/>
        <w:keepLines/>
        <w:outlineLvl w:val="2"/>
        <w:rPr>
          <w:bCs/>
          <w:color w:val="000000"/>
          <w:szCs w:val="24"/>
        </w:rPr>
      </w:pPr>
      <w:r>
        <w:rPr>
          <w:bCs/>
          <w:color w:val="000000"/>
          <w:szCs w:val="24"/>
        </w:rPr>
        <w:t>10.1.9环境管理和监测计划</w:t>
      </w:r>
    </w:p>
    <w:p w14:paraId="0844AA7D">
      <w:pPr>
        <w:ind w:firstLine="480"/>
        <w:rPr>
          <w:bCs/>
          <w:color w:val="000000"/>
          <w:szCs w:val="24"/>
        </w:rPr>
      </w:pPr>
      <w:r>
        <w:rPr>
          <w:color w:val="000000"/>
          <w:kern w:val="0"/>
          <w:szCs w:val="24"/>
        </w:rPr>
        <w:t>建设单位严格按环境影响报告书的要求认真落实“三同时”，明确职责，专人管理，切实搞好环境管理工作，保证环保设施的正常运行，根据</w:t>
      </w:r>
      <w:r>
        <w:rPr>
          <w:color w:val="000000"/>
        </w:rPr>
        <w:t>《排污单位自行监测技术指南 总则》（HJ819-2017）</w:t>
      </w:r>
      <w:r>
        <w:rPr>
          <w:bCs/>
          <w:color w:val="000000"/>
        </w:rPr>
        <w:t>切实落实</w:t>
      </w:r>
      <w:r>
        <w:rPr>
          <w:bCs/>
          <w:color w:val="000000"/>
          <w:szCs w:val="24"/>
        </w:rPr>
        <w:t>监测计划。</w:t>
      </w:r>
    </w:p>
    <w:p w14:paraId="191CCBB1">
      <w:pPr>
        <w:keepNext/>
        <w:keepLines/>
        <w:outlineLvl w:val="2"/>
        <w:rPr>
          <w:bCs/>
          <w:color w:val="000000"/>
          <w:szCs w:val="24"/>
        </w:rPr>
      </w:pPr>
      <w:r>
        <w:rPr>
          <w:bCs/>
          <w:color w:val="000000"/>
          <w:szCs w:val="24"/>
        </w:rPr>
        <w:t>10.1.10公众参与</w:t>
      </w:r>
    </w:p>
    <w:p w14:paraId="7E067306">
      <w:pPr>
        <w:ind w:firstLine="480"/>
        <w:rPr>
          <w:color w:val="000000"/>
        </w:rPr>
      </w:pPr>
      <w:r>
        <w:rPr>
          <w:color w:val="000000"/>
        </w:rPr>
        <w:t>按照《环境影响评价公众参与办法》简化条件，本项目免于首次环境影响评价信息公开，相关应当公开的内容纳入征求意见稿公示的公开内容一并公开，并免于采用张贴公告的方式，故建设单位于2022年4月15日至4月21日通过公司网http://www.fl.gov.cn/jz/btyq/zwxx_46682/dt/202204/t20220415_10625723.html以网络公告的形式、于2022年4月18日和2022年4月19日两次在《重庆晨报》以登报方式向公众发布公示。公示期间均无反馈意见。</w:t>
      </w:r>
    </w:p>
    <w:p w14:paraId="25E7BB59">
      <w:pPr>
        <w:keepNext/>
        <w:keepLines/>
        <w:outlineLvl w:val="2"/>
        <w:rPr>
          <w:bCs/>
          <w:color w:val="000000"/>
          <w:szCs w:val="24"/>
        </w:rPr>
      </w:pPr>
      <w:r>
        <w:rPr>
          <w:bCs/>
          <w:color w:val="000000"/>
          <w:szCs w:val="24"/>
        </w:rPr>
        <w:t>10.1.11综合结论</w:t>
      </w:r>
    </w:p>
    <w:p w14:paraId="2AF35F1E">
      <w:pPr>
        <w:ind w:firstLine="480"/>
        <w:rPr>
          <w:color w:val="000000"/>
          <w:kern w:val="0"/>
          <w:szCs w:val="24"/>
        </w:rPr>
      </w:pPr>
      <w:r>
        <w:rPr>
          <w:color w:val="000000"/>
          <w:kern w:val="0"/>
          <w:szCs w:val="24"/>
        </w:rPr>
        <w:t>综上所述，重庆中石化通汇能源有限公司涪陵LNG工厂增设BOG尾气提氦改扩建项目符合国家产业政策、用地规划，符合相关环保政策、环保规划以及重庆白涛化工园区总体规划环境影响报告书及审查意见的要求；符合《中华人民共和国长江保护法》中对化工项目的选址要求；项目生产中产生的各类污染物，拟采取的污染防治措施合理可行，可实现达标排放，对环境的影响程度较小，环境可接受；在加强安全生产措施、避免环境风险影响前提下，环境风险可控。从环境保护角度看，本项目的建设是可行的。</w:t>
      </w:r>
    </w:p>
    <w:p w14:paraId="0FA73E3A">
      <w:pPr>
        <w:pStyle w:val="770"/>
        <w:rPr>
          <w:color w:val="000000"/>
        </w:rPr>
      </w:pPr>
      <w:bookmarkStart w:id="856" w:name="_Toc5063"/>
      <w:r>
        <w:rPr>
          <w:color w:val="000000"/>
        </w:rPr>
        <w:t>10.2建议</w:t>
      </w:r>
      <w:bookmarkEnd w:id="856"/>
    </w:p>
    <w:p w14:paraId="6A4FECC0">
      <w:pPr>
        <w:ind w:firstLine="480"/>
        <w:rPr>
          <w:color w:val="000000"/>
          <w:kern w:val="0"/>
          <w:szCs w:val="24"/>
        </w:rPr>
      </w:pPr>
      <w:r>
        <w:rPr>
          <w:color w:val="000000"/>
          <w:kern w:val="0"/>
          <w:szCs w:val="24"/>
        </w:rPr>
        <w:t>（1）企业应通过进一步强化清洁生产管理，降低原料消耗，实施节能减排；</w:t>
      </w:r>
    </w:p>
    <w:p w14:paraId="7BB0D2D1">
      <w:pPr>
        <w:ind w:firstLine="480"/>
        <w:rPr>
          <w:color w:val="000000"/>
          <w:kern w:val="0"/>
          <w:szCs w:val="24"/>
        </w:rPr>
      </w:pPr>
      <w:r>
        <w:rPr>
          <w:color w:val="000000"/>
          <w:kern w:val="0"/>
          <w:szCs w:val="24"/>
        </w:rPr>
        <w:t>（2）对周边群众加强本企业的安全、环保知识的宣传，以取得周边群众的理解和支持，同时，在事故发生时，也方便组织群众进行安全撤离。</w:t>
      </w:r>
    </w:p>
    <w:p w14:paraId="776D17C7">
      <w:pPr>
        <w:rPr>
          <w:color w:val="000000"/>
        </w:rPr>
      </w:pPr>
    </w:p>
    <w:p w14:paraId="6EAC449A">
      <w:pPr>
        <w:pStyle w:val="43"/>
        <w:ind w:left="480"/>
        <w:rPr>
          <w:color w:val="000000"/>
        </w:rPr>
      </w:pPr>
    </w:p>
    <w:p w14:paraId="533BF01C">
      <w:pPr>
        <w:ind w:firstLine="480"/>
        <w:rPr>
          <w:color w:val="000000"/>
          <w:kern w:val="0"/>
          <w:szCs w:val="24"/>
        </w:rPr>
      </w:pP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方正宋三简体">
    <w:altName w:val="黑体"/>
    <w:panose1 w:val="00000000000000000000"/>
    <w:charset w:val="86"/>
    <w:family w:val="script"/>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隶书">
    <w:altName w:val="微软雅黑"/>
    <w:panose1 w:val="02010509060101010101"/>
    <w:charset w:val="86"/>
    <w:family w:val="modern"/>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CommercialPi BT">
    <w:altName w:val="Segoe Print"/>
    <w:panose1 w:val="00000000000000000000"/>
    <w:charset w:val="02"/>
    <w:family w:val="roman"/>
    <w:pitch w:val="default"/>
    <w:sig w:usb0="00000000" w:usb1="00000000" w:usb2="00000000" w:usb3="00000000" w:csb0="00000000" w:csb1="00000000"/>
  </w:font>
  <w:font w:name="Garamond">
    <w:altName w:val="PMingLiU-ExtB"/>
    <w:panose1 w:val="02020404030301010803"/>
    <w:charset w:val="00"/>
    <w:family w:val="roman"/>
    <w:pitch w:val="default"/>
    <w:sig w:usb0="00000000" w:usb1="00000000" w:usb2="00000000" w:usb3="00000000" w:csb0="0000009F" w:csb1="00000000"/>
  </w:font>
  <w:font w:name="MingLiU">
    <w:panose1 w:val="02020509000000000000"/>
    <w:charset w:val="88"/>
    <w:family w:val="modern"/>
    <w:pitch w:val="default"/>
    <w:sig w:usb0="A00002FF" w:usb1="28CFFCFA" w:usb2="00000016" w:usb3="00000000" w:csb0="00100001" w:csb1="00000000"/>
  </w:font>
  <w:font w:name="AngsanaUPC">
    <w:panose1 w:val="02020603050405020304"/>
    <w:charset w:val="00"/>
    <w:family w:val="roman"/>
    <w:pitch w:val="default"/>
    <w:sig w:usb0="81000003" w:usb1="00000000" w:usb2="00000000" w:usb3="00000000" w:csb0="00010001" w:csb1="00000000"/>
  </w:font>
  <w:font w:name="楷体">
    <w:panose1 w:val="02010609060101010101"/>
    <w:charset w:val="86"/>
    <w:family w:val="modern"/>
    <w:pitch w:val="default"/>
    <w:sig w:usb0="800002BF" w:usb1="38CF7CFA" w:usb2="00000016" w:usb3="00000000" w:csb0="00040001" w:csb1="00000000"/>
  </w:font>
  <w:font w:name="华文宋体">
    <w:altName w:val="宋体"/>
    <w:panose1 w:val="02010600040101010101"/>
    <w:charset w:val="86"/>
    <w:family w:val="auto"/>
    <w:pitch w:val="default"/>
    <w:sig w:usb0="00000000" w:usb1="00000000" w:usb2="00000010" w:usb3="00000000" w:csb0="0004009F" w:csb1="00000000"/>
  </w:font>
  <w:font w:name="Impact">
    <w:panose1 w:val="020B0806030902050204"/>
    <w:charset w:val="00"/>
    <w:family w:val="swiss"/>
    <w:pitch w:val="default"/>
    <w:sig w:usb0="00000287" w:usb1="00000000" w:usb2="00000000" w:usb3="00000000" w:csb0="2000009F" w:csb1="DFD70000"/>
  </w:font>
  <w:font w:name="AdobeSongStd-Light">
    <w:altName w:val="宋体"/>
    <w:panose1 w:val="00000000000000000000"/>
    <w:charset w:val="86"/>
    <w:family w:val="auto"/>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
    <w:altName w:val="Times New Roman"/>
    <w:panose1 w:val="00000000000000000000"/>
    <w:charset w:val="00"/>
    <w:family w:val="roman"/>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1"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方正小标宋简体">
    <w:panose1 w:val="02000000000000000000"/>
    <w:charset w:val="86"/>
    <w:family w:val="script"/>
    <w:pitch w:val="default"/>
    <w:sig w:usb0="00000001" w:usb1="08000000" w:usb2="00000000" w:usb3="00000000" w:csb0="00040000" w:csb1="00000000"/>
  </w:font>
  <w:font w:name="方正仿宋简体">
    <w:altName w:val="微软雅黑"/>
    <w:panose1 w:val="02010601030101010101"/>
    <w:charset w:val="86"/>
    <w:family w:val="auto"/>
    <w:pitch w:val="default"/>
    <w:sig w:usb0="00000000" w:usb1="00000000" w:usb2="00000010" w:usb3="00000000" w:csb0="00040000" w:csb1="00000000"/>
  </w:font>
  <w:font w:name="方正黑体简体">
    <w:altName w:val="微软雅黑"/>
    <w:panose1 w:val="02010601030101010101"/>
    <w:charset w:val="86"/>
    <w:family w:val="auto"/>
    <w:pitch w:val="default"/>
    <w:sig w:usb0="00000000" w:usb1="00000000" w:usb2="00000010" w:usb3="00000000" w:csb0="00040000" w:csb1="00000000"/>
  </w:font>
  <w:font w:name="昆仑黑体">
    <w:altName w:val="黑体"/>
    <w:panose1 w:val="00000000000000000000"/>
    <w:charset w:val="86"/>
    <w:family w:val="modern"/>
    <w:pitch w:val="default"/>
    <w:sig w:usb0="00000000" w:usb1="00000000" w:usb2="00000010" w:usb3="00000000" w:csb0="00040000" w:csb1="00000000"/>
  </w:font>
  <w:font w:name="..">
    <w:altName w:val="宋体"/>
    <w:panose1 w:val="00000000000000000000"/>
    <w:charset w:val="00"/>
    <w:family w:val="roman"/>
    <w:pitch w:val="default"/>
    <w:sig w:usb0="00000000" w:usb1="00000000" w:usb2="00000000" w:usb3="00000000" w:csb0="00000001" w:csb1="00000000"/>
  </w:font>
  <w:font w:name="Sim Sun">
    <w:altName w:val="黑体"/>
    <w:panose1 w:val="00000000000000000000"/>
    <w:charset w:val="86"/>
    <w:family w:val="roma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華康中楷體">
    <w:altName w:val="Microsoft JhengHei"/>
    <w:panose1 w:val="00000000000000000000"/>
    <w:charset w:val="88"/>
    <w:family w:val="modern"/>
    <w:pitch w:val="default"/>
    <w:sig w:usb0="00000000" w:usb1="00000000" w:usb2="00000010" w:usb3="00000000" w:csb0="00100000" w:csb1="00000000"/>
  </w:font>
  <w:font w:name="?l?r ｨC?｡ｯ?">
    <w:altName w:val="MS Gothic"/>
    <w:panose1 w:val="00000000000000000000"/>
    <w:charset w:val="80"/>
    <w:family w:val="roman"/>
    <w:pitch w:val="default"/>
    <w:sig w:usb0="00000000" w:usb1="00000000" w:usb2="00000010" w:usb3="00000000" w:csb0="00020000" w:csb1="00000000"/>
  </w:font>
  <w:font w:name="仿宋">
    <w:panose1 w:val="02010609060101010101"/>
    <w:charset w:val="86"/>
    <w:family w:val="modern"/>
    <w:pitch w:val="default"/>
    <w:sig w:usb0="800002BF" w:usb1="38CF7CFA" w:usb2="00000016" w:usb3="00000000" w:csb0="00040001" w:csb1="00000000"/>
  </w:font>
  <w:font w:name="Dutch801 Rm BT">
    <w:altName w:val="Times New Roman"/>
    <w:panose1 w:val="00000000000000000000"/>
    <w:charset w:val="00"/>
    <w:family w:val="roman"/>
    <w:pitch w:val="default"/>
    <w:sig w:usb0="00000000" w:usb1="00000000" w:usb2="00000000" w:usb3="00000000" w:csb0="00000000"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Microsoft JhengHei">
    <w:panose1 w:val="020B0604030504040204"/>
    <w:charset w:val="88"/>
    <w:family w:val="auto"/>
    <w:pitch w:val="default"/>
    <w:sig w:usb0="00000087" w:usb1="28AF4000" w:usb2="00000016" w:usb3="00000000" w:csb0="00100009" w:csb1="00000000"/>
  </w:font>
  <w:font w:name="MS Gothic">
    <w:panose1 w:val="020B0609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50CB4">
    <w:pPr>
      <w:pStyle w:val="47"/>
    </w:pPr>
    <w:r>
      <w:pict>
        <v:shape id="文本框 7" o:spid="_x0000_s2052"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path/>
          <v:fill on="f" focussize="0,0"/>
          <v:stroke on="f" weight="0.5pt" joinstyle="miter"/>
          <v:imagedata o:title=""/>
          <o:lock v:ext="edit"/>
          <v:textbox inset="0mm,0mm,0mm,0mm" style="mso-fit-shape-to-text:t;">
            <w:txbxContent>
              <w:p w14:paraId="059AD52E">
                <w:pPr>
                  <w:pStyle w:val="47"/>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B5913">
    <w:pPr>
      <w:pStyle w:val="4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486D6">
    <w:pPr>
      <w:pStyle w:val="4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F950F">
    <w:pPr>
      <w:pStyle w:val="47"/>
    </w:pPr>
    <w:r>
      <w:pict>
        <v:shape id="文本框 9" o:spid="_x0000_s2053"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path/>
          <v:fill on="f" focussize="0,0"/>
          <v:stroke on="f" weight="0.5pt" joinstyle="miter"/>
          <v:imagedata o:title=""/>
          <o:lock v:ext="edit"/>
          <v:textbox inset="0mm,0mm,0mm,0mm" style="mso-fit-shape-to-text:t;">
            <w:txbxContent>
              <w:p w14:paraId="4F581585">
                <w:pPr>
                  <w:pStyle w:val="47"/>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A654E">
    <w:pPr>
      <w:pStyle w:val="31"/>
      <w:spacing w:line="14" w:lineRule="auto"/>
      <w:rPr>
        <w:sz w:val="20"/>
      </w:rPr>
    </w:pPr>
    <w:r>
      <w:rPr>
        <w:sz w:val="20"/>
      </w:rPr>
      <w:pict>
        <v:shape id="文本框 35" o:spid="_x0000_s2054"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path/>
          <v:fill on="f" focussize="0,0"/>
          <v:stroke on="f" weight="0.5pt" joinstyle="miter"/>
          <v:imagedata o:title=""/>
          <o:lock v:ext="edit"/>
          <v:textbox inset="0mm,0mm,0mm,0mm" style="mso-fit-shape-to-text:t;">
            <w:txbxContent>
              <w:p w14:paraId="262527DA">
                <w:pPr>
                  <w:pStyle w:val="47"/>
                </w:pPr>
                <w:r>
                  <w:fldChar w:fldCharType="begin"/>
                </w:r>
                <w:r>
                  <w:instrText xml:space="preserve"> PAGE  \* MERGEFORMAT </w:instrText>
                </w:r>
                <w:r>
                  <w:fldChar w:fldCharType="separate"/>
                </w:r>
                <w:r>
                  <w:t>4</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ED495">
    <w:pPr>
      <w:pStyle w:val="31"/>
      <w:spacing w:line="14" w:lineRule="auto"/>
      <w:rPr>
        <w:sz w:val="20"/>
      </w:rPr>
    </w:pPr>
    <w:r>
      <w:rPr>
        <w:sz w:val="20"/>
      </w:rPr>
      <w:pict>
        <v:shape id="文本框 11"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path/>
          <v:fill on="f" focussize="0,0"/>
          <v:stroke on="f" weight="0.5pt" joinstyle="miter"/>
          <v:imagedata o:title=""/>
          <o:lock v:ext="edit"/>
          <v:textbox inset="0mm,0mm,0mm,0mm" style="mso-fit-shape-to-text:t;">
            <w:txbxContent>
              <w:p w14:paraId="61075D2B">
                <w:pPr>
                  <w:pStyle w:val="47"/>
                </w:pPr>
                <w:r>
                  <w:fldChar w:fldCharType="begin"/>
                </w:r>
                <w:r>
                  <w:instrText xml:space="preserve"> PAGE  \* MERGEFORMAT </w:instrText>
                </w:r>
                <w:r>
                  <w:fldChar w:fldCharType="separate"/>
                </w:r>
                <w:r>
                  <w:t>71</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D573B">
    <w:pPr>
      <w:pStyle w:val="47"/>
      <w:ind w:left="480"/>
      <w:jc w:val="right"/>
    </w:pPr>
    <w:r>
      <w:pict>
        <v:shape id="文本框 12" o:spid="_x0000_s2050"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path/>
          <v:fill on="f" focussize="0,0"/>
          <v:stroke on="f" weight="0.5pt" joinstyle="miter"/>
          <v:imagedata o:title=""/>
          <o:lock v:ext="edit"/>
          <v:textbox inset="0mm,0mm,0mm,0mm" style="mso-fit-shape-to-text:t;">
            <w:txbxContent>
              <w:p w14:paraId="20661B99">
                <w:pPr>
                  <w:pStyle w:val="47"/>
                </w:pPr>
                <w:r>
                  <w:fldChar w:fldCharType="begin"/>
                </w:r>
                <w:r>
                  <w:instrText xml:space="preserve"> PAGE  \* MERGEFORMAT </w:instrText>
                </w:r>
                <w:r>
                  <w:fldChar w:fldCharType="separate"/>
                </w:r>
                <w:r>
                  <w:t>153</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77270">
    <w:pPr>
      <w:pStyle w:val="47"/>
      <w:ind w:left="480"/>
      <w:jc w:val="right"/>
    </w:pPr>
    <w:r>
      <w:pict>
        <v:shape id="文本框 30" o:spid="_x0000_s2051"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path/>
          <v:fill on="f" focussize="0,0"/>
          <v:stroke on="f" weight="0.5pt" joinstyle="miter"/>
          <v:imagedata o:title=""/>
          <o:lock v:ext="edit"/>
          <v:textbox inset="0mm,0mm,0mm,0mm" style="mso-fit-shape-to-text:t;">
            <w:txbxContent>
              <w:p w14:paraId="40B8BB08">
                <w:pPr>
                  <w:pStyle w:val="47"/>
                </w:pPr>
                <w:r>
                  <w:fldChar w:fldCharType="begin"/>
                </w:r>
                <w:r>
                  <w:instrText xml:space="preserve"> PAGE  \* MERGEFORMAT </w:instrText>
                </w:r>
                <w:r>
                  <w:fldChar w:fldCharType="separate"/>
                </w:r>
                <w:r>
                  <w:t>162</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6D634">
    <w:pPr>
      <w:pStyle w:val="48"/>
    </w:pPr>
    <w:r>
      <w:rPr>
        <w:rFonts w:hint="eastAsia"/>
      </w:rPr>
      <w:t>涪陵LNG工厂增设BOG尾气提氦改扩建项目环境影响报告书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2B9EA">
    <w:pPr>
      <w:pStyle w:val="4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19456">
    <w:pPr>
      <w:pStyle w:val="4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6302F">
    <w:pPr>
      <w:pStyle w:val="48"/>
    </w:pPr>
    <w:r>
      <w:rPr>
        <w:rFonts w:hint="eastAsia"/>
      </w:rPr>
      <w:t>涪陵LNG工厂增设BOG尾气提氦改扩建项目环境影响报告书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7D3DF3"/>
    <w:multiLevelType w:val="singleLevel"/>
    <w:tmpl w:val="937D3DF3"/>
    <w:lvl w:ilvl="0" w:tentative="0">
      <w:start w:val="2"/>
      <w:numFmt w:val="decimal"/>
      <w:suff w:val="nothing"/>
      <w:lvlText w:val="（%1）"/>
      <w:lvlJc w:val="left"/>
    </w:lvl>
  </w:abstractNum>
  <w:abstractNum w:abstractNumId="1">
    <w:nsid w:val="C3AC289E"/>
    <w:multiLevelType w:val="singleLevel"/>
    <w:tmpl w:val="C3AC289E"/>
    <w:lvl w:ilvl="0" w:tentative="0">
      <w:start w:val="1"/>
      <w:numFmt w:val="decimal"/>
      <w:suff w:val="nothing"/>
      <w:lvlText w:val="（%1）"/>
      <w:lvlJc w:val="left"/>
    </w:lvl>
  </w:abstractNum>
  <w:abstractNum w:abstractNumId="2">
    <w:nsid w:val="D0B57EBD"/>
    <w:multiLevelType w:val="singleLevel"/>
    <w:tmpl w:val="D0B57EBD"/>
    <w:lvl w:ilvl="0" w:tentative="0">
      <w:start w:val="1"/>
      <w:numFmt w:val="decimal"/>
      <w:suff w:val="nothing"/>
      <w:lvlText w:val="%1、"/>
      <w:lvlJc w:val="left"/>
    </w:lvl>
  </w:abstractNum>
  <w:abstractNum w:abstractNumId="3">
    <w:nsid w:val="E91ED1A9"/>
    <w:multiLevelType w:val="singleLevel"/>
    <w:tmpl w:val="E91ED1A9"/>
    <w:lvl w:ilvl="0" w:tentative="0">
      <w:start w:val="1"/>
      <w:numFmt w:val="decimal"/>
      <w:suff w:val="nothing"/>
      <w:lvlText w:val="（%1）"/>
      <w:lvlJc w:val="left"/>
      <w:pPr>
        <w:ind w:left="-60"/>
      </w:pPr>
    </w:lvl>
  </w:abstractNum>
  <w:abstractNum w:abstractNumId="4">
    <w:nsid w:val="FA705AC6"/>
    <w:multiLevelType w:val="singleLevel"/>
    <w:tmpl w:val="FA705AC6"/>
    <w:lvl w:ilvl="0" w:tentative="0">
      <w:start w:val="1"/>
      <w:numFmt w:val="decimal"/>
      <w:suff w:val="nothing"/>
      <w:lvlText w:val="（%1）"/>
      <w:lvlJc w:val="left"/>
      <w:pPr>
        <w:ind w:left="60"/>
      </w:pPr>
    </w:lvl>
  </w:abstractNum>
  <w:abstractNum w:abstractNumId="5">
    <w:nsid w:val="02DFEDAF"/>
    <w:multiLevelType w:val="singleLevel"/>
    <w:tmpl w:val="02DFEDAF"/>
    <w:lvl w:ilvl="0" w:tentative="0">
      <w:start w:val="1"/>
      <w:numFmt w:val="decimal"/>
      <w:suff w:val="nothing"/>
      <w:lvlText w:val="（%1）"/>
      <w:lvlJc w:val="left"/>
    </w:lvl>
  </w:abstractNum>
  <w:abstractNum w:abstractNumId="6">
    <w:nsid w:val="2CA831C5"/>
    <w:multiLevelType w:val="singleLevel"/>
    <w:tmpl w:val="2CA831C5"/>
    <w:lvl w:ilvl="0" w:tentative="0">
      <w:start w:val="1"/>
      <w:numFmt w:val="decimal"/>
      <w:suff w:val="nothing"/>
      <w:lvlText w:val="（%1）"/>
      <w:lvlJc w:val="left"/>
    </w:lvl>
  </w:abstractNum>
  <w:num w:numId="1">
    <w:abstractNumId w:val="0"/>
  </w:num>
  <w:num w:numId="2">
    <w:abstractNumId w:val="3"/>
  </w:num>
  <w:num w:numId="3">
    <w:abstractNumId w:val="2"/>
  </w:num>
  <w:num w:numId="4">
    <w:abstractNumId w:val="5"/>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20"/>
  <w:drawingGridVerticalSpacing w:val="170"/>
  <w:doNotShadeFormData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MyM2VhMjBmM2YyZDY4MGZiMGE2NTg2M2Y4ZjQzMTMifQ=="/>
  </w:docVars>
  <w:rsids>
    <w:rsidRoot w:val="00172A27"/>
    <w:rsid w:val="0000009B"/>
    <w:rsid w:val="00000392"/>
    <w:rsid w:val="00000415"/>
    <w:rsid w:val="000004A3"/>
    <w:rsid w:val="0000096A"/>
    <w:rsid w:val="00000BE1"/>
    <w:rsid w:val="000014EB"/>
    <w:rsid w:val="0000152E"/>
    <w:rsid w:val="000019EA"/>
    <w:rsid w:val="00001B35"/>
    <w:rsid w:val="00001F6E"/>
    <w:rsid w:val="00002623"/>
    <w:rsid w:val="00002C8A"/>
    <w:rsid w:val="00002F03"/>
    <w:rsid w:val="00004286"/>
    <w:rsid w:val="00004300"/>
    <w:rsid w:val="00004CC1"/>
    <w:rsid w:val="000059EB"/>
    <w:rsid w:val="00005BE8"/>
    <w:rsid w:val="00005E7A"/>
    <w:rsid w:val="00005F18"/>
    <w:rsid w:val="000065D7"/>
    <w:rsid w:val="000069AF"/>
    <w:rsid w:val="0000750C"/>
    <w:rsid w:val="00007684"/>
    <w:rsid w:val="00007A80"/>
    <w:rsid w:val="00007E17"/>
    <w:rsid w:val="00010458"/>
    <w:rsid w:val="00010553"/>
    <w:rsid w:val="0001069C"/>
    <w:rsid w:val="00011106"/>
    <w:rsid w:val="000113A5"/>
    <w:rsid w:val="000113E6"/>
    <w:rsid w:val="0001154D"/>
    <w:rsid w:val="00011F83"/>
    <w:rsid w:val="000121B0"/>
    <w:rsid w:val="00012656"/>
    <w:rsid w:val="00012D75"/>
    <w:rsid w:val="00013470"/>
    <w:rsid w:val="00013935"/>
    <w:rsid w:val="000140D1"/>
    <w:rsid w:val="00014A63"/>
    <w:rsid w:val="00014F61"/>
    <w:rsid w:val="00015480"/>
    <w:rsid w:val="00015F63"/>
    <w:rsid w:val="0001644E"/>
    <w:rsid w:val="00016DE2"/>
    <w:rsid w:val="000172CD"/>
    <w:rsid w:val="000176EB"/>
    <w:rsid w:val="00017831"/>
    <w:rsid w:val="000203C0"/>
    <w:rsid w:val="0002075C"/>
    <w:rsid w:val="000207E9"/>
    <w:rsid w:val="000207F2"/>
    <w:rsid w:val="00020B21"/>
    <w:rsid w:val="00020B8D"/>
    <w:rsid w:val="00020C6E"/>
    <w:rsid w:val="00020C92"/>
    <w:rsid w:val="0002135F"/>
    <w:rsid w:val="000217FB"/>
    <w:rsid w:val="00022637"/>
    <w:rsid w:val="00022708"/>
    <w:rsid w:val="00022AAF"/>
    <w:rsid w:val="00022BA4"/>
    <w:rsid w:val="000230AC"/>
    <w:rsid w:val="0002360D"/>
    <w:rsid w:val="0002373B"/>
    <w:rsid w:val="000239FC"/>
    <w:rsid w:val="00024527"/>
    <w:rsid w:val="00024806"/>
    <w:rsid w:val="0002502A"/>
    <w:rsid w:val="0002545E"/>
    <w:rsid w:val="00025F49"/>
    <w:rsid w:val="00026372"/>
    <w:rsid w:val="00026378"/>
    <w:rsid w:val="00026467"/>
    <w:rsid w:val="00026F7B"/>
    <w:rsid w:val="0002715B"/>
    <w:rsid w:val="00027206"/>
    <w:rsid w:val="000272D6"/>
    <w:rsid w:val="000273DA"/>
    <w:rsid w:val="00027B4D"/>
    <w:rsid w:val="00027E81"/>
    <w:rsid w:val="00030287"/>
    <w:rsid w:val="00030B9C"/>
    <w:rsid w:val="00030F27"/>
    <w:rsid w:val="00031052"/>
    <w:rsid w:val="000314F3"/>
    <w:rsid w:val="000318E1"/>
    <w:rsid w:val="00031C05"/>
    <w:rsid w:val="000325FE"/>
    <w:rsid w:val="00033075"/>
    <w:rsid w:val="000330AC"/>
    <w:rsid w:val="0003389D"/>
    <w:rsid w:val="0003395B"/>
    <w:rsid w:val="0003454D"/>
    <w:rsid w:val="00034818"/>
    <w:rsid w:val="000348DD"/>
    <w:rsid w:val="00034FE7"/>
    <w:rsid w:val="00035013"/>
    <w:rsid w:val="0003535C"/>
    <w:rsid w:val="000356AF"/>
    <w:rsid w:val="00035CBC"/>
    <w:rsid w:val="00035F65"/>
    <w:rsid w:val="000364D5"/>
    <w:rsid w:val="00036627"/>
    <w:rsid w:val="00036B97"/>
    <w:rsid w:val="00036BEC"/>
    <w:rsid w:val="00036F17"/>
    <w:rsid w:val="00037182"/>
    <w:rsid w:val="000372D7"/>
    <w:rsid w:val="0004009B"/>
    <w:rsid w:val="000403C5"/>
    <w:rsid w:val="00040548"/>
    <w:rsid w:val="000409C9"/>
    <w:rsid w:val="00040E08"/>
    <w:rsid w:val="000413FF"/>
    <w:rsid w:val="0004187E"/>
    <w:rsid w:val="00042944"/>
    <w:rsid w:val="00042A3A"/>
    <w:rsid w:val="00042D9C"/>
    <w:rsid w:val="00042EA5"/>
    <w:rsid w:val="00043593"/>
    <w:rsid w:val="00043A11"/>
    <w:rsid w:val="00043A52"/>
    <w:rsid w:val="00043D74"/>
    <w:rsid w:val="00043F69"/>
    <w:rsid w:val="000446B0"/>
    <w:rsid w:val="00044709"/>
    <w:rsid w:val="000448A0"/>
    <w:rsid w:val="00044965"/>
    <w:rsid w:val="00045422"/>
    <w:rsid w:val="00045B41"/>
    <w:rsid w:val="00045B56"/>
    <w:rsid w:val="00045D02"/>
    <w:rsid w:val="00045DEE"/>
    <w:rsid w:val="00046515"/>
    <w:rsid w:val="0004668C"/>
    <w:rsid w:val="00046928"/>
    <w:rsid w:val="00046FF0"/>
    <w:rsid w:val="00047739"/>
    <w:rsid w:val="00047797"/>
    <w:rsid w:val="00047B5C"/>
    <w:rsid w:val="00047DE7"/>
    <w:rsid w:val="000504A2"/>
    <w:rsid w:val="00050DAA"/>
    <w:rsid w:val="00050FFF"/>
    <w:rsid w:val="0005158F"/>
    <w:rsid w:val="000515A7"/>
    <w:rsid w:val="00051B5A"/>
    <w:rsid w:val="00051EBE"/>
    <w:rsid w:val="00052652"/>
    <w:rsid w:val="00052759"/>
    <w:rsid w:val="00052C04"/>
    <w:rsid w:val="00052D5B"/>
    <w:rsid w:val="00052E11"/>
    <w:rsid w:val="00052F35"/>
    <w:rsid w:val="000532E7"/>
    <w:rsid w:val="00053328"/>
    <w:rsid w:val="0005382F"/>
    <w:rsid w:val="000539D1"/>
    <w:rsid w:val="000544A3"/>
    <w:rsid w:val="00054773"/>
    <w:rsid w:val="0005515F"/>
    <w:rsid w:val="00055377"/>
    <w:rsid w:val="00055C4B"/>
    <w:rsid w:val="00055D35"/>
    <w:rsid w:val="00055D5C"/>
    <w:rsid w:val="00055DFC"/>
    <w:rsid w:val="00055E22"/>
    <w:rsid w:val="00056812"/>
    <w:rsid w:val="00056AC5"/>
    <w:rsid w:val="0005704E"/>
    <w:rsid w:val="000571F1"/>
    <w:rsid w:val="00057704"/>
    <w:rsid w:val="00057A10"/>
    <w:rsid w:val="00057C46"/>
    <w:rsid w:val="00060551"/>
    <w:rsid w:val="00060A7F"/>
    <w:rsid w:val="00060F98"/>
    <w:rsid w:val="000610F4"/>
    <w:rsid w:val="000613ED"/>
    <w:rsid w:val="000615CD"/>
    <w:rsid w:val="00061FDE"/>
    <w:rsid w:val="0006225E"/>
    <w:rsid w:val="000627FD"/>
    <w:rsid w:val="00062A20"/>
    <w:rsid w:val="00062EF4"/>
    <w:rsid w:val="00063368"/>
    <w:rsid w:val="00063ADD"/>
    <w:rsid w:val="0006411C"/>
    <w:rsid w:val="00064127"/>
    <w:rsid w:val="000641A7"/>
    <w:rsid w:val="000648AD"/>
    <w:rsid w:val="00064BC1"/>
    <w:rsid w:val="00064D39"/>
    <w:rsid w:val="000653CC"/>
    <w:rsid w:val="0006598D"/>
    <w:rsid w:val="00065D90"/>
    <w:rsid w:val="00066244"/>
    <w:rsid w:val="0006625D"/>
    <w:rsid w:val="00066815"/>
    <w:rsid w:val="000670D8"/>
    <w:rsid w:val="00067C13"/>
    <w:rsid w:val="00070B0B"/>
    <w:rsid w:val="000715CA"/>
    <w:rsid w:val="00071FC2"/>
    <w:rsid w:val="00072C3B"/>
    <w:rsid w:val="00073805"/>
    <w:rsid w:val="00073845"/>
    <w:rsid w:val="000739D5"/>
    <w:rsid w:val="00073BC9"/>
    <w:rsid w:val="00073E38"/>
    <w:rsid w:val="0007460F"/>
    <w:rsid w:val="0007464B"/>
    <w:rsid w:val="00074BE4"/>
    <w:rsid w:val="00074C0F"/>
    <w:rsid w:val="00074CD2"/>
    <w:rsid w:val="00074E63"/>
    <w:rsid w:val="000755BC"/>
    <w:rsid w:val="0007560A"/>
    <w:rsid w:val="00076058"/>
    <w:rsid w:val="00076639"/>
    <w:rsid w:val="000768CE"/>
    <w:rsid w:val="00076A5D"/>
    <w:rsid w:val="00076CA4"/>
    <w:rsid w:val="00076F71"/>
    <w:rsid w:val="000807E4"/>
    <w:rsid w:val="00080F14"/>
    <w:rsid w:val="0008124A"/>
    <w:rsid w:val="00081515"/>
    <w:rsid w:val="0008191F"/>
    <w:rsid w:val="00081945"/>
    <w:rsid w:val="00081CA9"/>
    <w:rsid w:val="00081F83"/>
    <w:rsid w:val="00082797"/>
    <w:rsid w:val="0008292C"/>
    <w:rsid w:val="000831C6"/>
    <w:rsid w:val="00083260"/>
    <w:rsid w:val="00083630"/>
    <w:rsid w:val="00083888"/>
    <w:rsid w:val="0008397C"/>
    <w:rsid w:val="0008416E"/>
    <w:rsid w:val="000843DC"/>
    <w:rsid w:val="00084AD6"/>
    <w:rsid w:val="00084B0A"/>
    <w:rsid w:val="00084C77"/>
    <w:rsid w:val="00084E46"/>
    <w:rsid w:val="00084F1A"/>
    <w:rsid w:val="00085166"/>
    <w:rsid w:val="000853F0"/>
    <w:rsid w:val="00085A98"/>
    <w:rsid w:val="000863A3"/>
    <w:rsid w:val="000869D9"/>
    <w:rsid w:val="00086CB6"/>
    <w:rsid w:val="00087892"/>
    <w:rsid w:val="00087AA5"/>
    <w:rsid w:val="00090634"/>
    <w:rsid w:val="000907E3"/>
    <w:rsid w:val="00090CEC"/>
    <w:rsid w:val="00090F15"/>
    <w:rsid w:val="00091209"/>
    <w:rsid w:val="000917B9"/>
    <w:rsid w:val="00091A09"/>
    <w:rsid w:val="000927DE"/>
    <w:rsid w:val="000930DE"/>
    <w:rsid w:val="0009374B"/>
    <w:rsid w:val="0009375F"/>
    <w:rsid w:val="0009385A"/>
    <w:rsid w:val="00093C6D"/>
    <w:rsid w:val="00093F14"/>
    <w:rsid w:val="0009427B"/>
    <w:rsid w:val="00094312"/>
    <w:rsid w:val="0009456F"/>
    <w:rsid w:val="000946F9"/>
    <w:rsid w:val="00094721"/>
    <w:rsid w:val="00094C1B"/>
    <w:rsid w:val="0009534F"/>
    <w:rsid w:val="00095565"/>
    <w:rsid w:val="0009614A"/>
    <w:rsid w:val="000962A8"/>
    <w:rsid w:val="00096928"/>
    <w:rsid w:val="00096BB6"/>
    <w:rsid w:val="00096EF6"/>
    <w:rsid w:val="00097819"/>
    <w:rsid w:val="00097C69"/>
    <w:rsid w:val="00097E36"/>
    <w:rsid w:val="000A0265"/>
    <w:rsid w:val="000A0526"/>
    <w:rsid w:val="000A0685"/>
    <w:rsid w:val="000A0BDC"/>
    <w:rsid w:val="000A19BC"/>
    <w:rsid w:val="000A1B9B"/>
    <w:rsid w:val="000A1EE8"/>
    <w:rsid w:val="000A1F40"/>
    <w:rsid w:val="000A2133"/>
    <w:rsid w:val="000A26EF"/>
    <w:rsid w:val="000A2827"/>
    <w:rsid w:val="000A2A24"/>
    <w:rsid w:val="000A2D35"/>
    <w:rsid w:val="000A2F2A"/>
    <w:rsid w:val="000A3555"/>
    <w:rsid w:val="000A3591"/>
    <w:rsid w:val="000A4F70"/>
    <w:rsid w:val="000A50ED"/>
    <w:rsid w:val="000A5481"/>
    <w:rsid w:val="000A5B35"/>
    <w:rsid w:val="000A5F6E"/>
    <w:rsid w:val="000A6184"/>
    <w:rsid w:val="000A6346"/>
    <w:rsid w:val="000A6B25"/>
    <w:rsid w:val="000A6E1D"/>
    <w:rsid w:val="000A6F0B"/>
    <w:rsid w:val="000A7BCF"/>
    <w:rsid w:val="000B001A"/>
    <w:rsid w:val="000B0235"/>
    <w:rsid w:val="000B06D1"/>
    <w:rsid w:val="000B113E"/>
    <w:rsid w:val="000B1642"/>
    <w:rsid w:val="000B1CEC"/>
    <w:rsid w:val="000B1D8E"/>
    <w:rsid w:val="000B1E2C"/>
    <w:rsid w:val="000B2234"/>
    <w:rsid w:val="000B2455"/>
    <w:rsid w:val="000B24C8"/>
    <w:rsid w:val="000B25AC"/>
    <w:rsid w:val="000B2839"/>
    <w:rsid w:val="000B2E16"/>
    <w:rsid w:val="000B3526"/>
    <w:rsid w:val="000B352B"/>
    <w:rsid w:val="000B3CEA"/>
    <w:rsid w:val="000B422D"/>
    <w:rsid w:val="000B46B9"/>
    <w:rsid w:val="000B46F0"/>
    <w:rsid w:val="000B49BD"/>
    <w:rsid w:val="000B4B37"/>
    <w:rsid w:val="000B508A"/>
    <w:rsid w:val="000B51F9"/>
    <w:rsid w:val="000B53A0"/>
    <w:rsid w:val="000B53C3"/>
    <w:rsid w:val="000B576F"/>
    <w:rsid w:val="000B596C"/>
    <w:rsid w:val="000B5DC6"/>
    <w:rsid w:val="000B6527"/>
    <w:rsid w:val="000B66C9"/>
    <w:rsid w:val="000B6A65"/>
    <w:rsid w:val="000B792C"/>
    <w:rsid w:val="000B7A65"/>
    <w:rsid w:val="000B7AB1"/>
    <w:rsid w:val="000B7E4A"/>
    <w:rsid w:val="000B7EA3"/>
    <w:rsid w:val="000C0273"/>
    <w:rsid w:val="000C0EDF"/>
    <w:rsid w:val="000C105E"/>
    <w:rsid w:val="000C19AF"/>
    <w:rsid w:val="000C2AB1"/>
    <w:rsid w:val="000C2DD0"/>
    <w:rsid w:val="000C2F5A"/>
    <w:rsid w:val="000C33E6"/>
    <w:rsid w:val="000C34DF"/>
    <w:rsid w:val="000C375C"/>
    <w:rsid w:val="000C38AB"/>
    <w:rsid w:val="000C3901"/>
    <w:rsid w:val="000C41E3"/>
    <w:rsid w:val="000C4718"/>
    <w:rsid w:val="000C4A35"/>
    <w:rsid w:val="000C4E1D"/>
    <w:rsid w:val="000C5373"/>
    <w:rsid w:val="000C592E"/>
    <w:rsid w:val="000C5E82"/>
    <w:rsid w:val="000C63EB"/>
    <w:rsid w:val="000C6E86"/>
    <w:rsid w:val="000C6FF4"/>
    <w:rsid w:val="000C73A5"/>
    <w:rsid w:val="000C7851"/>
    <w:rsid w:val="000C7AE4"/>
    <w:rsid w:val="000D073B"/>
    <w:rsid w:val="000D077A"/>
    <w:rsid w:val="000D080F"/>
    <w:rsid w:val="000D0C83"/>
    <w:rsid w:val="000D10EA"/>
    <w:rsid w:val="000D1194"/>
    <w:rsid w:val="000D11A8"/>
    <w:rsid w:val="000D1845"/>
    <w:rsid w:val="000D1B03"/>
    <w:rsid w:val="000D1B32"/>
    <w:rsid w:val="000D2305"/>
    <w:rsid w:val="000D25F8"/>
    <w:rsid w:val="000D2D87"/>
    <w:rsid w:val="000D307D"/>
    <w:rsid w:val="000D3153"/>
    <w:rsid w:val="000D3A7C"/>
    <w:rsid w:val="000D3DE9"/>
    <w:rsid w:val="000D3E49"/>
    <w:rsid w:val="000D3EA4"/>
    <w:rsid w:val="000D441B"/>
    <w:rsid w:val="000D4470"/>
    <w:rsid w:val="000D5630"/>
    <w:rsid w:val="000D575A"/>
    <w:rsid w:val="000D5BE4"/>
    <w:rsid w:val="000D6435"/>
    <w:rsid w:val="000D6D73"/>
    <w:rsid w:val="000D6DBC"/>
    <w:rsid w:val="000D710B"/>
    <w:rsid w:val="000D7379"/>
    <w:rsid w:val="000D73CF"/>
    <w:rsid w:val="000D7A06"/>
    <w:rsid w:val="000D7DE7"/>
    <w:rsid w:val="000E0800"/>
    <w:rsid w:val="000E0D86"/>
    <w:rsid w:val="000E154D"/>
    <w:rsid w:val="000E1599"/>
    <w:rsid w:val="000E1959"/>
    <w:rsid w:val="000E1F48"/>
    <w:rsid w:val="000E2062"/>
    <w:rsid w:val="000E20A5"/>
    <w:rsid w:val="000E2151"/>
    <w:rsid w:val="000E2635"/>
    <w:rsid w:val="000E26A4"/>
    <w:rsid w:val="000E2993"/>
    <w:rsid w:val="000E387D"/>
    <w:rsid w:val="000E4165"/>
    <w:rsid w:val="000E4390"/>
    <w:rsid w:val="000E4C74"/>
    <w:rsid w:val="000E5127"/>
    <w:rsid w:val="000E52EC"/>
    <w:rsid w:val="000E5727"/>
    <w:rsid w:val="000E5974"/>
    <w:rsid w:val="000E60D7"/>
    <w:rsid w:val="000E60F9"/>
    <w:rsid w:val="000E6627"/>
    <w:rsid w:val="000E667B"/>
    <w:rsid w:val="000E6F67"/>
    <w:rsid w:val="000E705D"/>
    <w:rsid w:val="000E7085"/>
    <w:rsid w:val="000F0467"/>
    <w:rsid w:val="000F04E9"/>
    <w:rsid w:val="000F0565"/>
    <w:rsid w:val="000F0B2D"/>
    <w:rsid w:val="000F0C24"/>
    <w:rsid w:val="000F0EF8"/>
    <w:rsid w:val="000F1566"/>
    <w:rsid w:val="000F20EC"/>
    <w:rsid w:val="000F2B7A"/>
    <w:rsid w:val="000F2E0F"/>
    <w:rsid w:val="000F34C9"/>
    <w:rsid w:val="000F3AC3"/>
    <w:rsid w:val="000F3DE4"/>
    <w:rsid w:val="000F44B0"/>
    <w:rsid w:val="000F459F"/>
    <w:rsid w:val="000F4784"/>
    <w:rsid w:val="000F48EF"/>
    <w:rsid w:val="000F4EF5"/>
    <w:rsid w:val="000F57D2"/>
    <w:rsid w:val="000F59EC"/>
    <w:rsid w:val="000F5E95"/>
    <w:rsid w:val="000F60E6"/>
    <w:rsid w:val="000F62DC"/>
    <w:rsid w:val="000F6505"/>
    <w:rsid w:val="000F6B0B"/>
    <w:rsid w:val="001002B0"/>
    <w:rsid w:val="00100DEB"/>
    <w:rsid w:val="001014AC"/>
    <w:rsid w:val="001015C1"/>
    <w:rsid w:val="001024A5"/>
    <w:rsid w:val="00103290"/>
    <w:rsid w:val="001032ED"/>
    <w:rsid w:val="0010351E"/>
    <w:rsid w:val="00103A2A"/>
    <w:rsid w:val="00104227"/>
    <w:rsid w:val="001043D2"/>
    <w:rsid w:val="00104444"/>
    <w:rsid w:val="0010461C"/>
    <w:rsid w:val="00104A1D"/>
    <w:rsid w:val="00104BEF"/>
    <w:rsid w:val="001051C2"/>
    <w:rsid w:val="0010524A"/>
    <w:rsid w:val="001055A5"/>
    <w:rsid w:val="00105791"/>
    <w:rsid w:val="0010608D"/>
    <w:rsid w:val="00106099"/>
    <w:rsid w:val="001068C4"/>
    <w:rsid w:val="00106BC4"/>
    <w:rsid w:val="00106DB1"/>
    <w:rsid w:val="0010714D"/>
    <w:rsid w:val="00107A2E"/>
    <w:rsid w:val="00107E53"/>
    <w:rsid w:val="0011005F"/>
    <w:rsid w:val="00110115"/>
    <w:rsid w:val="0011098F"/>
    <w:rsid w:val="00110A34"/>
    <w:rsid w:val="00110A49"/>
    <w:rsid w:val="00110AD3"/>
    <w:rsid w:val="00110B55"/>
    <w:rsid w:val="00110D41"/>
    <w:rsid w:val="00111191"/>
    <w:rsid w:val="0011158C"/>
    <w:rsid w:val="00111A7B"/>
    <w:rsid w:val="00111BA3"/>
    <w:rsid w:val="00111E32"/>
    <w:rsid w:val="001121A9"/>
    <w:rsid w:val="0011221F"/>
    <w:rsid w:val="001133D5"/>
    <w:rsid w:val="0011343E"/>
    <w:rsid w:val="001136BF"/>
    <w:rsid w:val="00113816"/>
    <w:rsid w:val="00113F3E"/>
    <w:rsid w:val="001144E8"/>
    <w:rsid w:val="00114C32"/>
    <w:rsid w:val="00114D08"/>
    <w:rsid w:val="001151AD"/>
    <w:rsid w:val="0011578C"/>
    <w:rsid w:val="00115A1E"/>
    <w:rsid w:val="00115B62"/>
    <w:rsid w:val="00115C31"/>
    <w:rsid w:val="00115E25"/>
    <w:rsid w:val="001161AB"/>
    <w:rsid w:val="0011624F"/>
    <w:rsid w:val="001165EF"/>
    <w:rsid w:val="00116720"/>
    <w:rsid w:val="00116B5E"/>
    <w:rsid w:val="00117503"/>
    <w:rsid w:val="001178C8"/>
    <w:rsid w:val="001179BB"/>
    <w:rsid w:val="00117CE1"/>
    <w:rsid w:val="00117E44"/>
    <w:rsid w:val="001204A7"/>
    <w:rsid w:val="00120C11"/>
    <w:rsid w:val="0012136D"/>
    <w:rsid w:val="00121714"/>
    <w:rsid w:val="00121E04"/>
    <w:rsid w:val="00121E91"/>
    <w:rsid w:val="00122728"/>
    <w:rsid w:val="00122DF2"/>
    <w:rsid w:val="001232B1"/>
    <w:rsid w:val="001234AD"/>
    <w:rsid w:val="00123C8C"/>
    <w:rsid w:val="00123D37"/>
    <w:rsid w:val="00123D39"/>
    <w:rsid w:val="00123FB7"/>
    <w:rsid w:val="00124338"/>
    <w:rsid w:val="00125680"/>
    <w:rsid w:val="001256AC"/>
    <w:rsid w:val="0012693F"/>
    <w:rsid w:val="00126ED9"/>
    <w:rsid w:val="00126F9C"/>
    <w:rsid w:val="00126FC9"/>
    <w:rsid w:val="001270CD"/>
    <w:rsid w:val="001271A3"/>
    <w:rsid w:val="00127904"/>
    <w:rsid w:val="00127EE2"/>
    <w:rsid w:val="00127FF0"/>
    <w:rsid w:val="00130494"/>
    <w:rsid w:val="0013067A"/>
    <w:rsid w:val="00130939"/>
    <w:rsid w:val="001310A1"/>
    <w:rsid w:val="001310E0"/>
    <w:rsid w:val="00131150"/>
    <w:rsid w:val="00131436"/>
    <w:rsid w:val="0013164E"/>
    <w:rsid w:val="00131E22"/>
    <w:rsid w:val="00132089"/>
    <w:rsid w:val="001320DB"/>
    <w:rsid w:val="0013238B"/>
    <w:rsid w:val="0013246D"/>
    <w:rsid w:val="0013255F"/>
    <w:rsid w:val="001329E1"/>
    <w:rsid w:val="00132D25"/>
    <w:rsid w:val="00132EAD"/>
    <w:rsid w:val="00133235"/>
    <w:rsid w:val="00133413"/>
    <w:rsid w:val="001336FF"/>
    <w:rsid w:val="0013394F"/>
    <w:rsid w:val="001341AD"/>
    <w:rsid w:val="00134518"/>
    <w:rsid w:val="00134932"/>
    <w:rsid w:val="001349E2"/>
    <w:rsid w:val="00134ADF"/>
    <w:rsid w:val="00134B25"/>
    <w:rsid w:val="00135122"/>
    <w:rsid w:val="00135307"/>
    <w:rsid w:val="00135462"/>
    <w:rsid w:val="00135530"/>
    <w:rsid w:val="001359EA"/>
    <w:rsid w:val="00135BB1"/>
    <w:rsid w:val="00135CD6"/>
    <w:rsid w:val="00135FD9"/>
    <w:rsid w:val="001363E2"/>
    <w:rsid w:val="001367F2"/>
    <w:rsid w:val="00136BE5"/>
    <w:rsid w:val="00136DFF"/>
    <w:rsid w:val="0013713A"/>
    <w:rsid w:val="0013730E"/>
    <w:rsid w:val="00137EF0"/>
    <w:rsid w:val="001401F9"/>
    <w:rsid w:val="00140277"/>
    <w:rsid w:val="00140A47"/>
    <w:rsid w:val="00141298"/>
    <w:rsid w:val="001415A3"/>
    <w:rsid w:val="001415C7"/>
    <w:rsid w:val="0014184D"/>
    <w:rsid w:val="00141CF1"/>
    <w:rsid w:val="00141E42"/>
    <w:rsid w:val="00141E5A"/>
    <w:rsid w:val="00141ECA"/>
    <w:rsid w:val="00141FA7"/>
    <w:rsid w:val="00142196"/>
    <w:rsid w:val="0014228C"/>
    <w:rsid w:val="00142612"/>
    <w:rsid w:val="00142836"/>
    <w:rsid w:val="00142E54"/>
    <w:rsid w:val="001441EA"/>
    <w:rsid w:val="001443BC"/>
    <w:rsid w:val="00144D7A"/>
    <w:rsid w:val="00145015"/>
    <w:rsid w:val="0014517C"/>
    <w:rsid w:val="00145489"/>
    <w:rsid w:val="001457CA"/>
    <w:rsid w:val="00145C0B"/>
    <w:rsid w:val="00145E3F"/>
    <w:rsid w:val="001467CB"/>
    <w:rsid w:val="001468E0"/>
    <w:rsid w:val="00146B1F"/>
    <w:rsid w:val="00147005"/>
    <w:rsid w:val="0014738F"/>
    <w:rsid w:val="00147510"/>
    <w:rsid w:val="001475C9"/>
    <w:rsid w:val="00147A10"/>
    <w:rsid w:val="00147BC8"/>
    <w:rsid w:val="00147E37"/>
    <w:rsid w:val="0015018D"/>
    <w:rsid w:val="0015056E"/>
    <w:rsid w:val="00150A70"/>
    <w:rsid w:val="001515BE"/>
    <w:rsid w:val="00151878"/>
    <w:rsid w:val="00151B21"/>
    <w:rsid w:val="00151DDE"/>
    <w:rsid w:val="00151EED"/>
    <w:rsid w:val="00152091"/>
    <w:rsid w:val="00153372"/>
    <w:rsid w:val="00153BF9"/>
    <w:rsid w:val="0015406A"/>
    <w:rsid w:val="00154484"/>
    <w:rsid w:val="001548FB"/>
    <w:rsid w:val="0015516B"/>
    <w:rsid w:val="00155173"/>
    <w:rsid w:val="00155515"/>
    <w:rsid w:val="0015552F"/>
    <w:rsid w:val="001558C3"/>
    <w:rsid w:val="00155B7F"/>
    <w:rsid w:val="00156412"/>
    <w:rsid w:val="00156710"/>
    <w:rsid w:val="001567F8"/>
    <w:rsid w:val="00156DA8"/>
    <w:rsid w:val="00156F63"/>
    <w:rsid w:val="0015709D"/>
    <w:rsid w:val="0015725A"/>
    <w:rsid w:val="00157AE6"/>
    <w:rsid w:val="00157C20"/>
    <w:rsid w:val="001600E4"/>
    <w:rsid w:val="00160213"/>
    <w:rsid w:val="00160800"/>
    <w:rsid w:val="00160F48"/>
    <w:rsid w:val="001613B9"/>
    <w:rsid w:val="0016178B"/>
    <w:rsid w:val="00161A11"/>
    <w:rsid w:val="00161A68"/>
    <w:rsid w:val="00161FC1"/>
    <w:rsid w:val="001621C2"/>
    <w:rsid w:val="0016238B"/>
    <w:rsid w:val="001625FF"/>
    <w:rsid w:val="00162767"/>
    <w:rsid w:val="00162A99"/>
    <w:rsid w:val="00162E3E"/>
    <w:rsid w:val="00162E6D"/>
    <w:rsid w:val="00162E82"/>
    <w:rsid w:val="001633C1"/>
    <w:rsid w:val="001636C3"/>
    <w:rsid w:val="00163A69"/>
    <w:rsid w:val="00163E47"/>
    <w:rsid w:val="00164115"/>
    <w:rsid w:val="00164477"/>
    <w:rsid w:val="00164A63"/>
    <w:rsid w:val="00164C55"/>
    <w:rsid w:val="00164D74"/>
    <w:rsid w:val="00164DDA"/>
    <w:rsid w:val="001650B8"/>
    <w:rsid w:val="00165640"/>
    <w:rsid w:val="0016586D"/>
    <w:rsid w:val="00166391"/>
    <w:rsid w:val="0016654D"/>
    <w:rsid w:val="0016672D"/>
    <w:rsid w:val="00166D1D"/>
    <w:rsid w:val="00166F89"/>
    <w:rsid w:val="001671C1"/>
    <w:rsid w:val="00167342"/>
    <w:rsid w:val="0016748E"/>
    <w:rsid w:val="001675F4"/>
    <w:rsid w:val="00167A5F"/>
    <w:rsid w:val="00167B65"/>
    <w:rsid w:val="00167BF8"/>
    <w:rsid w:val="00167D98"/>
    <w:rsid w:val="00170034"/>
    <w:rsid w:val="001703CB"/>
    <w:rsid w:val="001703F6"/>
    <w:rsid w:val="001704B0"/>
    <w:rsid w:val="00170976"/>
    <w:rsid w:val="00171146"/>
    <w:rsid w:val="00171476"/>
    <w:rsid w:val="00171968"/>
    <w:rsid w:val="00171AB4"/>
    <w:rsid w:val="00171C1D"/>
    <w:rsid w:val="00171F1F"/>
    <w:rsid w:val="001720D5"/>
    <w:rsid w:val="00172929"/>
    <w:rsid w:val="00172A27"/>
    <w:rsid w:val="001732D3"/>
    <w:rsid w:val="00173926"/>
    <w:rsid w:val="00173A48"/>
    <w:rsid w:val="00173AE2"/>
    <w:rsid w:val="00173FFA"/>
    <w:rsid w:val="001740C2"/>
    <w:rsid w:val="001747FB"/>
    <w:rsid w:val="001749D9"/>
    <w:rsid w:val="00174F06"/>
    <w:rsid w:val="00176CAF"/>
    <w:rsid w:val="001771C3"/>
    <w:rsid w:val="0017731C"/>
    <w:rsid w:val="00177440"/>
    <w:rsid w:val="00177C3A"/>
    <w:rsid w:val="00177CE3"/>
    <w:rsid w:val="0018159D"/>
    <w:rsid w:val="00181680"/>
    <w:rsid w:val="001816C6"/>
    <w:rsid w:val="00181B53"/>
    <w:rsid w:val="00181E13"/>
    <w:rsid w:val="0018222B"/>
    <w:rsid w:val="00182420"/>
    <w:rsid w:val="00183275"/>
    <w:rsid w:val="00183580"/>
    <w:rsid w:val="00183C2F"/>
    <w:rsid w:val="00183E61"/>
    <w:rsid w:val="0018421F"/>
    <w:rsid w:val="001845C5"/>
    <w:rsid w:val="00184881"/>
    <w:rsid w:val="00184DD2"/>
    <w:rsid w:val="00185837"/>
    <w:rsid w:val="00185A16"/>
    <w:rsid w:val="001862FB"/>
    <w:rsid w:val="00186C51"/>
    <w:rsid w:val="00186F12"/>
    <w:rsid w:val="00187A03"/>
    <w:rsid w:val="00187F5D"/>
    <w:rsid w:val="00190142"/>
    <w:rsid w:val="001915FD"/>
    <w:rsid w:val="00191EFD"/>
    <w:rsid w:val="001921DD"/>
    <w:rsid w:val="0019299D"/>
    <w:rsid w:val="00192AA9"/>
    <w:rsid w:val="00193149"/>
    <w:rsid w:val="00193385"/>
    <w:rsid w:val="0019339F"/>
    <w:rsid w:val="00194639"/>
    <w:rsid w:val="00194FBC"/>
    <w:rsid w:val="00195246"/>
    <w:rsid w:val="001954AE"/>
    <w:rsid w:val="00195D9B"/>
    <w:rsid w:val="00195E8E"/>
    <w:rsid w:val="001965F3"/>
    <w:rsid w:val="00196765"/>
    <w:rsid w:val="00196EFB"/>
    <w:rsid w:val="00196FA2"/>
    <w:rsid w:val="00197016"/>
    <w:rsid w:val="00197DDB"/>
    <w:rsid w:val="00197E61"/>
    <w:rsid w:val="001A00B4"/>
    <w:rsid w:val="001A045C"/>
    <w:rsid w:val="001A1070"/>
    <w:rsid w:val="001A1FD2"/>
    <w:rsid w:val="001A20B6"/>
    <w:rsid w:val="001A252B"/>
    <w:rsid w:val="001A2663"/>
    <w:rsid w:val="001A27A1"/>
    <w:rsid w:val="001A28CD"/>
    <w:rsid w:val="001A2C9A"/>
    <w:rsid w:val="001A2D23"/>
    <w:rsid w:val="001A2F08"/>
    <w:rsid w:val="001A367F"/>
    <w:rsid w:val="001A3AB3"/>
    <w:rsid w:val="001A44AA"/>
    <w:rsid w:val="001A48D6"/>
    <w:rsid w:val="001A4BF4"/>
    <w:rsid w:val="001A519B"/>
    <w:rsid w:val="001A556C"/>
    <w:rsid w:val="001A56AD"/>
    <w:rsid w:val="001A59D9"/>
    <w:rsid w:val="001A65D4"/>
    <w:rsid w:val="001A65E0"/>
    <w:rsid w:val="001A66E4"/>
    <w:rsid w:val="001A6A09"/>
    <w:rsid w:val="001A6E08"/>
    <w:rsid w:val="001A6E35"/>
    <w:rsid w:val="001A709F"/>
    <w:rsid w:val="001A734B"/>
    <w:rsid w:val="001B019C"/>
    <w:rsid w:val="001B0310"/>
    <w:rsid w:val="001B03AC"/>
    <w:rsid w:val="001B0A51"/>
    <w:rsid w:val="001B0ED6"/>
    <w:rsid w:val="001B25E5"/>
    <w:rsid w:val="001B314B"/>
    <w:rsid w:val="001B3282"/>
    <w:rsid w:val="001B346B"/>
    <w:rsid w:val="001B36EC"/>
    <w:rsid w:val="001B3F44"/>
    <w:rsid w:val="001B44EA"/>
    <w:rsid w:val="001B4629"/>
    <w:rsid w:val="001B5281"/>
    <w:rsid w:val="001B5C33"/>
    <w:rsid w:val="001B5CF8"/>
    <w:rsid w:val="001B6C51"/>
    <w:rsid w:val="001B6D8E"/>
    <w:rsid w:val="001B7288"/>
    <w:rsid w:val="001B79F8"/>
    <w:rsid w:val="001C04C4"/>
    <w:rsid w:val="001C0858"/>
    <w:rsid w:val="001C0978"/>
    <w:rsid w:val="001C09A0"/>
    <w:rsid w:val="001C0A0A"/>
    <w:rsid w:val="001C0D76"/>
    <w:rsid w:val="001C0EB0"/>
    <w:rsid w:val="001C0F11"/>
    <w:rsid w:val="001C0F12"/>
    <w:rsid w:val="001C0FC3"/>
    <w:rsid w:val="001C16F8"/>
    <w:rsid w:val="001C1771"/>
    <w:rsid w:val="001C1AC4"/>
    <w:rsid w:val="001C1BE5"/>
    <w:rsid w:val="001C1D08"/>
    <w:rsid w:val="001C1E69"/>
    <w:rsid w:val="001C22EC"/>
    <w:rsid w:val="001C289A"/>
    <w:rsid w:val="001C293B"/>
    <w:rsid w:val="001C2E0F"/>
    <w:rsid w:val="001C322D"/>
    <w:rsid w:val="001C3420"/>
    <w:rsid w:val="001C37EB"/>
    <w:rsid w:val="001C3C95"/>
    <w:rsid w:val="001C44AF"/>
    <w:rsid w:val="001C4795"/>
    <w:rsid w:val="001C5091"/>
    <w:rsid w:val="001C5161"/>
    <w:rsid w:val="001C523F"/>
    <w:rsid w:val="001C5560"/>
    <w:rsid w:val="001C57F3"/>
    <w:rsid w:val="001C5C9F"/>
    <w:rsid w:val="001C654A"/>
    <w:rsid w:val="001C6628"/>
    <w:rsid w:val="001C6961"/>
    <w:rsid w:val="001C7000"/>
    <w:rsid w:val="001D006D"/>
    <w:rsid w:val="001D0E3C"/>
    <w:rsid w:val="001D0F12"/>
    <w:rsid w:val="001D10A8"/>
    <w:rsid w:val="001D1766"/>
    <w:rsid w:val="001D17BC"/>
    <w:rsid w:val="001D18D5"/>
    <w:rsid w:val="001D1F67"/>
    <w:rsid w:val="001D2050"/>
    <w:rsid w:val="001D3071"/>
    <w:rsid w:val="001D376D"/>
    <w:rsid w:val="001D3AB1"/>
    <w:rsid w:val="001D4345"/>
    <w:rsid w:val="001D45C6"/>
    <w:rsid w:val="001D46B1"/>
    <w:rsid w:val="001D505F"/>
    <w:rsid w:val="001D51E4"/>
    <w:rsid w:val="001D568D"/>
    <w:rsid w:val="001D56AF"/>
    <w:rsid w:val="001D5AF4"/>
    <w:rsid w:val="001D62D3"/>
    <w:rsid w:val="001D632C"/>
    <w:rsid w:val="001D68A9"/>
    <w:rsid w:val="001D6995"/>
    <w:rsid w:val="001D69AE"/>
    <w:rsid w:val="001D7904"/>
    <w:rsid w:val="001D7CC6"/>
    <w:rsid w:val="001D7E55"/>
    <w:rsid w:val="001E01A2"/>
    <w:rsid w:val="001E043C"/>
    <w:rsid w:val="001E0E26"/>
    <w:rsid w:val="001E10C1"/>
    <w:rsid w:val="001E1218"/>
    <w:rsid w:val="001E12E0"/>
    <w:rsid w:val="001E1355"/>
    <w:rsid w:val="001E1B49"/>
    <w:rsid w:val="001E20F8"/>
    <w:rsid w:val="001E26F3"/>
    <w:rsid w:val="001E3402"/>
    <w:rsid w:val="001E350D"/>
    <w:rsid w:val="001E3F7A"/>
    <w:rsid w:val="001E47C3"/>
    <w:rsid w:val="001E4E1A"/>
    <w:rsid w:val="001E55E0"/>
    <w:rsid w:val="001E5A57"/>
    <w:rsid w:val="001E5F66"/>
    <w:rsid w:val="001E6031"/>
    <w:rsid w:val="001E6398"/>
    <w:rsid w:val="001E651A"/>
    <w:rsid w:val="001E68AE"/>
    <w:rsid w:val="001E6AC0"/>
    <w:rsid w:val="001E6BCD"/>
    <w:rsid w:val="001E749E"/>
    <w:rsid w:val="001E7505"/>
    <w:rsid w:val="001F034E"/>
    <w:rsid w:val="001F071B"/>
    <w:rsid w:val="001F1656"/>
    <w:rsid w:val="001F178D"/>
    <w:rsid w:val="001F194F"/>
    <w:rsid w:val="001F1AB3"/>
    <w:rsid w:val="001F1B62"/>
    <w:rsid w:val="001F1C97"/>
    <w:rsid w:val="001F21D9"/>
    <w:rsid w:val="001F236C"/>
    <w:rsid w:val="001F24C2"/>
    <w:rsid w:val="001F29B4"/>
    <w:rsid w:val="001F2C06"/>
    <w:rsid w:val="001F390E"/>
    <w:rsid w:val="001F3A9D"/>
    <w:rsid w:val="001F3C8E"/>
    <w:rsid w:val="001F3D51"/>
    <w:rsid w:val="001F419E"/>
    <w:rsid w:val="001F471C"/>
    <w:rsid w:val="001F484C"/>
    <w:rsid w:val="001F49F4"/>
    <w:rsid w:val="001F4A21"/>
    <w:rsid w:val="001F4DF8"/>
    <w:rsid w:val="001F4EF6"/>
    <w:rsid w:val="001F50A1"/>
    <w:rsid w:val="001F53F2"/>
    <w:rsid w:val="001F62A4"/>
    <w:rsid w:val="001F65FE"/>
    <w:rsid w:val="001F67FE"/>
    <w:rsid w:val="001F79B4"/>
    <w:rsid w:val="002007BC"/>
    <w:rsid w:val="00200967"/>
    <w:rsid w:val="00201BA2"/>
    <w:rsid w:val="00202119"/>
    <w:rsid w:val="00202B5C"/>
    <w:rsid w:val="00202DC7"/>
    <w:rsid w:val="0020306D"/>
    <w:rsid w:val="00203088"/>
    <w:rsid w:val="00203594"/>
    <w:rsid w:val="00203A5E"/>
    <w:rsid w:val="00203F27"/>
    <w:rsid w:val="00204165"/>
    <w:rsid w:val="00204640"/>
    <w:rsid w:val="00204B9A"/>
    <w:rsid w:val="00205027"/>
    <w:rsid w:val="002052FD"/>
    <w:rsid w:val="00206445"/>
    <w:rsid w:val="002065C3"/>
    <w:rsid w:val="002065CB"/>
    <w:rsid w:val="00206D07"/>
    <w:rsid w:val="0020707A"/>
    <w:rsid w:val="00207155"/>
    <w:rsid w:val="00207718"/>
    <w:rsid w:val="0020771A"/>
    <w:rsid w:val="0020785A"/>
    <w:rsid w:val="00207D1D"/>
    <w:rsid w:val="002109B3"/>
    <w:rsid w:val="00210A57"/>
    <w:rsid w:val="00211425"/>
    <w:rsid w:val="00211440"/>
    <w:rsid w:val="002115C6"/>
    <w:rsid w:val="00211991"/>
    <w:rsid w:val="00211CAE"/>
    <w:rsid w:val="00212123"/>
    <w:rsid w:val="0021255E"/>
    <w:rsid w:val="002128C1"/>
    <w:rsid w:val="00212916"/>
    <w:rsid w:val="00213060"/>
    <w:rsid w:val="00213504"/>
    <w:rsid w:val="00213807"/>
    <w:rsid w:val="00213EFC"/>
    <w:rsid w:val="00213F41"/>
    <w:rsid w:val="00214F88"/>
    <w:rsid w:val="002151AD"/>
    <w:rsid w:val="0021587C"/>
    <w:rsid w:val="00215CBE"/>
    <w:rsid w:val="002177CF"/>
    <w:rsid w:val="00220349"/>
    <w:rsid w:val="00220A27"/>
    <w:rsid w:val="00220CC7"/>
    <w:rsid w:val="00221068"/>
    <w:rsid w:val="00221715"/>
    <w:rsid w:val="00221D00"/>
    <w:rsid w:val="00222DCB"/>
    <w:rsid w:val="00222F59"/>
    <w:rsid w:val="00223747"/>
    <w:rsid w:val="00223C2C"/>
    <w:rsid w:val="00223EB2"/>
    <w:rsid w:val="00224C6A"/>
    <w:rsid w:val="00224C73"/>
    <w:rsid w:val="00224C92"/>
    <w:rsid w:val="00224FC9"/>
    <w:rsid w:val="002254CE"/>
    <w:rsid w:val="002257CB"/>
    <w:rsid w:val="0022594B"/>
    <w:rsid w:val="00225CB5"/>
    <w:rsid w:val="00225DA1"/>
    <w:rsid w:val="00225F54"/>
    <w:rsid w:val="00226236"/>
    <w:rsid w:val="00226A6B"/>
    <w:rsid w:val="00227079"/>
    <w:rsid w:val="00227178"/>
    <w:rsid w:val="00227A15"/>
    <w:rsid w:val="002301C8"/>
    <w:rsid w:val="0023029A"/>
    <w:rsid w:val="002309B8"/>
    <w:rsid w:val="0023121F"/>
    <w:rsid w:val="00232793"/>
    <w:rsid w:val="002336E5"/>
    <w:rsid w:val="00233ED4"/>
    <w:rsid w:val="00234292"/>
    <w:rsid w:val="00235082"/>
    <w:rsid w:val="002351E1"/>
    <w:rsid w:val="00235451"/>
    <w:rsid w:val="002354E6"/>
    <w:rsid w:val="002360A2"/>
    <w:rsid w:val="00236134"/>
    <w:rsid w:val="002367F3"/>
    <w:rsid w:val="00236B75"/>
    <w:rsid w:val="0023727B"/>
    <w:rsid w:val="00237657"/>
    <w:rsid w:val="00237901"/>
    <w:rsid w:val="00237FED"/>
    <w:rsid w:val="00241986"/>
    <w:rsid w:val="00241A5B"/>
    <w:rsid w:val="002423F5"/>
    <w:rsid w:val="00242671"/>
    <w:rsid w:val="002434F3"/>
    <w:rsid w:val="0024361F"/>
    <w:rsid w:val="002436E1"/>
    <w:rsid w:val="00243858"/>
    <w:rsid w:val="00243B51"/>
    <w:rsid w:val="00244125"/>
    <w:rsid w:val="002441F9"/>
    <w:rsid w:val="00244370"/>
    <w:rsid w:val="002444FD"/>
    <w:rsid w:val="00245782"/>
    <w:rsid w:val="00245C94"/>
    <w:rsid w:val="00247037"/>
    <w:rsid w:val="00247EC2"/>
    <w:rsid w:val="00247F6A"/>
    <w:rsid w:val="0025052F"/>
    <w:rsid w:val="00250C0E"/>
    <w:rsid w:val="00250DF6"/>
    <w:rsid w:val="00250F2C"/>
    <w:rsid w:val="002511EA"/>
    <w:rsid w:val="00251471"/>
    <w:rsid w:val="002515D6"/>
    <w:rsid w:val="00251836"/>
    <w:rsid w:val="0025185F"/>
    <w:rsid w:val="00251CB5"/>
    <w:rsid w:val="0025219D"/>
    <w:rsid w:val="0025226E"/>
    <w:rsid w:val="00252531"/>
    <w:rsid w:val="0025281D"/>
    <w:rsid w:val="00252C34"/>
    <w:rsid w:val="00253AE0"/>
    <w:rsid w:val="00253F26"/>
    <w:rsid w:val="002543D2"/>
    <w:rsid w:val="00254C8E"/>
    <w:rsid w:val="00254DFC"/>
    <w:rsid w:val="00254EA7"/>
    <w:rsid w:val="002552E3"/>
    <w:rsid w:val="002563D4"/>
    <w:rsid w:val="002563ED"/>
    <w:rsid w:val="002564F8"/>
    <w:rsid w:val="0025695A"/>
    <w:rsid w:val="002569E5"/>
    <w:rsid w:val="00256A30"/>
    <w:rsid w:val="00256AEC"/>
    <w:rsid w:val="00257111"/>
    <w:rsid w:val="00257195"/>
    <w:rsid w:val="0025737C"/>
    <w:rsid w:val="00257AF0"/>
    <w:rsid w:val="00257C2E"/>
    <w:rsid w:val="00260031"/>
    <w:rsid w:val="002600C4"/>
    <w:rsid w:val="002601AD"/>
    <w:rsid w:val="0026046E"/>
    <w:rsid w:val="00260575"/>
    <w:rsid w:val="00260662"/>
    <w:rsid w:val="0026066D"/>
    <w:rsid w:val="0026096C"/>
    <w:rsid w:val="00261129"/>
    <w:rsid w:val="00261D93"/>
    <w:rsid w:val="00261DC0"/>
    <w:rsid w:val="00261E72"/>
    <w:rsid w:val="00262077"/>
    <w:rsid w:val="002622CD"/>
    <w:rsid w:val="002626E9"/>
    <w:rsid w:val="00262764"/>
    <w:rsid w:val="00262AB4"/>
    <w:rsid w:val="00262E97"/>
    <w:rsid w:val="00262F87"/>
    <w:rsid w:val="0026303F"/>
    <w:rsid w:val="00263161"/>
    <w:rsid w:val="0026347F"/>
    <w:rsid w:val="002634E2"/>
    <w:rsid w:val="00263579"/>
    <w:rsid w:val="00263610"/>
    <w:rsid w:val="00263D81"/>
    <w:rsid w:val="00263D90"/>
    <w:rsid w:val="0026414A"/>
    <w:rsid w:val="0026450E"/>
    <w:rsid w:val="00264836"/>
    <w:rsid w:val="00264962"/>
    <w:rsid w:val="002650D9"/>
    <w:rsid w:val="0026518B"/>
    <w:rsid w:val="002659C9"/>
    <w:rsid w:val="00265B4E"/>
    <w:rsid w:val="00265F9A"/>
    <w:rsid w:val="00266189"/>
    <w:rsid w:val="0026647D"/>
    <w:rsid w:val="00267050"/>
    <w:rsid w:val="0026768E"/>
    <w:rsid w:val="002703D1"/>
    <w:rsid w:val="002706E3"/>
    <w:rsid w:val="002706F0"/>
    <w:rsid w:val="0027075A"/>
    <w:rsid w:val="0027091B"/>
    <w:rsid w:val="00271033"/>
    <w:rsid w:val="002718A5"/>
    <w:rsid w:val="00271993"/>
    <w:rsid w:val="00271B12"/>
    <w:rsid w:val="00271B21"/>
    <w:rsid w:val="002722B4"/>
    <w:rsid w:val="002729B8"/>
    <w:rsid w:val="00273133"/>
    <w:rsid w:val="002732D6"/>
    <w:rsid w:val="002734B7"/>
    <w:rsid w:val="002738E1"/>
    <w:rsid w:val="00273BD7"/>
    <w:rsid w:val="00274152"/>
    <w:rsid w:val="002741DA"/>
    <w:rsid w:val="002741FC"/>
    <w:rsid w:val="00274226"/>
    <w:rsid w:val="00274599"/>
    <w:rsid w:val="00274D84"/>
    <w:rsid w:val="002756C6"/>
    <w:rsid w:val="00275732"/>
    <w:rsid w:val="00275D0A"/>
    <w:rsid w:val="0027674C"/>
    <w:rsid w:val="0027686C"/>
    <w:rsid w:val="00276B66"/>
    <w:rsid w:val="00276CD6"/>
    <w:rsid w:val="00277405"/>
    <w:rsid w:val="00277627"/>
    <w:rsid w:val="00277CF5"/>
    <w:rsid w:val="00277F3F"/>
    <w:rsid w:val="002803D9"/>
    <w:rsid w:val="0028098A"/>
    <w:rsid w:val="002809D3"/>
    <w:rsid w:val="00280B78"/>
    <w:rsid w:val="00280DCA"/>
    <w:rsid w:val="00280DD9"/>
    <w:rsid w:val="00280E35"/>
    <w:rsid w:val="00280F4F"/>
    <w:rsid w:val="0028105A"/>
    <w:rsid w:val="002813C4"/>
    <w:rsid w:val="002814FC"/>
    <w:rsid w:val="00281F45"/>
    <w:rsid w:val="00282176"/>
    <w:rsid w:val="002827A7"/>
    <w:rsid w:val="002827DC"/>
    <w:rsid w:val="00282AFB"/>
    <w:rsid w:val="00282C72"/>
    <w:rsid w:val="00283249"/>
    <w:rsid w:val="002837C6"/>
    <w:rsid w:val="00283A92"/>
    <w:rsid w:val="00283D15"/>
    <w:rsid w:val="00283E54"/>
    <w:rsid w:val="0028474D"/>
    <w:rsid w:val="00285115"/>
    <w:rsid w:val="0028535A"/>
    <w:rsid w:val="00285DD7"/>
    <w:rsid w:val="00285E3C"/>
    <w:rsid w:val="00286981"/>
    <w:rsid w:val="002869A9"/>
    <w:rsid w:val="00286CCB"/>
    <w:rsid w:val="002875D0"/>
    <w:rsid w:val="00287653"/>
    <w:rsid w:val="00290B88"/>
    <w:rsid w:val="002912F5"/>
    <w:rsid w:val="00291843"/>
    <w:rsid w:val="00291DC8"/>
    <w:rsid w:val="00291EE3"/>
    <w:rsid w:val="00292042"/>
    <w:rsid w:val="00292865"/>
    <w:rsid w:val="00292AE1"/>
    <w:rsid w:val="00292AED"/>
    <w:rsid w:val="00293084"/>
    <w:rsid w:val="002932D1"/>
    <w:rsid w:val="002933AB"/>
    <w:rsid w:val="002938FF"/>
    <w:rsid w:val="00293D5F"/>
    <w:rsid w:val="00294496"/>
    <w:rsid w:val="00294DD2"/>
    <w:rsid w:val="00295768"/>
    <w:rsid w:val="002966E6"/>
    <w:rsid w:val="00296866"/>
    <w:rsid w:val="002968B0"/>
    <w:rsid w:val="00296E73"/>
    <w:rsid w:val="00296E92"/>
    <w:rsid w:val="00297312"/>
    <w:rsid w:val="00297974"/>
    <w:rsid w:val="00297CEA"/>
    <w:rsid w:val="002A0A8B"/>
    <w:rsid w:val="002A1ACA"/>
    <w:rsid w:val="002A23D2"/>
    <w:rsid w:val="002A2563"/>
    <w:rsid w:val="002A28A6"/>
    <w:rsid w:val="002A2A4F"/>
    <w:rsid w:val="002A2CF0"/>
    <w:rsid w:val="002A2D11"/>
    <w:rsid w:val="002A2D67"/>
    <w:rsid w:val="002A3111"/>
    <w:rsid w:val="002A3678"/>
    <w:rsid w:val="002A3C25"/>
    <w:rsid w:val="002A3F5D"/>
    <w:rsid w:val="002A461B"/>
    <w:rsid w:val="002A4780"/>
    <w:rsid w:val="002A5AA3"/>
    <w:rsid w:val="002A5AAE"/>
    <w:rsid w:val="002A5BF2"/>
    <w:rsid w:val="002A5FF3"/>
    <w:rsid w:val="002A6272"/>
    <w:rsid w:val="002A66CE"/>
    <w:rsid w:val="002A6B50"/>
    <w:rsid w:val="002A7385"/>
    <w:rsid w:val="002A738A"/>
    <w:rsid w:val="002A7424"/>
    <w:rsid w:val="002A784D"/>
    <w:rsid w:val="002A7C8F"/>
    <w:rsid w:val="002B0016"/>
    <w:rsid w:val="002B056E"/>
    <w:rsid w:val="002B0833"/>
    <w:rsid w:val="002B0AAE"/>
    <w:rsid w:val="002B0FE7"/>
    <w:rsid w:val="002B16F0"/>
    <w:rsid w:val="002B2BD8"/>
    <w:rsid w:val="002B2BF8"/>
    <w:rsid w:val="002B3039"/>
    <w:rsid w:val="002B30DC"/>
    <w:rsid w:val="002B31F9"/>
    <w:rsid w:val="002B3462"/>
    <w:rsid w:val="002B37AA"/>
    <w:rsid w:val="002B38F6"/>
    <w:rsid w:val="002B485C"/>
    <w:rsid w:val="002B4866"/>
    <w:rsid w:val="002B497F"/>
    <w:rsid w:val="002B4C35"/>
    <w:rsid w:val="002B4D7D"/>
    <w:rsid w:val="002B4E75"/>
    <w:rsid w:val="002B4F06"/>
    <w:rsid w:val="002B4FBB"/>
    <w:rsid w:val="002B54D1"/>
    <w:rsid w:val="002B611B"/>
    <w:rsid w:val="002B618F"/>
    <w:rsid w:val="002B68BE"/>
    <w:rsid w:val="002B6F6A"/>
    <w:rsid w:val="002B75FB"/>
    <w:rsid w:val="002C02E1"/>
    <w:rsid w:val="002C0627"/>
    <w:rsid w:val="002C096F"/>
    <w:rsid w:val="002C0E1F"/>
    <w:rsid w:val="002C0E80"/>
    <w:rsid w:val="002C0F69"/>
    <w:rsid w:val="002C130C"/>
    <w:rsid w:val="002C1513"/>
    <w:rsid w:val="002C1FD7"/>
    <w:rsid w:val="002C2791"/>
    <w:rsid w:val="002C3651"/>
    <w:rsid w:val="002C3967"/>
    <w:rsid w:val="002C447C"/>
    <w:rsid w:val="002C4C66"/>
    <w:rsid w:val="002C4F93"/>
    <w:rsid w:val="002C50B0"/>
    <w:rsid w:val="002C50C9"/>
    <w:rsid w:val="002C546C"/>
    <w:rsid w:val="002C5AB1"/>
    <w:rsid w:val="002C5E22"/>
    <w:rsid w:val="002C6448"/>
    <w:rsid w:val="002C66F0"/>
    <w:rsid w:val="002C676F"/>
    <w:rsid w:val="002C6D15"/>
    <w:rsid w:val="002C6E32"/>
    <w:rsid w:val="002C73C9"/>
    <w:rsid w:val="002C7463"/>
    <w:rsid w:val="002C7542"/>
    <w:rsid w:val="002C7815"/>
    <w:rsid w:val="002D0E85"/>
    <w:rsid w:val="002D10C8"/>
    <w:rsid w:val="002D1129"/>
    <w:rsid w:val="002D1290"/>
    <w:rsid w:val="002D12BF"/>
    <w:rsid w:val="002D1809"/>
    <w:rsid w:val="002D19B6"/>
    <w:rsid w:val="002D1FA6"/>
    <w:rsid w:val="002D264C"/>
    <w:rsid w:val="002D2930"/>
    <w:rsid w:val="002D2A77"/>
    <w:rsid w:val="002D2B27"/>
    <w:rsid w:val="002D2B87"/>
    <w:rsid w:val="002D333B"/>
    <w:rsid w:val="002D33D7"/>
    <w:rsid w:val="002D357C"/>
    <w:rsid w:val="002D361F"/>
    <w:rsid w:val="002D3C0B"/>
    <w:rsid w:val="002D3E3E"/>
    <w:rsid w:val="002D44AB"/>
    <w:rsid w:val="002D5125"/>
    <w:rsid w:val="002D5680"/>
    <w:rsid w:val="002D580F"/>
    <w:rsid w:val="002D5E24"/>
    <w:rsid w:val="002D6385"/>
    <w:rsid w:val="002D6557"/>
    <w:rsid w:val="002D673A"/>
    <w:rsid w:val="002D7150"/>
    <w:rsid w:val="002D752D"/>
    <w:rsid w:val="002D7985"/>
    <w:rsid w:val="002D7D10"/>
    <w:rsid w:val="002E00CA"/>
    <w:rsid w:val="002E1357"/>
    <w:rsid w:val="002E16AB"/>
    <w:rsid w:val="002E1727"/>
    <w:rsid w:val="002E190C"/>
    <w:rsid w:val="002E1A11"/>
    <w:rsid w:val="002E1A8C"/>
    <w:rsid w:val="002E1BE6"/>
    <w:rsid w:val="002E1C92"/>
    <w:rsid w:val="002E1CF3"/>
    <w:rsid w:val="002E2F4D"/>
    <w:rsid w:val="002E32B1"/>
    <w:rsid w:val="002E4582"/>
    <w:rsid w:val="002E4620"/>
    <w:rsid w:val="002E547E"/>
    <w:rsid w:val="002E5829"/>
    <w:rsid w:val="002E5EC6"/>
    <w:rsid w:val="002E61D5"/>
    <w:rsid w:val="002E62DB"/>
    <w:rsid w:val="002E649F"/>
    <w:rsid w:val="002E65DC"/>
    <w:rsid w:val="002E6742"/>
    <w:rsid w:val="002E73E9"/>
    <w:rsid w:val="002E74D8"/>
    <w:rsid w:val="002E78F7"/>
    <w:rsid w:val="002E7952"/>
    <w:rsid w:val="002E7F8A"/>
    <w:rsid w:val="002F01F9"/>
    <w:rsid w:val="002F0870"/>
    <w:rsid w:val="002F0DCB"/>
    <w:rsid w:val="002F11A6"/>
    <w:rsid w:val="002F1FCC"/>
    <w:rsid w:val="002F20A0"/>
    <w:rsid w:val="002F23DD"/>
    <w:rsid w:val="002F2456"/>
    <w:rsid w:val="002F2926"/>
    <w:rsid w:val="002F2D4A"/>
    <w:rsid w:val="002F2E76"/>
    <w:rsid w:val="002F2E8C"/>
    <w:rsid w:val="002F31E5"/>
    <w:rsid w:val="002F38FF"/>
    <w:rsid w:val="002F3E6F"/>
    <w:rsid w:val="002F473A"/>
    <w:rsid w:val="002F49F8"/>
    <w:rsid w:val="002F4AEA"/>
    <w:rsid w:val="002F4B70"/>
    <w:rsid w:val="002F4F67"/>
    <w:rsid w:val="002F521E"/>
    <w:rsid w:val="002F5775"/>
    <w:rsid w:val="002F577F"/>
    <w:rsid w:val="002F5F12"/>
    <w:rsid w:val="002F654A"/>
    <w:rsid w:val="002F6579"/>
    <w:rsid w:val="002F6D13"/>
    <w:rsid w:val="002F706B"/>
    <w:rsid w:val="002F70AB"/>
    <w:rsid w:val="002F72D7"/>
    <w:rsid w:val="002F77BF"/>
    <w:rsid w:val="002F7AAC"/>
    <w:rsid w:val="002F7D69"/>
    <w:rsid w:val="003001AC"/>
    <w:rsid w:val="00300560"/>
    <w:rsid w:val="0030067A"/>
    <w:rsid w:val="0030110A"/>
    <w:rsid w:val="00301538"/>
    <w:rsid w:val="00301B0F"/>
    <w:rsid w:val="00301D6F"/>
    <w:rsid w:val="00301DE4"/>
    <w:rsid w:val="003020DB"/>
    <w:rsid w:val="00302395"/>
    <w:rsid w:val="003025F0"/>
    <w:rsid w:val="003028B9"/>
    <w:rsid w:val="00302B2D"/>
    <w:rsid w:val="00302D93"/>
    <w:rsid w:val="00302E80"/>
    <w:rsid w:val="003033F6"/>
    <w:rsid w:val="00303826"/>
    <w:rsid w:val="00303827"/>
    <w:rsid w:val="003042D2"/>
    <w:rsid w:val="00304476"/>
    <w:rsid w:val="00304779"/>
    <w:rsid w:val="0030590D"/>
    <w:rsid w:val="0030592A"/>
    <w:rsid w:val="003064E9"/>
    <w:rsid w:val="003065A7"/>
    <w:rsid w:val="003065B1"/>
    <w:rsid w:val="00306858"/>
    <w:rsid w:val="00306C13"/>
    <w:rsid w:val="00306CC6"/>
    <w:rsid w:val="00306EB1"/>
    <w:rsid w:val="0030714A"/>
    <w:rsid w:val="0030725E"/>
    <w:rsid w:val="00307747"/>
    <w:rsid w:val="00307999"/>
    <w:rsid w:val="00307AC1"/>
    <w:rsid w:val="00307C80"/>
    <w:rsid w:val="00307CA5"/>
    <w:rsid w:val="00310FED"/>
    <w:rsid w:val="003110AE"/>
    <w:rsid w:val="0031115D"/>
    <w:rsid w:val="0031285F"/>
    <w:rsid w:val="003130B8"/>
    <w:rsid w:val="003139DF"/>
    <w:rsid w:val="00313DA3"/>
    <w:rsid w:val="00314046"/>
    <w:rsid w:val="003141B2"/>
    <w:rsid w:val="00314634"/>
    <w:rsid w:val="00314F40"/>
    <w:rsid w:val="0031506A"/>
    <w:rsid w:val="00315173"/>
    <w:rsid w:val="00315D45"/>
    <w:rsid w:val="003165ED"/>
    <w:rsid w:val="00316688"/>
    <w:rsid w:val="00316978"/>
    <w:rsid w:val="00316BE7"/>
    <w:rsid w:val="00316EBD"/>
    <w:rsid w:val="00316F85"/>
    <w:rsid w:val="00317866"/>
    <w:rsid w:val="00317D64"/>
    <w:rsid w:val="00317DDA"/>
    <w:rsid w:val="00320BDC"/>
    <w:rsid w:val="00320E21"/>
    <w:rsid w:val="00321834"/>
    <w:rsid w:val="003219D5"/>
    <w:rsid w:val="003223C5"/>
    <w:rsid w:val="0032248D"/>
    <w:rsid w:val="0032303A"/>
    <w:rsid w:val="003233A8"/>
    <w:rsid w:val="00323531"/>
    <w:rsid w:val="003237B3"/>
    <w:rsid w:val="00323B4B"/>
    <w:rsid w:val="00323C07"/>
    <w:rsid w:val="00323E05"/>
    <w:rsid w:val="00323EB0"/>
    <w:rsid w:val="00324002"/>
    <w:rsid w:val="0032470F"/>
    <w:rsid w:val="00324711"/>
    <w:rsid w:val="0032497C"/>
    <w:rsid w:val="00326029"/>
    <w:rsid w:val="0032630D"/>
    <w:rsid w:val="00326657"/>
    <w:rsid w:val="00326666"/>
    <w:rsid w:val="00326A3B"/>
    <w:rsid w:val="00327844"/>
    <w:rsid w:val="00327D93"/>
    <w:rsid w:val="00330046"/>
    <w:rsid w:val="0033008C"/>
    <w:rsid w:val="003309C9"/>
    <w:rsid w:val="00330A1F"/>
    <w:rsid w:val="00330BE4"/>
    <w:rsid w:val="00330D2D"/>
    <w:rsid w:val="00330E36"/>
    <w:rsid w:val="00330E78"/>
    <w:rsid w:val="0033156C"/>
    <w:rsid w:val="00331758"/>
    <w:rsid w:val="00331C40"/>
    <w:rsid w:val="00332486"/>
    <w:rsid w:val="00332BA5"/>
    <w:rsid w:val="00333C8A"/>
    <w:rsid w:val="00333FFB"/>
    <w:rsid w:val="003342A9"/>
    <w:rsid w:val="003343E1"/>
    <w:rsid w:val="003346CA"/>
    <w:rsid w:val="00334984"/>
    <w:rsid w:val="003349AD"/>
    <w:rsid w:val="003349EE"/>
    <w:rsid w:val="003355F5"/>
    <w:rsid w:val="00335B4D"/>
    <w:rsid w:val="0033704E"/>
    <w:rsid w:val="003372AC"/>
    <w:rsid w:val="00337D86"/>
    <w:rsid w:val="003402EF"/>
    <w:rsid w:val="00340973"/>
    <w:rsid w:val="00340F78"/>
    <w:rsid w:val="00341210"/>
    <w:rsid w:val="00341257"/>
    <w:rsid w:val="00341361"/>
    <w:rsid w:val="0034241C"/>
    <w:rsid w:val="003427F0"/>
    <w:rsid w:val="00342E77"/>
    <w:rsid w:val="0034316A"/>
    <w:rsid w:val="0034330F"/>
    <w:rsid w:val="00343673"/>
    <w:rsid w:val="003436DA"/>
    <w:rsid w:val="00343A65"/>
    <w:rsid w:val="00343C54"/>
    <w:rsid w:val="00343DD4"/>
    <w:rsid w:val="0034405F"/>
    <w:rsid w:val="003446F5"/>
    <w:rsid w:val="00344B28"/>
    <w:rsid w:val="00344DDE"/>
    <w:rsid w:val="00345CC2"/>
    <w:rsid w:val="00346328"/>
    <w:rsid w:val="003468DB"/>
    <w:rsid w:val="00346A84"/>
    <w:rsid w:val="00346BB5"/>
    <w:rsid w:val="00346DD2"/>
    <w:rsid w:val="00347756"/>
    <w:rsid w:val="00347BC1"/>
    <w:rsid w:val="00347D74"/>
    <w:rsid w:val="0035016C"/>
    <w:rsid w:val="00350439"/>
    <w:rsid w:val="00350AEE"/>
    <w:rsid w:val="00350DB4"/>
    <w:rsid w:val="00350FA8"/>
    <w:rsid w:val="00350FC0"/>
    <w:rsid w:val="00351709"/>
    <w:rsid w:val="00351A02"/>
    <w:rsid w:val="00351CBF"/>
    <w:rsid w:val="00352136"/>
    <w:rsid w:val="00352277"/>
    <w:rsid w:val="003522E7"/>
    <w:rsid w:val="00352360"/>
    <w:rsid w:val="00352538"/>
    <w:rsid w:val="003526DC"/>
    <w:rsid w:val="00352C5D"/>
    <w:rsid w:val="00353465"/>
    <w:rsid w:val="003534BB"/>
    <w:rsid w:val="003537D1"/>
    <w:rsid w:val="00353E92"/>
    <w:rsid w:val="00354195"/>
    <w:rsid w:val="0035498C"/>
    <w:rsid w:val="003551FB"/>
    <w:rsid w:val="00356C95"/>
    <w:rsid w:val="00357789"/>
    <w:rsid w:val="00357861"/>
    <w:rsid w:val="00357CE0"/>
    <w:rsid w:val="003605D4"/>
    <w:rsid w:val="0036066D"/>
    <w:rsid w:val="003606C8"/>
    <w:rsid w:val="00360879"/>
    <w:rsid w:val="003608CD"/>
    <w:rsid w:val="003609CA"/>
    <w:rsid w:val="00360EDA"/>
    <w:rsid w:val="00361569"/>
    <w:rsid w:val="003615F1"/>
    <w:rsid w:val="00362AA2"/>
    <w:rsid w:val="00362F64"/>
    <w:rsid w:val="00363344"/>
    <w:rsid w:val="003633FD"/>
    <w:rsid w:val="003636BA"/>
    <w:rsid w:val="003637FC"/>
    <w:rsid w:val="003638E9"/>
    <w:rsid w:val="003639D1"/>
    <w:rsid w:val="00363ADE"/>
    <w:rsid w:val="00363FA2"/>
    <w:rsid w:val="0036486F"/>
    <w:rsid w:val="00364C1B"/>
    <w:rsid w:val="0036555D"/>
    <w:rsid w:val="00365950"/>
    <w:rsid w:val="003662F6"/>
    <w:rsid w:val="003665E6"/>
    <w:rsid w:val="00366E09"/>
    <w:rsid w:val="0036749C"/>
    <w:rsid w:val="003710D4"/>
    <w:rsid w:val="00371564"/>
    <w:rsid w:val="0037176E"/>
    <w:rsid w:val="00372202"/>
    <w:rsid w:val="0037270C"/>
    <w:rsid w:val="00372E93"/>
    <w:rsid w:val="00372EF2"/>
    <w:rsid w:val="00373344"/>
    <w:rsid w:val="003734B9"/>
    <w:rsid w:val="00373748"/>
    <w:rsid w:val="00373866"/>
    <w:rsid w:val="003738B8"/>
    <w:rsid w:val="00373CC2"/>
    <w:rsid w:val="00374796"/>
    <w:rsid w:val="00374DD2"/>
    <w:rsid w:val="00375499"/>
    <w:rsid w:val="003755EE"/>
    <w:rsid w:val="0037590A"/>
    <w:rsid w:val="003759AF"/>
    <w:rsid w:val="00375B7D"/>
    <w:rsid w:val="00375E5F"/>
    <w:rsid w:val="0037612C"/>
    <w:rsid w:val="00376348"/>
    <w:rsid w:val="003771DF"/>
    <w:rsid w:val="00377872"/>
    <w:rsid w:val="00377EEB"/>
    <w:rsid w:val="003804EA"/>
    <w:rsid w:val="003810C0"/>
    <w:rsid w:val="00381156"/>
    <w:rsid w:val="00381208"/>
    <w:rsid w:val="003812A1"/>
    <w:rsid w:val="0038137B"/>
    <w:rsid w:val="00381DC4"/>
    <w:rsid w:val="0038252E"/>
    <w:rsid w:val="00382756"/>
    <w:rsid w:val="0038385C"/>
    <w:rsid w:val="003842A0"/>
    <w:rsid w:val="00384306"/>
    <w:rsid w:val="003848FA"/>
    <w:rsid w:val="00385246"/>
    <w:rsid w:val="00385379"/>
    <w:rsid w:val="003856F4"/>
    <w:rsid w:val="00385A83"/>
    <w:rsid w:val="00385F7B"/>
    <w:rsid w:val="00386103"/>
    <w:rsid w:val="00386634"/>
    <w:rsid w:val="00386A29"/>
    <w:rsid w:val="00387373"/>
    <w:rsid w:val="0038744B"/>
    <w:rsid w:val="003874EB"/>
    <w:rsid w:val="00387BC0"/>
    <w:rsid w:val="00390B29"/>
    <w:rsid w:val="00390E66"/>
    <w:rsid w:val="0039100B"/>
    <w:rsid w:val="00391299"/>
    <w:rsid w:val="003917A8"/>
    <w:rsid w:val="00391832"/>
    <w:rsid w:val="00391890"/>
    <w:rsid w:val="00391904"/>
    <w:rsid w:val="00391C0B"/>
    <w:rsid w:val="00391EEF"/>
    <w:rsid w:val="00392D4A"/>
    <w:rsid w:val="00392DE9"/>
    <w:rsid w:val="00392F28"/>
    <w:rsid w:val="00393311"/>
    <w:rsid w:val="00393827"/>
    <w:rsid w:val="00393ACB"/>
    <w:rsid w:val="00393D1D"/>
    <w:rsid w:val="00394035"/>
    <w:rsid w:val="003941BB"/>
    <w:rsid w:val="00394F7B"/>
    <w:rsid w:val="00395313"/>
    <w:rsid w:val="00395407"/>
    <w:rsid w:val="00395612"/>
    <w:rsid w:val="0039647F"/>
    <w:rsid w:val="00396A21"/>
    <w:rsid w:val="00396C4F"/>
    <w:rsid w:val="00396F4D"/>
    <w:rsid w:val="00396FE9"/>
    <w:rsid w:val="003971C9"/>
    <w:rsid w:val="00397385"/>
    <w:rsid w:val="003973A5"/>
    <w:rsid w:val="00397674"/>
    <w:rsid w:val="00397C5A"/>
    <w:rsid w:val="003A04F8"/>
    <w:rsid w:val="003A07AC"/>
    <w:rsid w:val="003A099D"/>
    <w:rsid w:val="003A0E85"/>
    <w:rsid w:val="003A1111"/>
    <w:rsid w:val="003A1866"/>
    <w:rsid w:val="003A1D1D"/>
    <w:rsid w:val="003A2ED6"/>
    <w:rsid w:val="003A2FDE"/>
    <w:rsid w:val="003A30C1"/>
    <w:rsid w:val="003A30FD"/>
    <w:rsid w:val="003A327C"/>
    <w:rsid w:val="003A3678"/>
    <w:rsid w:val="003A38FF"/>
    <w:rsid w:val="003A3D46"/>
    <w:rsid w:val="003A4398"/>
    <w:rsid w:val="003A460E"/>
    <w:rsid w:val="003A4C21"/>
    <w:rsid w:val="003A59B3"/>
    <w:rsid w:val="003A61CD"/>
    <w:rsid w:val="003A6360"/>
    <w:rsid w:val="003A63EC"/>
    <w:rsid w:val="003A68DB"/>
    <w:rsid w:val="003A74B0"/>
    <w:rsid w:val="003B01D6"/>
    <w:rsid w:val="003B0245"/>
    <w:rsid w:val="003B031C"/>
    <w:rsid w:val="003B097F"/>
    <w:rsid w:val="003B15D5"/>
    <w:rsid w:val="003B20BD"/>
    <w:rsid w:val="003B23C7"/>
    <w:rsid w:val="003B2440"/>
    <w:rsid w:val="003B280A"/>
    <w:rsid w:val="003B3C2B"/>
    <w:rsid w:val="003B3E93"/>
    <w:rsid w:val="003B3EB7"/>
    <w:rsid w:val="003B41B9"/>
    <w:rsid w:val="003B4D5D"/>
    <w:rsid w:val="003B4E2E"/>
    <w:rsid w:val="003B542B"/>
    <w:rsid w:val="003B63CE"/>
    <w:rsid w:val="003B68B8"/>
    <w:rsid w:val="003B698C"/>
    <w:rsid w:val="003B6A41"/>
    <w:rsid w:val="003B6A48"/>
    <w:rsid w:val="003B7438"/>
    <w:rsid w:val="003B7497"/>
    <w:rsid w:val="003B7696"/>
    <w:rsid w:val="003B78E7"/>
    <w:rsid w:val="003B7CAC"/>
    <w:rsid w:val="003C0680"/>
    <w:rsid w:val="003C0EBA"/>
    <w:rsid w:val="003C12C7"/>
    <w:rsid w:val="003C17AC"/>
    <w:rsid w:val="003C187C"/>
    <w:rsid w:val="003C1A65"/>
    <w:rsid w:val="003C22A4"/>
    <w:rsid w:val="003C2488"/>
    <w:rsid w:val="003C24AC"/>
    <w:rsid w:val="003C24EA"/>
    <w:rsid w:val="003C2645"/>
    <w:rsid w:val="003C2668"/>
    <w:rsid w:val="003C2728"/>
    <w:rsid w:val="003C281A"/>
    <w:rsid w:val="003C3034"/>
    <w:rsid w:val="003C306D"/>
    <w:rsid w:val="003C3613"/>
    <w:rsid w:val="003C3669"/>
    <w:rsid w:val="003C3AEC"/>
    <w:rsid w:val="003C3DDE"/>
    <w:rsid w:val="003C405F"/>
    <w:rsid w:val="003C40A8"/>
    <w:rsid w:val="003C4215"/>
    <w:rsid w:val="003C5885"/>
    <w:rsid w:val="003C5972"/>
    <w:rsid w:val="003C59FD"/>
    <w:rsid w:val="003C5D0F"/>
    <w:rsid w:val="003C5FFF"/>
    <w:rsid w:val="003C63A9"/>
    <w:rsid w:val="003C6698"/>
    <w:rsid w:val="003C684B"/>
    <w:rsid w:val="003C68F1"/>
    <w:rsid w:val="003C693E"/>
    <w:rsid w:val="003C6EE7"/>
    <w:rsid w:val="003C735E"/>
    <w:rsid w:val="003C7ADE"/>
    <w:rsid w:val="003D005B"/>
    <w:rsid w:val="003D0289"/>
    <w:rsid w:val="003D043E"/>
    <w:rsid w:val="003D05EA"/>
    <w:rsid w:val="003D0777"/>
    <w:rsid w:val="003D0858"/>
    <w:rsid w:val="003D0D1A"/>
    <w:rsid w:val="003D0D9C"/>
    <w:rsid w:val="003D200A"/>
    <w:rsid w:val="003D247E"/>
    <w:rsid w:val="003D2646"/>
    <w:rsid w:val="003D2C89"/>
    <w:rsid w:val="003D3E06"/>
    <w:rsid w:val="003D4207"/>
    <w:rsid w:val="003D4465"/>
    <w:rsid w:val="003D5634"/>
    <w:rsid w:val="003D59B7"/>
    <w:rsid w:val="003D5ACF"/>
    <w:rsid w:val="003D60B4"/>
    <w:rsid w:val="003D62F6"/>
    <w:rsid w:val="003D6C9C"/>
    <w:rsid w:val="003D6F82"/>
    <w:rsid w:val="003D70CB"/>
    <w:rsid w:val="003D718A"/>
    <w:rsid w:val="003D7AF3"/>
    <w:rsid w:val="003E033B"/>
    <w:rsid w:val="003E0609"/>
    <w:rsid w:val="003E0B16"/>
    <w:rsid w:val="003E1064"/>
    <w:rsid w:val="003E10BB"/>
    <w:rsid w:val="003E11BC"/>
    <w:rsid w:val="003E1248"/>
    <w:rsid w:val="003E1DD4"/>
    <w:rsid w:val="003E20B7"/>
    <w:rsid w:val="003E25B4"/>
    <w:rsid w:val="003E2CD9"/>
    <w:rsid w:val="003E33D5"/>
    <w:rsid w:val="003E3453"/>
    <w:rsid w:val="003E35F5"/>
    <w:rsid w:val="003E4367"/>
    <w:rsid w:val="003E4514"/>
    <w:rsid w:val="003E466D"/>
    <w:rsid w:val="003E4B5E"/>
    <w:rsid w:val="003E53B8"/>
    <w:rsid w:val="003E541A"/>
    <w:rsid w:val="003E56F4"/>
    <w:rsid w:val="003E60EE"/>
    <w:rsid w:val="003E6784"/>
    <w:rsid w:val="003E6BFF"/>
    <w:rsid w:val="003E6CE4"/>
    <w:rsid w:val="003E7012"/>
    <w:rsid w:val="003E7902"/>
    <w:rsid w:val="003E79D8"/>
    <w:rsid w:val="003E7B16"/>
    <w:rsid w:val="003E7FC7"/>
    <w:rsid w:val="003F0320"/>
    <w:rsid w:val="003F05E1"/>
    <w:rsid w:val="003F0871"/>
    <w:rsid w:val="003F08E5"/>
    <w:rsid w:val="003F0A16"/>
    <w:rsid w:val="003F0E7C"/>
    <w:rsid w:val="003F0F25"/>
    <w:rsid w:val="003F1608"/>
    <w:rsid w:val="003F2145"/>
    <w:rsid w:val="003F245A"/>
    <w:rsid w:val="003F24B1"/>
    <w:rsid w:val="003F24DC"/>
    <w:rsid w:val="003F258C"/>
    <w:rsid w:val="003F2E29"/>
    <w:rsid w:val="003F2F6D"/>
    <w:rsid w:val="003F350E"/>
    <w:rsid w:val="003F3739"/>
    <w:rsid w:val="003F3C21"/>
    <w:rsid w:val="003F3EE3"/>
    <w:rsid w:val="003F4057"/>
    <w:rsid w:val="003F4645"/>
    <w:rsid w:val="003F46D0"/>
    <w:rsid w:val="003F4889"/>
    <w:rsid w:val="003F59F0"/>
    <w:rsid w:val="003F6827"/>
    <w:rsid w:val="003F694F"/>
    <w:rsid w:val="003F6C16"/>
    <w:rsid w:val="003F6EFE"/>
    <w:rsid w:val="003F7550"/>
    <w:rsid w:val="003F788E"/>
    <w:rsid w:val="003F7E4B"/>
    <w:rsid w:val="003F7E69"/>
    <w:rsid w:val="003F7EAD"/>
    <w:rsid w:val="004007D5"/>
    <w:rsid w:val="00400F48"/>
    <w:rsid w:val="00403721"/>
    <w:rsid w:val="004038BD"/>
    <w:rsid w:val="00404053"/>
    <w:rsid w:val="004043FF"/>
    <w:rsid w:val="00404BB3"/>
    <w:rsid w:val="0040513E"/>
    <w:rsid w:val="00405183"/>
    <w:rsid w:val="00405410"/>
    <w:rsid w:val="0040575A"/>
    <w:rsid w:val="004057E6"/>
    <w:rsid w:val="00405A4B"/>
    <w:rsid w:val="00405AFD"/>
    <w:rsid w:val="00406196"/>
    <w:rsid w:val="00406365"/>
    <w:rsid w:val="00406A7C"/>
    <w:rsid w:val="0040703A"/>
    <w:rsid w:val="0040708A"/>
    <w:rsid w:val="004073F1"/>
    <w:rsid w:val="00407907"/>
    <w:rsid w:val="00407B2F"/>
    <w:rsid w:val="00407ECE"/>
    <w:rsid w:val="0041057E"/>
    <w:rsid w:val="0041076B"/>
    <w:rsid w:val="0041194D"/>
    <w:rsid w:val="00411BEC"/>
    <w:rsid w:val="004124A6"/>
    <w:rsid w:val="00412709"/>
    <w:rsid w:val="0041278D"/>
    <w:rsid w:val="00412911"/>
    <w:rsid w:val="00412DA8"/>
    <w:rsid w:val="00412EB0"/>
    <w:rsid w:val="00412F48"/>
    <w:rsid w:val="0041384B"/>
    <w:rsid w:val="004138AA"/>
    <w:rsid w:val="00413D6C"/>
    <w:rsid w:val="00414364"/>
    <w:rsid w:val="004148A7"/>
    <w:rsid w:val="00414998"/>
    <w:rsid w:val="00414A06"/>
    <w:rsid w:val="004154C9"/>
    <w:rsid w:val="0041585C"/>
    <w:rsid w:val="00415A89"/>
    <w:rsid w:val="00416174"/>
    <w:rsid w:val="0041646A"/>
    <w:rsid w:val="0041669A"/>
    <w:rsid w:val="004176F4"/>
    <w:rsid w:val="0042015A"/>
    <w:rsid w:val="0042035B"/>
    <w:rsid w:val="004203D5"/>
    <w:rsid w:val="00420CB9"/>
    <w:rsid w:val="00421879"/>
    <w:rsid w:val="00421AB0"/>
    <w:rsid w:val="004220CC"/>
    <w:rsid w:val="00422148"/>
    <w:rsid w:val="004228A1"/>
    <w:rsid w:val="00423121"/>
    <w:rsid w:val="004245F4"/>
    <w:rsid w:val="004247FB"/>
    <w:rsid w:val="00424ED9"/>
    <w:rsid w:val="00424EF9"/>
    <w:rsid w:val="00425310"/>
    <w:rsid w:val="00426023"/>
    <w:rsid w:val="00426139"/>
    <w:rsid w:val="004265A5"/>
    <w:rsid w:val="00426D5F"/>
    <w:rsid w:val="00427A0F"/>
    <w:rsid w:val="00427A22"/>
    <w:rsid w:val="00427C8C"/>
    <w:rsid w:val="00427DFA"/>
    <w:rsid w:val="004305B4"/>
    <w:rsid w:val="00430671"/>
    <w:rsid w:val="00430685"/>
    <w:rsid w:val="0043068F"/>
    <w:rsid w:val="00430712"/>
    <w:rsid w:val="00430872"/>
    <w:rsid w:val="004309D7"/>
    <w:rsid w:val="004312D6"/>
    <w:rsid w:val="004316A5"/>
    <w:rsid w:val="004316AE"/>
    <w:rsid w:val="00431B0A"/>
    <w:rsid w:val="00431B49"/>
    <w:rsid w:val="00431F8B"/>
    <w:rsid w:val="00432038"/>
    <w:rsid w:val="00432281"/>
    <w:rsid w:val="00432498"/>
    <w:rsid w:val="004332F5"/>
    <w:rsid w:val="00433E9F"/>
    <w:rsid w:val="00434038"/>
    <w:rsid w:val="0043405E"/>
    <w:rsid w:val="00434644"/>
    <w:rsid w:val="00434E6E"/>
    <w:rsid w:val="00435348"/>
    <w:rsid w:val="00435B2E"/>
    <w:rsid w:val="00436CC5"/>
    <w:rsid w:val="00436CF2"/>
    <w:rsid w:val="00436ECD"/>
    <w:rsid w:val="00437174"/>
    <w:rsid w:val="0043735A"/>
    <w:rsid w:val="00437F6F"/>
    <w:rsid w:val="0044006B"/>
    <w:rsid w:val="00440487"/>
    <w:rsid w:val="00441092"/>
    <w:rsid w:val="00441284"/>
    <w:rsid w:val="00441789"/>
    <w:rsid w:val="00441AF9"/>
    <w:rsid w:val="00441CD1"/>
    <w:rsid w:val="00441D0E"/>
    <w:rsid w:val="00442173"/>
    <w:rsid w:val="0044268A"/>
    <w:rsid w:val="00442B1F"/>
    <w:rsid w:val="00443014"/>
    <w:rsid w:val="0044381A"/>
    <w:rsid w:val="00443A65"/>
    <w:rsid w:val="00443C0E"/>
    <w:rsid w:val="00444052"/>
    <w:rsid w:val="004451C3"/>
    <w:rsid w:val="004453C4"/>
    <w:rsid w:val="004455CC"/>
    <w:rsid w:val="004456BE"/>
    <w:rsid w:val="0044587A"/>
    <w:rsid w:val="00445DD7"/>
    <w:rsid w:val="0044699D"/>
    <w:rsid w:val="00446ADC"/>
    <w:rsid w:val="00446C01"/>
    <w:rsid w:val="00446DF9"/>
    <w:rsid w:val="00446EB3"/>
    <w:rsid w:val="00446F75"/>
    <w:rsid w:val="00447098"/>
    <w:rsid w:val="00447922"/>
    <w:rsid w:val="004479E6"/>
    <w:rsid w:val="00447A00"/>
    <w:rsid w:val="00447CE1"/>
    <w:rsid w:val="00447D97"/>
    <w:rsid w:val="0045044C"/>
    <w:rsid w:val="00450623"/>
    <w:rsid w:val="00451145"/>
    <w:rsid w:val="0045122A"/>
    <w:rsid w:val="00451485"/>
    <w:rsid w:val="00451657"/>
    <w:rsid w:val="00452EC1"/>
    <w:rsid w:val="004538AA"/>
    <w:rsid w:val="0045441C"/>
    <w:rsid w:val="0045467A"/>
    <w:rsid w:val="00454D64"/>
    <w:rsid w:val="00455323"/>
    <w:rsid w:val="004558BC"/>
    <w:rsid w:val="004559FC"/>
    <w:rsid w:val="00455AC2"/>
    <w:rsid w:val="00455EF5"/>
    <w:rsid w:val="00456374"/>
    <w:rsid w:val="0045667C"/>
    <w:rsid w:val="00456779"/>
    <w:rsid w:val="00456F1D"/>
    <w:rsid w:val="00457449"/>
    <w:rsid w:val="00457988"/>
    <w:rsid w:val="00460008"/>
    <w:rsid w:val="0046035D"/>
    <w:rsid w:val="00460A28"/>
    <w:rsid w:val="0046126D"/>
    <w:rsid w:val="0046192C"/>
    <w:rsid w:val="00461FA3"/>
    <w:rsid w:val="00462475"/>
    <w:rsid w:val="004626E2"/>
    <w:rsid w:val="00462A8C"/>
    <w:rsid w:val="00462AD1"/>
    <w:rsid w:val="00462BE2"/>
    <w:rsid w:val="00462C90"/>
    <w:rsid w:val="004633A2"/>
    <w:rsid w:val="00463472"/>
    <w:rsid w:val="004638CE"/>
    <w:rsid w:val="00463A66"/>
    <w:rsid w:val="00463C25"/>
    <w:rsid w:val="0046413D"/>
    <w:rsid w:val="00464321"/>
    <w:rsid w:val="00464364"/>
    <w:rsid w:val="00464641"/>
    <w:rsid w:val="00464A0E"/>
    <w:rsid w:val="00464BAC"/>
    <w:rsid w:val="00464CD8"/>
    <w:rsid w:val="004656C5"/>
    <w:rsid w:val="00465B2B"/>
    <w:rsid w:val="00465D0B"/>
    <w:rsid w:val="00466AF9"/>
    <w:rsid w:val="00466E3A"/>
    <w:rsid w:val="00466E54"/>
    <w:rsid w:val="00467617"/>
    <w:rsid w:val="0046797E"/>
    <w:rsid w:val="00470375"/>
    <w:rsid w:val="0047092A"/>
    <w:rsid w:val="00470B4A"/>
    <w:rsid w:val="00471766"/>
    <w:rsid w:val="00471897"/>
    <w:rsid w:val="0047217E"/>
    <w:rsid w:val="004721C5"/>
    <w:rsid w:val="00472599"/>
    <w:rsid w:val="00472C45"/>
    <w:rsid w:val="0047361E"/>
    <w:rsid w:val="0047377C"/>
    <w:rsid w:val="00473C90"/>
    <w:rsid w:val="00473F5F"/>
    <w:rsid w:val="0047428C"/>
    <w:rsid w:val="004742BD"/>
    <w:rsid w:val="0047437A"/>
    <w:rsid w:val="0047486B"/>
    <w:rsid w:val="00474AA7"/>
    <w:rsid w:val="00474E70"/>
    <w:rsid w:val="00474E7B"/>
    <w:rsid w:val="0047590D"/>
    <w:rsid w:val="004762A7"/>
    <w:rsid w:val="004763FA"/>
    <w:rsid w:val="00476781"/>
    <w:rsid w:val="00476899"/>
    <w:rsid w:val="00477687"/>
    <w:rsid w:val="0047768D"/>
    <w:rsid w:val="00477AE4"/>
    <w:rsid w:val="0048100F"/>
    <w:rsid w:val="004812A2"/>
    <w:rsid w:val="00481733"/>
    <w:rsid w:val="0048189F"/>
    <w:rsid w:val="00481C6E"/>
    <w:rsid w:val="004822BC"/>
    <w:rsid w:val="00482395"/>
    <w:rsid w:val="004828B8"/>
    <w:rsid w:val="004829DC"/>
    <w:rsid w:val="004829F9"/>
    <w:rsid w:val="00482DC1"/>
    <w:rsid w:val="00482DFB"/>
    <w:rsid w:val="004830BF"/>
    <w:rsid w:val="00483113"/>
    <w:rsid w:val="00483341"/>
    <w:rsid w:val="004833A6"/>
    <w:rsid w:val="00484311"/>
    <w:rsid w:val="004849E3"/>
    <w:rsid w:val="004849FE"/>
    <w:rsid w:val="00484CE6"/>
    <w:rsid w:val="00484DB6"/>
    <w:rsid w:val="0048546A"/>
    <w:rsid w:val="0048572D"/>
    <w:rsid w:val="00485792"/>
    <w:rsid w:val="00485D96"/>
    <w:rsid w:val="00486329"/>
    <w:rsid w:val="00486D3A"/>
    <w:rsid w:val="00486FEB"/>
    <w:rsid w:val="00487007"/>
    <w:rsid w:val="0048720A"/>
    <w:rsid w:val="00487387"/>
    <w:rsid w:val="00490771"/>
    <w:rsid w:val="00490F75"/>
    <w:rsid w:val="004918C9"/>
    <w:rsid w:val="004918CB"/>
    <w:rsid w:val="004920C4"/>
    <w:rsid w:val="0049258E"/>
    <w:rsid w:val="004926C2"/>
    <w:rsid w:val="00492B07"/>
    <w:rsid w:val="00492E71"/>
    <w:rsid w:val="00493B4F"/>
    <w:rsid w:val="00493F53"/>
    <w:rsid w:val="004941E2"/>
    <w:rsid w:val="00494245"/>
    <w:rsid w:val="004943EE"/>
    <w:rsid w:val="004947F9"/>
    <w:rsid w:val="00494D2D"/>
    <w:rsid w:val="0049536B"/>
    <w:rsid w:val="00495413"/>
    <w:rsid w:val="00496455"/>
    <w:rsid w:val="00496510"/>
    <w:rsid w:val="0049695B"/>
    <w:rsid w:val="00496DE7"/>
    <w:rsid w:val="00497C04"/>
    <w:rsid w:val="00497C27"/>
    <w:rsid w:val="00497F27"/>
    <w:rsid w:val="004A1276"/>
    <w:rsid w:val="004A197F"/>
    <w:rsid w:val="004A1AC6"/>
    <w:rsid w:val="004A1F65"/>
    <w:rsid w:val="004A2895"/>
    <w:rsid w:val="004A2B2A"/>
    <w:rsid w:val="004A309F"/>
    <w:rsid w:val="004A3754"/>
    <w:rsid w:val="004A40AB"/>
    <w:rsid w:val="004A48A6"/>
    <w:rsid w:val="004A4E5D"/>
    <w:rsid w:val="004A5251"/>
    <w:rsid w:val="004A5513"/>
    <w:rsid w:val="004A5B79"/>
    <w:rsid w:val="004A6003"/>
    <w:rsid w:val="004A6249"/>
    <w:rsid w:val="004A63D4"/>
    <w:rsid w:val="004A6511"/>
    <w:rsid w:val="004A657B"/>
    <w:rsid w:val="004A664E"/>
    <w:rsid w:val="004A67A3"/>
    <w:rsid w:val="004A70B9"/>
    <w:rsid w:val="004A76FD"/>
    <w:rsid w:val="004A7A74"/>
    <w:rsid w:val="004A7BCF"/>
    <w:rsid w:val="004A7BD4"/>
    <w:rsid w:val="004B0AD6"/>
    <w:rsid w:val="004B0F4B"/>
    <w:rsid w:val="004B1181"/>
    <w:rsid w:val="004B1A4B"/>
    <w:rsid w:val="004B1BCA"/>
    <w:rsid w:val="004B1CE9"/>
    <w:rsid w:val="004B2287"/>
    <w:rsid w:val="004B2460"/>
    <w:rsid w:val="004B26B1"/>
    <w:rsid w:val="004B2A7E"/>
    <w:rsid w:val="004B2AD2"/>
    <w:rsid w:val="004B2DBC"/>
    <w:rsid w:val="004B3148"/>
    <w:rsid w:val="004B3261"/>
    <w:rsid w:val="004B369A"/>
    <w:rsid w:val="004B3B4D"/>
    <w:rsid w:val="004B3E8E"/>
    <w:rsid w:val="004B4155"/>
    <w:rsid w:val="004B56E3"/>
    <w:rsid w:val="004B57BC"/>
    <w:rsid w:val="004B5EB0"/>
    <w:rsid w:val="004B5EC1"/>
    <w:rsid w:val="004B6042"/>
    <w:rsid w:val="004B6220"/>
    <w:rsid w:val="004B66D2"/>
    <w:rsid w:val="004B6AA6"/>
    <w:rsid w:val="004B6E96"/>
    <w:rsid w:val="004B70C4"/>
    <w:rsid w:val="004B70D7"/>
    <w:rsid w:val="004B74FB"/>
    <w:rsid w:val="004B7A4F"/>
    <w:rsid w:val="004B7E6E"/>
    <w:rsid w:val="004C01B7"/>
    <w:rsid w:val="004C0394"/>
    <w:rsid w:val="004C06B0"/>
    <w:rsid w:val="004C06D5"/>
    <w:rsid w:val="004C16D6"/>
    <w:rsid w:val="004C181F"/>
    <w:rsid w:val="004C1D5B"/>
    <w:rsid w:val="004C3273"/>
    <w:rsid w:val="004C3415"/>
    <w:rsid w:val="004C3D28"/>
    <w:rsid w:val="004C4032"/>
    <w:rsid w:val="004C4110"/>
    <w:rsid w:val="004C4466"/>
    <w:rsid w:val="004C45B5"/>
    <w:rsid w:val="004C48DE"/>
    <w:rsid w:val="004C4B16"/>
    <w:rsid w:val="004C4D4F"/>
    <w:rsid w:val="004C53DB"/>
    <w:rsid w:val="004C564D"/>
    <w:rsid w:val="004C568F"/>
    <w:rsid w:val="004C570C"/>
    <w:rsid w:val="004C5ABD"/>
    <w:rsid w:val="004C5DF6"/>
    <w:rsid w:val="004C6429"/>
    <w:rsid w:val="004C667B"/>
    <w:rsid w:val="004C7072"/>
    <w:rsid w:val="004C73C7"/>
    <w:rsid w:val="004C776C"/>
    <w:rsid w:val="004C785C"/>
    <w:rsid w:val="004C79AE"/>
    <w:rsid w:val="004D03B0"/>
    <w:rsid w:val="004D0745"/>
    <w:rsid w:val="004D0E00"/>
    <w:rsid w:val="004D155A"/>
    <w:rsid w:val="004D24FD"/>
    <w:rsid w:val="004D27EC"/>
    <w:rsid w:val="004D31B9"/>
    <w:rsid w:val="004D3374"/>
    <w:rsid w:val="004D3B30"/>
    <w:rsid w:val="004D3BAD"/>
    <w:rsid w:val="004D4E63"/>
    <w:rsid w:val="004D580B"/>
    <w:rsid w:val="004D58EF"/>
    <w:rsid w:val="004D596A"/>
    <w:rsid w:val="004D5D9B"/>
    <w:rsid w:val="004D5E24"/>
    <w:rsid w:val="004D6057"/>
    <w:rsid w:val="004D6102"/>
    <w:rsid w:val="004D6757"/>
    <w:rsid w:val="004D6EED"/>
    <w:rsid w:val="004D78C4"/>
    <w:rsid w:val="004D792F"/>
    <w:rsid w:val="004D7BA5"/>
    <w:rsid w:val="004D7DAD"/>
    <w:rsid w:val="004E0572"/>
    <w:rsid w:val="004E0647"/>
    <w:rsid w:val="004E0CF9"/>
    <w:rsid w:val="004E1143"/>
    <w:rsid w:val="004E1E00"/>
    <w:rsid w:val="004E1F14"/>
    <w:rsid w:val="004E206E"/>
    <w:rsid w:val="004E21A9"/>
    <w:rsid w:val="004E26ED"/>
    <w:rsid w:val="004E288C"/>
    <w:rsid w:val="004E3B1F"/>
    <w:rsid w:val="004E477A"/>
    <w:rsid w:val="004E48A1"/>
    <w:rsid w:val="004E496E"/>
    <w:rsid w:val="004E49C6"/>
    <w:rsid w:val="004E5057"/>
    <w:rsid w:val="004E529B"/>
    <w:rsid w:val="004E5585"/>
    <w:rsid w:val="004E5763"/>
    <w:rsid w:val="004E5813"/>
    <w:rsid w:val="004E5AF1"/>
    <w:rsid w:val="004E5FFB"/>
    <w:rsid w:val="004E6465"/>
    <w:rsid w:val="004E6906"/>
    <w:rsid w:val="004E6C67"/>
    <w:rsid w:val="004E7403"/>
    <w:rsid w:val="004E7912"/>
    <w:rsid w:val="004E7E35"/>
    <w:rsid w:val="004E7F5C"/>
    <w:rsid w:val="004F0361"/>
    <w:rsid w:val="004F040B"/>
    <w:rsid w:val="004F128E"/>
    <w:rsid w:val="004F158D"/>
    <w:rsid w:val="004F18E8"/>
    <w:rsid w:val="004F1F22"/>
    <w:rsid w:val="004F2099"/>
    <w:rsid w:val="004F2104"/>
    <w:rsid w:val="004F2BC5"/>
    <w:rsid w:val="004F2CEE"/>
    <w:rsid w:val="004F39D1"/>
    <w:rsid w:val="004F424A"/>
    <w:rsid w:val="004F4599"/>
    <w:rsid w:val="004F46A1"/>
    <w:rsid w:val="004F4746"/>
    <w:rsid w:val="004F4BE2"/>
    <w:rsid w:val="004F5604"/>
    <w:rsid w:val="004F57AE"/>
    <w:rsid w:val="004F59AE"/>
    <w:rsid w:val="004F5A7E"/>
    <w:rsid w:val="004F5A92"/>
    <w:rsid w:val="004F61B3"/>
    <w:rsid w:val="004F624A"/>
    <w:rsid w:val="004F64CE"/>
    <w:rsid w:val="004F6BC8"/>
    <w:rsid w:val="004F6D11"/>
    <w:rsid w:val="004F6FB3"/>
    <w:rsid w:val="004F771F"/>
    <w:rsid w:val="005003F6"/>
    <w:rsid w:val="005005DB"/>
    <w:rsid w:val="00501167"/>
    <w:rsid w:val="00501523"/>
    <w:rsid w:val="00501E7F"/>
    <w:rsid w:val="00501EC8"/>
    <w:rsid w:val="00501FA4"/>
    <w:rsid w:val="005023C3"/>
    <w:rsid w:val="005033D6"/>
    <w:rsid w:val="0050403C"/>
    <w:rsid w:val="005046B4"/>
    <w:rsid w:val="00504E75"/>
    <w:rsid w:val="00504EDF"/>
    <w:rsid w:val="005050C7"/>
    <w:rsid w:val="00505199"/>
    <w:rsid w:val="0050547A"/>
    <w:rsid w:val="005054F1"/>
    <w:rsid w:val="00505585"/>
    <w:rsid w:val="005056AA"/>
    <w:rsid w:val="005057BA"/>
    <w:rsid w:val="00505943"/>
    <w:rsid w:val="00505C8D"/>
    <w:rsid w:val="00505FFA"/>
    <w:rsid w:val="00506736"/>
    <w:rsid w:val="005067D2"/>
    <w:rsid w:val="00506B50"/>
    <w:rsid w:val="00506C64"/>
    <w:rsid w:val="00506E72"/>
    <w:rsid w:val="00506F9A"/>
    <w:rsid w:val="005079D7"/>
    <w:rsid w:val="00507DDD"/>
    <w:rsid w:val="0051078E"/>
    <w:rsid w:val="00510A0D"/>
    <w:rsid w:val="0051119E"/>
    <w:rsid w:val="0051137B"/>
    <w:rsid w:val="00511382"/>
    <w:rsid w:val="005113B4"/>
    <w:rsid w:val="00511653"/>
    <w:rsid w:val="005116CE"/>
    <w:rsid w:val="00511868"/>
    <w:rsid w:val="0051190B"/>
    <w:rsid w:val="00511A26"/>
    <w:rsid w:val="00511A6C"/>
    <w:rsid w:val="0051216A"/>
    <w:rsid w:val="00512321"/>
    <w:rsid w:val="00512529"/>
    <w:rsid w:val="00512A83"/>
    <w:rsid w:val="00512D07"/>
    <w:rsid w:val="00512EC6"/>
    <w:rsid w:val="005144F5"/>
    <w:rsid w:val="00514BAC"/>
    <w:rsid w:val="00514E8E"/>
    <w:rsid w:val="0051544A"/>
    <w:rsid w:val="0051571D"/>
    <w:rsid w:val="005161D2"/>
    <w:rsid w:val="0051625F"/>
    <w:rsid w:val="00516273"/>
    <w:rsid w:val="0051649C"/>
    <w:rsid w:val="00516757"/>
    <w:rsid w:val="00516B45"/>
    <w:rsid w:val="00516E21"/>
    <w:rsid w:val="00516E70"/>
    <w:rsid w:val="00516EA2"/>
    <w:rsid w:val="005172AD"/>
    <w:rsid w:val="005172B8"/>
    <w:rsid w:val="005173A0"/>
    <w:rsid w:val="0051741A"/>
    <w:rsid w:val="00517BFD"/>
    <w:rsid w:val="00517E2C"/>
    <w:rsid w:val="00520108"/>
    <w:rsid w:val="00520339"/>
    <w:rsid w:val="00520411"/>
    <w:rsid w:val="00520804"/>
    <w:rsid w:val="00520AD8"/>
    <w:rsid w:val="00521479"/>
    <w:rsid w:val="0052199D"/>
    <w:rsid w:val="00521B63"/>
    <w:rsid w:val="00522B6E"/>
    <w:rsid w:val="00522E95"/>
    <w:rsid w:val="005233B0"/>
    <w:rsid w:val="00523A89"/>
    <w:rsid w:val="00524694"/>
    <w:rsid w:val="00524BFF"/>
    <w:rsid w:val="00524E1E"/>
    <w:rsid w:val="00524E7B"/>
    <w:rsid w:val="00525053"/>
    <w:rsid w:val="0052526D"/>
    <w:rsid w:val="0052569B"/>
    <w:rsid w:val="00525A29"/>
    <w:rsid w:val="00525A56"/>
    <w:rsid w:val="00525A94"/>
    <w:rsid w:val="00526079"/>
    <w:rsid w:val="005260D5"/>
    <w:rsid w:val="005261F8"/>
    <w:rsid w:val="005262D1"/>
    <w:rsid w:val="00526CEE"/>
    <w:rsid w:val="00526F90"/>
    <w:rsid w:val="005273B9"/>
    <w:rsid w:val="00527406"/>
    <w:rsid w:val="005278AE"/>
    <w:rsid w:val="00527E2D"/>
    <w:rsid w:val="00530A5C"/>
    <w:rsid w:val="00530D1C"/>
    <w:rsid w:val="005310AC"/>
    <w:rsid w:val="005314F0"/>
    <w:rsid w:val="005318F6"/>
    <w:rsid w:val="00531D07"/>
    <w:rsid w:val="00532166"/>
    <w:rsid w:val="00532312"/>
    <w:rsid w:val="00532403"/>
    <w:rsid w:val="005326A4"/>
    <w:rsid w:val="00533178"/>
    <w:rsid w:val="00533732"/>
    <w:rsid w:val="0053403E"/>
    <w:rsid w:val="005343FA"/>
    <w:rsid w:val="00534696"/>
    <w:rsid w:val="005346ED"/>
    <w:rsid w:val="00534E8C"/>
    <w:rsid w:val="005355D5"/>
    <w:rsid w:val="0053563D"/>
    <w:rsid w:val="005357DC"/>
    <w:rsid w:val="00535872"/>
    <w:rsid w:val="005358C2"/>
    <w:rsid w:val="00536B28"/>
    <w:rsid w:val="00536E39"/>
    <w:rsid w:val="00536FB3"/>
    <w:rsid w:val="00537439"/>
    <w:rsid w:val="0053767B"/>
    <w:rsid w:val="0053782C"/>
    <w:rsid w:val="00537C4F"/>
    <w:rsid w:val="00537E80"/>
    <w:rsid w:val="005408F0"/>
    <w:rsid w:val="00540AF7"/>
    <w:rsid w:val="005413C0"/>
    <w:rsid w:val="005415E4"/>
    <w:rsid w:val="0054184E"/>
    <w:rsid w:val="00541A4E"/>
    <w:rsid w:val="005421B6"/>
    <w:rsid w:val="00542276"/>
    <w:rsid w:val="00542650"/>
    <w:rsid w:val="00542F5F"/>
    <w:rsid w:val="00543834"/>
    <w:rsid w:val="00543ACC"/>
    <w:rsid w:val="00543BFC"/>
    <w:rsid w:val="00543D28"/>
    <w:rsid w:val="00544285"/>
    <w:rsid w:val="005452EC"/>
    <w:rsid w:val="00545480"/>
    <w:rsid w:val="00545DFB"/>
    <w:rsid w:val="005460B0"/>
    <w:rsid w:val="005464BB"/>
    <w:rsid w:val="0054679D"/>
    <w:rsid w:val="00546DF4"/>
    <w:rsid w:val="005471D3"/>
    <w:rsid w:val="00547418"/>
    <w:rsid w:val="005478D6"/>
    <w:rsid w:val="00547ADA"/>
    <w:rsid w:val="00547C75"/>
    <w:rsid w:val="00550470"/>
    <w:rsid w:val="0055065E"/>
    <w:rsid w:val="0055070F"/>
    <w:rsid w:val="0055101D"/>
    <w:rsid w:val="0055114F"/>
    <w:rsid w:val="00551839"/>
    <w:rsid w:val="0055184B"/>
    <w:rsid w:val="00551A1C"/>
    <w:rsid w:val="00551AF6"/>
    <w:rsid w:val="00551F3F"/>
    <w:rsid w:val="00551F65"/>
    <w:rsid w:val="005520D4"/>
    <w:rsid w:val="005521B3"/>
    <w:rsid w:val="0055238E"/>
    <w:rsid w:val="00552471"/>
    <w:rsid w:val="00553171"/>
    <w:rsid w:val="00553CDF"/>
    <w:rsid w:val="0055422F"/>
    <w:rsid w:val="005542E6"/>
    <w:rsid w:val="00554511"/>
    <w:rsid w:val="00554B99"/>
    <w:rsid w:val="00554C04"/>
    <w:rsid w:val="00554D7C"/>
    <w:rsid w:val="0055545A"/>
    <w:rsid w:val="00555F4B"/>
    <w:rsid w:val="00556687"/>
    <w:rsid w:val="005566CB"/>
    <w:rsid w:val="00556768"/>
    <w:rsid w:val="00556BE7"/>
    <w:rsid w:val="005570DA"/>
    <w:rsid w:val="005576B5"/>
    <w:rsid w:val="00557DFA"/>
    <w:rsid w:val="005600CF"/>
    <w:rsid w:val="0056043D"/>
    <w:rsid w:val="00560594"/>
    <w:rsid w:val="00560F9D"/>
    <w:rsid w:val="0056113D"/>
    <w:rsid w:val="00561605"/>
    <w:rsid w:val="005616E4"/>
    <w:rsid w:val="005619E6"/>
    <w:rsid w:val="0056205D"/>
    <w:rsid w:val="005622EA"/>
    <w:rsid w:val="005623AA"/>
    <w:rsid w:val="00562641"/>
    <w:rsid w:val="005628AC"/>
    <w:rsid w:val="00562DC4"/>
    <w:rsid w:val="00562E7A"/>
    <w:rsid w:val="0056390E"/>
    <w:rsid w:val="00563C5E"/>
    <w:rsid w:val="0056477E"/>
    <w:rsid w:val="00564D25"/>
    <w:rsid w:val="00565006"/>
    <w:rsid w:val="005650C2"/>
    <w:rsid w:val="0056517A"/>
    <w:rsid w:val="0056545D"/>
    <w:rsid w:val="00565617"/>
    <w:rsid w:val="00565C89"/>
    <w:rsid w:val="0056680F"/>
    <w:rsid w:val="00566EE5"/>
    <w:rsid w:val="00567387"/>
    <w:rsid w:val="005674F3"/>
    <w:rsid w:val="00567572"/>
    <w:rsid w:val="005675DE"/>
    <w:rsid w:val="00567698"/>
    <w:rsid w:val="00567865"/>
    <w:rsid w:val="00567B5F"/>
    <w:rsid w:val="00567CD4"/>
    <w:rsid w:val="00567F72"/>
    <w:rsid w:val="005701A0"/>
    <w:rsid w:val="0057023F"/>
    <w:rsid w:val="005704A9"/>
    <w:rsid w:val="00570680"/>
    <w:rsid w:val="00571756"/>
    <w:rsid w:val="005727BF"/>
    <w:rsid w:val="005729D3"/>
    <w:rsid w:val="00572B2F"/>
    <w:rsid w:val="00572E73"/>
    <w:rsid w:val="00573357"/>
    <w:rsid w:val="005737CA"/>
    <w:rsid w:val="00573BDF"/>
    <w:rsid w:val="00573C00"/>
    <w:rsid w:val="0057466A"/>
    <w:rsid w:val="0057474F"/>
    <w:rsid w:val="005748B7"/>
    <w:rsid w:val="00574F20"/>
    <w:rsid w:val="0057529E"/>
    <w:rsid w:val="005753C2"/>
    <w:rsid w:val="00575A83"/>
    <w:rsid w:val="00576325"/>
    <w:rsid w:val="005767B1"/>
    <w:rsid w:val="00576CCA"/>
    <w:rsid w:val="00576CE1"/>
    <w:rsid w:val="00577288"/>
    <w:rsid w:val="005774D4"/>
    <w:rsid w:val="00577982"/>
    <w:rsid w:val="00577BFB"/>
    <w:rsid w:val="00577C64"/>
    <w:rsid w:val="00577E83"/>
    <w:rsid w:val="005802A6"/>
    <w:rsid w:val="00580408"/>
    <w:rsid w:val="00580D34"/>
    <w:rsid w:val="00580E38"/>
    <w:rsid w:val="00581D47"/>
    <w:rsid w:val="00582580"/>
    <w:rsid w:val="0058291E"/>
    <w:rsid w:val="00582F24"/>
    <w:rsid w:val="00582FB8"/>
    <w:rsid w:val="005832C8"/>
    <w:rsid w:val="0058340B"/>
    <w:rsid w:val="00583479"/>
    <w:rsid w:val="005834FE"/>
    <w:rsid w:val="00583B9D"/>
    <w:rsid w:val="00583D11"/>
    <w:rsid w:val="00583E9F"/>
    <w:rsid w:val="0058419E"/>
    <w:rsid w:val="005842D1"/>
    <w:rsid w:val="00584611"/>
    <w:rsid w:val="00584F2A"/>
    <w:rsid w:val="00585437"/>
    <w:rsid w:val="005854A1"/>
    <w:rsid w:val="005859B6"/>
    <w:rsid w:val="00585F10"/>
    <w:rsid w:val="00586A8B"/>
    <w:rsid w:val="00586AD1"/>
    <w:rsid w:val="00586B52"/>
    <w:rsid w:val="00586E69"/>
    <w:rsid w:val="00587EBC"/>
    <w:rsid w:val="0059019E"/>
    <w:rsid w:val="005909AA"/>
    <w:rsid w:val="00590C2B"/>
    <w:rsid w:val="0059116F"/>
    <w:rsid w:val="005912E2"/>
    <w:rsid w:val="00591CE3"/>
    <w:rsid w:val="00591DC2"/>
    <w:rsid w:val="005920B4"/>
    <w:rsid w:val="005922BB"/>
    <w:rsid w:val="005928C7"/>
    <w:rsid w:val="00592D4C"/>
    <w:rsid w:val="00592D6E"/>
    <w:rsid w:val="00592EDF"/>
    <w:rsid w:val="00593110"/>
    <w:rsid w:val="00593142"/>
    <w:rsid w:val="0059364F"/>
    <w:rsid w:val="00593B4D"/>
    <w:rsid w:val="00593EAE"/>
    <w:rsid w:val="00593FA8"/>
    <w:rsid w:val="00593FFE"/>
    <w:rsid w:val="00594671"/>
    <w:rsid w:val="0059472C"/>
    <w:rsid w:val="005947FC"/>
    <w:rsid w:val="00594C7B"/>
    <w:rsid w:val="00594EB8"/>
    <w:rsid w:val="00595102"/>
    <w:rsid w:val="00595AA8"/>
    <w:rsid w:val="0059608E"/>
    <w:rsid w:val="0059639C"/>
    <w:rsid w:val="00596652"/>
    <w:rsid w:val="00596935"/>
    <w:rsid w:val="00596986"/>
    <w:rsid w:val="00596C42"/>
    <w:rsid w:val="00597290"/>
    <w:rsid w:val="00597CE4"/>
    <w:rsid w:val="005A02F3"/>
    <w:rsid w:val="005A04C0"/>
    <w:rsid w:val="005A0BD6"/>
    <w:rsid w:val="005A1704"/>
    <w:rsid w:val="005A173D"/>
    <w:rsid w:val="005A1EF1"/>
    <w:rsid w:val="005A2399"/>
    <w:rsid w:val="005A2A03"/>
    <w:rsid w:val="005A2A19"/>
    <w:rsid w:val="005A3291"/>
    <w:rsid w:val="005A3AE4"/>
    <w:rsid w:val="005A3F74"/>
    <w:rsid w:val="005A407C"/>
    <w:rsid w:val="005A43AF"/>
    <w:rsid w:val="005A4803"/>
    <w:rsid w:val="005A4D3A"/>
    <w:rsid w:val="005A58A6"/>
    <w:rsid w:val="005A6133"/>
    <w:rsid w:val="005A6150"/>
    <w:rsid w:val="005A6F1A"/>
    <w:rsid w:val="005A6FD7"/>
    <w:rsid w:val="005A75EC"/>
    <w:rsid w:val="005A78A4"/>
    <w:rsid w:val="005A7B0F"/>
    <w:rsid w:val="005A7B78"/>
    <w:rsid w:val="005A7FCD"/>
    <w:rsid w:val="005B0366"/>
    <w:rsid w:val="005B069D"/>
    <w:rsid w:val="005B08C2"/>
    <w:rsid w:val="005B0A0F"/>
    <w:rsid w:val="005B169B"/>
    <w:rsid w:val="005B16A3"/>
    <w:rsid w:val="005B19DF"/>
    <w:rsid w:val="005B1B70"/>
    <w:rsid w:val="005B1FE1"/>
    <w:rsid w:val="005B2980"/>
    <w:rsid w:val="005B2DCA"/>
    <w:rsid w:val="005B3F44"/>
    <w:rsid w:val="005B4110"/>
    <w:rsid w:val="005B436B"/>
    <w:rsid w:val="005B4BED"/>
    <w:rsid w:val="005B512B"/>
    <w:rsid w:val="005B537D"/>
    <w:rsid w:val="005B5687"/>
    <w:rsid w:val="005B5C4C"/>
    <w:rsid w:val="005B5FEF"/>
    <w:rsid w:val="005B64AB"/>
    <w:rsid w:val="005B67DE"/>
    <w:rsid w:val="005B6C25"/>
    <w:rsid w:val="005B7016"/>
    <w:rsid w:val="005B7213"/>
    <w:rsid w:val="005B7654"/>
    <w:rsid w:val="005B7891"/>
    <w:rsid w:val="005B7CB9"/>
    <w:rsid w:val="005B7E8A"/>
    <w:rsid w:val="005C023D"/>
    <w:rsid w:val="005C034F"/>
    <w:rsid w:val="005C072F"/>
    <w:rsid w:val="005C0777"/>
    <w:rsid w:val="005C08CD"/>
    <w:rsid w:val="005C16DB"/>
    <w:rsid w:val="005C172C"/>
    <w:rsid w:val="005C1B27"/>
    <w:rsid w:val="005C1D4F"/>
    <w:rsid w:val="005C23FD"/>
    <w:rsid w:val="005C24ED"/>
    <w:rsid w:val="005C2B31"/>
    <w:rsid w:val="005C3374"/>
    <w:rsid w:val="005C3509"/>
    <w:rsid w:val="005C3745"/>
    <w:rsid w:val="005C3986"/>
    <w:rsid w:val="005C3BD1"/>
    <w:rsid w:val="005C3E19"/>
    <w:rsid w:val="005C3E4F"/>
    <w:rsid w:val="005C41CF"/>
    <w:rsid w:val="005C44B2"/>
    <w:rsid w:val="005C4586"/>
    <w:rsid w:val="005C56FD"/>
    <w:rsid w:val="005C5A38"/>
    <w:rsid w:val="005C5E4E"/>
    <w:rsid w:val="005C5E74"/>
    <w:rsid w:val="005C5FAA"/>
    <w:rsid w:val="005C60C0"/>
    <w:rsid w:val="005C64C8"/>
    <w:rsid w:val="005C6B2C"/>
    <w:rsid w:val="005C7161"/>
    <w:rsid w:val="005C719F"/>
    <w:rsid w:val="005C72C6"/>
    <w:rsid w:val="005C756C"/>
    <w:rsid w:val="005C79EC"/>
    <w:rsid w:val="005C7DF8"/>
    <w:rsid w:val="005D0DAE"/>
    <w:rsid w:val="005D167D"/>
    <w:rsid w:val="005D1702"/>
    <w:rsid w:val="005D17F6"/>
    <w:rsid w:val="005D1B8B"/>
    <w:rsid w:val="005D224C"/>
    <w:rsid w:val="005D25B0"/>
    <w:rsid w:val="005D27AD"/>
    <w:rsid w:val="005D4154"/>
    <w:rsid w:val="005D4198"/>
    <w:rsid w:val="005D42D4"/>
    <w:rsid w:val="005D44A3"/>
    <w:rsid w:val="005D47CB"/>
    <w:rsid w:val="005D47F4"/>
    <w:rsid w:val="005D49D9"/>
    <w:rsid w:val="005D54F4"/>
    <w:rsid w:val="005D5CC3"/>
    <w:rsid w:val="005D5F61"/>
    <w:rsid w:val="005D6462"/>
    <w:rsid w:val="005D652C"/>
    <w:rsid w:val="005D6562"/>
    <w:rsid w:val="005D6BE6"/>
    <w:rsid w:val="005D6E50"/>
    <w:rsid w:val="005D6EB7"/>
    <w:rsid w:val="005D7346"/>
    <w:rsid w:val="005D7457"/>
    <w:rsid w:val="005D7606"/>
    <w:rsid w:val="005D77F7"/>
    <w:rsid w:val="005D7A77"/>
    <w:rsid w:val="005D7E11"/>
    <w:rsid w:val="005E0189"/>
    <w:rsid w:val="005E1AF9"/>
    <w:rsid w:val="005E1D87"/>
    <w:rsid w:val="005E20B0"/>
    <w:rsid w:val="005E2474"/>
    <w:rsid w:val="005E274A"/>
    <w:rsid w:val="005E2919"/>
    <w:rsid w:val="005E3391"/>
    <w:rsid w:val="005E3937"/>
    <w:rsid w:val="005E3E34"/>
    <w:rsid w:val="005E43E1"/>
    <w:rsid w:val="005E468F"/>
    <w:rsid w:val="005E47E6"/>
    <w:rsid w:val="005E4E9F"/>
    <w:rsid w:val="005E5486"/>
    <w:rsid w:val="005E565B"/>
    <w:rsid w:val="005E6207"/>
    <w:rsid w:val="005E680F"/>
    <w:rsid w:val="005F0A9C"/>
    <w:rsid w:val="005F0F92"/>
    <w:rsid w:val="005F1EE7"/>
    <w:rsid w:val="005F2088"/>
    <w:rsid w:val="005F211E"/>
    <w:rsid w:val="005F2365"/>
    <w:rsid w:val="005F23A6"/>
    <w:rsid w:val="005F23C9"/>
    <w:rsid w:val="005F2599"/>
    <w:rsid w:val="005F3C17"/>
    <w:rsid w:val="005F3E34"/>
    <w:rsid w:val="005F3F4E"/>
    <w:rsid w:val="005F3FCF"/>
    <w:rsid w:val="005F42BC"/>
    <w:rsid w:val="005F4425"/>
    <w:rsid w:val="005F4572"/>
    <w:rsid w:val="005F4889"/>
    <w:rsid w:val="005F497F"/>
    <w:rsid w:val="005F4D62"/>
    <w:rsid w:val="005F5660"/>
    <w:rsid w:val="005F5ADF"/>
    <w:rsid w:val="005F6E5C"/>
    <w:rsid w:val="005F71F2"/>
    <w:rsid w:val="005F73FC"/>
    <w:rsid w:val="005F7576"/>
    <w:rsid w:val="005F7C46"/>
    <w:rsid w:val="005F7DF1"/>
    <w:rsid w:val="00600257"/>
    <w:rsid w:val="00600431"/>
    <w:rsid w:val="00600794"/>
    <w:rsid w:val="00600C0E"/>
    <w:rsid w:val="00600C51"/>
    <w:rsid w:val="00602789"/>
    <w:rsid w:val="00602ADB"/>
    <w:rsid w:val="00602C07"/>
    <w:rsid w:val="006032BB"/>
    <w:rsid w:val="00603971"/>
    <w:rsid w:val="00603B0D"/>
    <w:rsid w:val="00603F7F"/>
    <w:rsid w:val="00603F84"/>
    <w:rsid w:val="006040D9"/>
    <w:rsid w:val="006041AC"/>
    <w:rsid w:val="0060491E"/>
    <w:rsid w:val="006053BD"/>
    <w:rsid w:val="00605632"/>
    <w:rsid w:val="00605F5C"/>
    <w:rsid w:val="0060601A"/>
    <w:rsid w:val="00606131"/>
    <w:rsid w:val="0060620A"/>
    <w:rsid w:val="00607129"/>
    <w:rsid w:val="00607771"/>
    <w:rsid w:val="00607C16"/>
    <w:rsid w:val="00607E79"/>
    <w:rsid w:val="00610503"/>
    <w:rsid w:val="00610553"/>
    <w:rsid w:val="0061090B"/>
    <w:rsid w:val="00610A6B"/>
    <w:rsid w:val="00610B19"/>
    <w:rsid w:val="00610D43"/>
    <w:rsid w:val="00611154"/>
    <w:rsid w:val="006113D0"/>
    <w:rsid w:val="006124B0"/>
    <w:rsid w:val="006126B4"/>
    <w:rsid w:val="00612B33"/>
    <w:rsid w:val="00612CEE"/>
    <w:rsid w:val="00612EA2"/>
    <w:rsid w:val="0061308A"/>
    <w:rsid w:val="0061317A"/>
    <w:rsid w:val="00613897"/>
    <w:rsid w:val="00613AF7"/>
    <w:rsid w:val="00613FDC"/>
    <w:rsid w:val="006140B2"/>
    <w:rsid w:val="006141EF"/>
    <w:rsid w:val="00614791"/>
    <w:rsid w:val="006147DB"/>
    <w:rsid w:val="0061492C"/>
    <w:rsid w:val="00614B6E"/>
    <w:rsid w:val="00614C25"/>
    <w:rsid w:val="00615016"/>
    <w:rsid w:val="00615313"/>
    <w:rsid w:val="0061544B"/>
    <w:rsid w:val="00615E9C"/>
    <w:rsid w:val="0061640F"/>
    <w:rsid w:val="006165C9"/>
    <w:rsid w:val="006166BE"/>
    <w:rsid w:val="0061708B"/>
    <w:rsid w:val="00617A58"/>
    <w:rsid w:val="00620C33"/>
    <w:rsid w:val="00621314"/>
    <w:rsid w:val="0062221C"/>
    <w:rsid w:val="006223BC"/>
    <w:rsid w:val="006226F5"/>
    <w:rsid w:val="00622846"/>
    <w:rsid w:val="00622860"/>
    <w:rsid w:val="00623733"/>
    <w:rsid w:val="006237E4"/>
    <w:rsid w:val="00623848"/>
    <w:rsid w:val="006244EC"/>
    <w:rsid w:val="0062488F"/>
    <w:rsid w:val="00624B56"/>
    <w:rsid w:val="00624F93"/>
    <w:rsid w:val="006251F3"/>
    <w:rsid w:val="0062565A"/>
    <w:rsid w:val="00625AD7"/>
    <w:rsid w:val="00625DA3"/>
    <w:rsid w:val="00625F8E"/>
    <w:rsid w:val="006260ED"/>
    <w:rsid w:val="00626B44"/>
    <w:rsid w:val="00627001"/>
    <w:rsid w:val="00627111"/>
    <w:rsid w:val="00627A9F"/>
    <w:rsid w:val="006303DF"/>
    <w:rsid w:val="006306DE"/>
    <w:rsid w:val="0063076A"/>
    <w:rsid w:val="006307F8"/>
    <w:rsid w:val="00630C06"/>
    <w:rsid w:val="00631044"/>
    <w:rsid w:val="006310AE"/>
    <w:rsid w:val="00631D75"/>
    <w:rsid w:val="006320C7"/>
    <w:rsid w:val="00632106"/>
    <w:rsid w:val="006325AB"/>
    <w:rsid w:val="006328D7"/>
    <w:rsid w:val="00633626"/>
    <w:rsid w:val="006349AE"/>
    <w:rsid w:val="00635386"/>
    <w:rsid w:val="006359BF"/>
    <w:rsid w:val="00635BDF"/>
    <w:rsid w:val="006368DB"/>
    <w:rsid w:val="00636EA0"/>
    <w:rsid w:val="00637093"/>
    <w:rsid w:val="00637470"/>
    <w:rsid w:val="00637AE2"/>
    <w:rsid w:val="00637FED"/>
    <w:rsid w:val="006403BD"/>
    <w:rsid w:val="006406C5"/>
    <w:rsid w:val="00640773"/>
    <w:rsid w:val="00640BF3"/>
    <w:rsid w:val="00640D12"/>
    <w:rsid w:val="006413D9"/>
    <w:rsid w:val="00641E22"/>
    <w:rsid w:val="00642F06"/>
    <w:rsid w:val="006434D6"/>
    <w:rsid w:val="006441C1"/>
    <w:rsid w:val="00644217"/>
    <w:rsid w:val="00644558"/>
    <w:rsid w:val="0064455B"/>
    <w:rsid w:val="00644607"/>
    <w:rsid w:val="0064509E"/>
    <w:rsid w:val="006450B3"/>
    <w:rsid w:val="00645A04"/>
    <w:rsid w:val="00645F5F"/>
    <w:rsid w:val="006465E2"/>
    <w:rsid w:val="006471DA"/>
    <w:rsid w:val="006477AC"/>
    <w:rsid w:val="006478CC"/>
    <w:rsid w:val="00647B01"/>
    <w:rsid w:val="00647B3C"/>
    <w:rsid w:val="00647D1F"/>
    <w:rsid w:val="0065044D"/>
    <w:rsid w:val="0065065E"/>
    <w:rsid w:val="00650A59"/>
    <w:rsid w:val="00650BA2"/>
    <w:rsid w:val="00650CD0"/>
    <w:rsid w:val="0065101E"/>
    <w:rsid w:val="00651500"/>
    <w:rsid w:val="006517A9"/>
    <w:rsid w:val="00651D0E"/>
    <w:rsid w:val="00651F73"/>
    <w:rsid w:val="00652132"/>
    <w:rsid w:val="006522E9"/>
    <w:rsid w:val="00652AB8"/>
    <w:rsid w:val="00652DFB"/>
    <w:rsid w:val="00653093"/>
    <w:rsid w:val="0065369E"/>
    <w:rsid w:val="006539FE"/>
    <w:rsid w:val="00653A8C"/>
    <w:rsid w:val="00653F96"/>
    <w:rsid w:val="0065412B"/>
    <w:rsid w:val="0065467D"/>
    <w:rsid w:val="00654C7B"/>
    <w:rsid w:val="00655179"/>
    <w:rsid w:val="0065558A"/>
    <w:rsid w:val="0065572A"/>
    <w:rsid w:val="00656B2E"/>
    <w:rsid w:val="00656D14"/>
    <w:rsid w:val="0065708C"/>
    <w:rsid w:val="006571CE"/>
    <w:rsid w:val="00657C2E"/>
    <w:rsid w:val="00660390"/>
    <w:rsid w:val="00660403"/>
    <w:rsid w:val="006604F1"/>
    <w:rsid w:val="006608F4"/>
    <w:rsid w:val="00660EEB"/>
    <w:rsid w:val="00661269"/>
    <w:rsid w:val="00661332"/>
    <w:rsid w:val="00661500"/>
    <w:rsid w:val="00661870"/>
    <w:rsid w:val="006625ED"/>
    <w:rsid w:val="00662DB8"/>
    <w:rsid w:val="00663105"/>
    <w:rsid w:val="00663466"/>
    <w:rsid w:val="006634FA"/>
    <w:rsid w:val="00663820"/>
    <w:rsid w:val="006640E7"/>
    <w:rsid w:val="00664361"/>
    <w:rsid w:val="006645B9"/>
    <w:rsid w:val="0066499E"/>
    <w:rsid w:val="00664E50"/>
    <w:rsid w:val="00664FC8"/>
    <w:rsid w:val="006650F8"/>
    <w:rsid w:val="00665269"/>
    <w:rsid w:val="00665641"/>
    <w:rsid w:val="00665BC8"/>
    <w:rsid w:val="00665C09"/>
    <w:rsid w:val="00665C5F"/>
    <w:rsid w:val="00665CC6"/>
    <w:rsid w:val="00665E85"/>
    <w:rsid w:val="00665EEF"/>
    <w:rsid w:val="0066638F"/>
    <w:rsid w:val="006663A7"/>
    <w:rsid w:val="006663D9"/>
    <w:rsid w:val="0066656F"/>
    <w:rsid w:val="00666860"/>
    <w:rsid w:val="006668F1"/>
    <w:rsid w:val="00666A21"/>
    <w:rsid w:val="0066726A"/>
    <w:rsid w:val="00667672"/>
    <w:rsid w:val="00667842"/>
    <w:rsid w:val="00667B3C"/>
    <w:rsid w:val="006700B2"/>
    <w:rsid w:val="006703CF"/>
    <w:rsid w:val="00670BA3"/>
    <w:rsid w:val="00670C6B"/>
    <w:rsid w:val="00670F80"/>
    <w:rsid w:val="006711EC"/>
    <w:rsid w:val="0067124B"/>
    <w:rsid w:val="006718B6"/>
    <w:rsid w:val="006719A2"/>
    <w:rsid w:val="00671C17"/>
    <w:rsid w:val="00671F5D"/>
    <w:rsid w:val="0067293F"/>
    <w:rsid w:val="0067298D"/>
    <w:rsid w:val="006732E4"/>
    <w:rsid w:val="00673326"/>
    <w:rsid w:val="00674E1A"/>
    <w:rsid w:val="0067543B"/>
    <w:rsid w:val="00675730"/>
    <w:rsid w:val="00675843"/>
    <w:rsid w:val="00675C14"/>
    <w:rsid w:val="00676360"/>
    <w:rsid w:val="00676AA4"/>
    <w:rsid w:val="00676B21"/>
    <w:rsid w:val="006776E5"/>
    <w:rsid w:val="00677D65"/>
    <w:rsid w:val="00680291"/>
    <w:rsid w:val="006805EB"/>
    <w:rsid w:val="006806D1"/>
    <w:rsid w:val="006810B9"/>
    <w:rsid w:val="006817C6"/>
    <w:rsid w:val="006824A2"/>
    <w:rsid w:val="00682D9A"/>
    <w:rsid w:val="00683378"/>
    <w:rsid w:val="006835F2"/>
    <w:rsid w:val="00683A4E"/>
    <w:rsid w:val="00683B86"/>
    <w:rsid w:val="00684951"/>
    <w:rsid w:val="00685072"/>
    <w:rsid w:val="00685523"/>
    <w:rsid w:val="00686018"/>
    <w:rsid w:val="00686024"/>
    <w:rsid w:val="0068628C"/>
    <w:rsid w:val="00686718"/>
    <w:rsid w:val="00686834"/>
    <w:rsid w:val="006873B6"/>
    <w:rsid w:val="00687F76"/>
    <w:rsid w:val="006901AB"/>
    <w:rsid w:val="006902BF"/>
    <w:rsid w:val="0069036A"/>
    <w:rsid w:val="00690D6D"/>
    <w:rsid w:val="00690E01"/>
    <w:rsid w:val="0069174D"/>
    <w:rsid w:val="00691B83"/>
    <w:rsid w:val="00691EF0"/>
    <w:rsid w:val="00692082"/>
    <w:rsid w:val="00692354"/>
    <w:rsid w:val="006923AB"/>
    <w:rsid w:val="0069258D"/>
    <w:rsid w:val="00692701"/>
    <w:rsid w:val="00692A7E"/>
    <w:rsid w:val="0069307E"/>
    <w:rsid w:val="00693BA7"/>
    <w:rsid w:val="00694002"/>
    <w:rsid w:val="0069426F"/>
    <w:rsid w:val="006944D7"/>
    <w:rsid w:val="0069480A"/>
    <w:rsid w:val="006950BA"/>
    <w:rsid w:val="006960C1"/>
    <w:rsid w:val="006966B0"/>
    <w:rsid w:val="0069682F"/>
    <w:rsid w:val="00696B1B"/>
    <w:rsid w:val="006972E3"/>
    <w:rsid w:val="00697B52"/>
    <w:rsid w:val="00697BE4"/>
    <w:rsid w:val="00697C46"/>
    <w:rsid w:val="006A0A20"/>
    <w:rsid w:val="006A0A54"/>
    <w:rsid w:val="006A0B32"/>
    <w:rsid w:val="006A0BC4"/>
    <w:rsid w:val="006A0E96"/>
    <w:rsid w:val="006A11FD"/>
    <w:rsid w:val="006A1301"/>
    <w:rsid w:val="006A1EDF"/>
    <w:rsid w:val="006A1F0B"/>
    <w:rsid w:val="006A24F3"/>
    <w:rsid w:val="006A2897"/>
    <w:rsid w:val="006A2D7E"/>
    <w:rsid w:val="006A2E37"/>
    <w:rsid w:val="006A30F4"/>
    <w:rsid w:val="006A322D"/>
    <w:rsid w:val="006A37B9"/>
    <w:rsid w:val="006A3E0D"/>
    <w:rsid w:val="006A4318"/>
    <w:rsid w:val="006A4603"/>
    <w:rsid w:val="006A46C0"/>
    <w:rsid w:val="006A49C7"/>
    <w:rsid w:val="006A4CFA"/>
    <w:rsid w:val="006A4F71"/>
    <w:rsid w:val="006A507B"/>
    <w:rsid w:val="006A5538"/>
    <w:rsid w:val="006A5C33"/>
    <w:rsid w:val="006A5FFE"/>
    <w:rsid w:val="006A6713"/>
    <w:rsid w:val="006A6B1A"/>
    <w:rsid w:val="006A6EC6"/>
    <w:rsid w:val="006A759C"/>
    <w:rsid w:val="006A781A"/>
    <w:rsid w:val="006A7AAC"/>
    <w:rsid w:val="006B0043"/>
    <w:rsid w:val="006B05FE"/>
    <w:rsid w:val="006B06C5"/>
    <w:rsid w:val="006B0D30"/>
    <w:rsid w:val="006B0E58"/>
    <w:rsid w:val="006B133F"/>
    <w:rsid w:val="006B1493"/>
    <w:rsid w:val="006B1854"/>
    <w:rsid w:val="006B1E24"/>
    <w:rsid w:val="006B231F"/>
    <w:rsid w:val="006B2493"/>
    <w:rsid w:val="006B2508"/>
    <w:rsid w:val="006B2CB9"/>
    <w:rsid w:val="006B36D0"/>
    <w:rsid w:val="006B3895"/>
    <w:rsid w:val="006B3D76"/>
    <w:rsid w:val="006B3FF2"/>
    <w:rsid w:val="006B4255"/>
    <w:rsid w:val="006B49E6"/>
    <w:rsid w:val="006B4C79"/>
    <w:rsid w:val="006B4F50"/>
    <w:rsid w:val="006B59D9"/>
    <w:rsid w:val="006B59F9"/>
    <w:rsid w:val="006B5D07"/>
    <w:rsid w:val="006B5DA3"/>
    <w:rsid w:val="006B6011"/>
    <w:rsid w:val="006B66B1"/>
    <w:rsid w:val="006B6BDC"/>
    <w:rsid w:val="006B711E"/>
    <w:rsid w:val="006C01D8"/>
    <w:rsid w:val="006C02E7"/>
    <w:rsid w:val="006C04F4"/>
    <w:rsid w:val="006C08FE"/>
    <w:rsid w:val="006C1C43"/>
    <w:rsid w:val="006C1F3B"/>
    <w:rsid w:val="006C2020"/>
    <w:rsid w:val="006C2517"/>
    <w:rsid w:val="006C25BD"/>
    <w:rsid w:val="006C2A9C"/>
    <w:rsid w:val="006C2BDC"/>
    <w:rsid w:val="006C2D7D"/>
    <w:rsid w:val="006C2DC2"/>
    <w:rsid w:val="006C2E38"/>
    <w:rsid w:val="006C344C"/>
    <w:rsid w:val="006C39FD"/>
    <w:rsid w:val="006C3D8E"/>
    <w:rsid w:val="006C3FF0"/>
    <w:rsid w:val="006C4036"/>
    <w:rsid w:val="006C4180"/>
    <w:rsid w:val="006C44D8"/>
    <w:rsid w:val="006C4705"/>
    <w:rsid w:val="006C48D3"/>
    <w:rsid w:val="006C4DE2"/>
    <w:rsid w:val="006C4E00"/>
    <w:rsid w:val="006C53E8"/>
    <w:rsid w:val="006C5E8C"/>
    <w:rsid w:val="006C5F26"/>
    <w:rsid w:val="006C6352"/>
    <w:rsid w:val="006C6417"/>
    <w:rsid w:val="006C687D"/>
    <w:rsid w:val="006C6D1A"/>
    <w:rsid w:val="006C72C2"/>
    <w:rsid w:val="006C7AB0"/>
    <w:rsid w:val="006C7B2B"/>
    <w:rsid w:val="006C7CEF"/>
    <w:rsid w:val="006C7F7B"/>
    <w:rsid w:val="006D085D"/>
    <w:rsid w:val="006D14DD"/>
    <w:rsid w:val="006D1988"/>
    <w:rsid w:val="006D2194"/>
    <w:rsid w:val="006D2294"/>
    <w:rsid w:val="006D22B1"/>
    <w:rsid w:val="006D2587"/>
    <w:rsid w:val="006D2F69"/>
    <w:rsid w:val="006D3307"/>
    <w:rsid w:val="006D3F36"/>
    <w:rsid w:val="006D446E"/>
    <w:rsid w:val="006D4CEB"/>
    <w:rsid w:val="006D4E50"/>
    <w:rsid w:val="006D4EA9"/>
    <w:rsid w:val="006D76B3"/>
    <w:rsid w:val="006D77DB"/>
    <w:rsid w:val="006D7A4D"/>
    <w:rsid w:val="006D7AAF"/>
    <w:rsid w:val="006E009B"/>
    <w:rsid w:val="006E04DB"/>
    <w:rsid w:val="006E066A"/>
    <w:rsid w:val="006E0D4E"/>
    <w:rsid w:val="006E1917"/>
    <w:rsid w:val="006E25E8"/>
    <w:rsid w:val="006E286C"/>
    <w:rsid w:val="006E2AAE"/>
    <w:rsid w:val="006E2CD7"/>
    <w:rsid w:val="006E2E3A"/>
    <w:rsid w:val="006E3435"/>
    <w:rsid w:val="006E34CC"/>
    <w:rsid w:val="006E35B7"/>
    <w:rsid w:val="006E3C62"/>
    <w:rsid w:val="006E446B"/>
    <w:rsid w:val="006E53D4"/>
    <w:rsid w:val="006E5868"/>
    <w:rsid w:val="006E5C19"/>
    <w:rsid w:val="006E655F"/>
    <w:rsid w:val="006E67E3"/>
    <w:rsid w:val="006E67F2"/>
    <w:rsid w:val="006E6E5B"/>
    <w:rsid w:val="006E6FA5"/>
    <w:rsid w:val="006E79B0"/>
    <w:rsid w:val="006E7BA0"/>
    <w:rsid w:val="006F0A39"/>
    <w:rsid w:val="006F0ACF"/>
    <w:rsid w:val="006F0C3B"/>
    <w:rsid w:val="006F0FE8"/>
    <w:rsid w:val="006F1214"/>
    <w:rsid w:val="006F1280"/>
    <w:rsid w:val="006F1750"/>
    <w:rsid w:val="006F1B24"/>
    <w:rsid w:val="006F2CCA"/>
    <w:rsid w:val="006F35D3"/>
    <w:rsid w:val="006F3B38"/>
    <w:rsid w:val="006F40BF"/>
    <w:rsid w:val="006F4460"/>
    <w:rsid w:val="006F4B10"/>
    <w:rsid w:val="006F4FE1"/>
    <w:rsid w:val="006F51A2"/>
    <w:rsid w:val="006F5523"/>
    <w:rsid w:val="006F5E26"/>
    <w:rsid w:val="006F616A"/>
    <w:rsid w:val="006F6295"/>
    <w:rsid w:val="006F646E"/>
    <w:rsid w:val="006F67B8"/>
    <w:rsid w:val="006F67B9"/>
    <w:rsid w:val="006F6A8D"/>
    <w:rsid w:val="006F6CAE"/>
    <w:rsid w:val="006F6FF5"/>
    <w:rsid w:val="006F7859"/>
    <w:rsid w:val="006F79D3"/>
    <w:rsid w:val="006F7C6A"/>
    <w:rsid w:val="007000B1"/>
    <w:rsid w:val="00700118"/>
    <w:rsid w:val="007003A5"/>
    <w:rsid w:val="00700577"/>
    <w:rsid w:val="00700ADC"/>
    <w:rsid w:val="00700AE9"/>
    <w:rsid w:val="007017C8"/>
    <w:rsid w:val="007022CF"/>
    <w:rsid w:val="00702C52"/>
    <w:rsid w:val="00703094"/>
    <w:rsid w:val="0070342D"/>
    <w:rsid w:val="00703AFB"/>
    <w:rsid w:val="00704091"/>
    <w:rsid w:val="00704E2F"/>
    <w:rsid w:val="00705C74"/>
    <w:rsid w:val="00706173"/>
    <w:rsid w:val="00706F4F"/>
    <w:rsid w:val="00707167"/>
    <w:rsid w:val="007075F1"/>
    <w:rsid w:val="007078D1"/>
    <w:rsid w:val="007079C0"/>
    <w:rsid w:val="00707B8A"/>
    <w:rsid w:val="00707EA1"/>
    <w:rsid w:val="0071002F"/>
    <w:rsid w:val="0071017C"/>
    <w:rsid w:val="00710410"/>
    <w:rsid w:val="00710620"/>
    <w:rsid w:val="0071084E"/>
    <w:rsid w:val="00710AAF"/>
    <w:rsid w:val="00711028"/>
    <w:rsid w:val="0071175C"/>
    <w:rsid w:val="0071177F"/>
    <w:rsid w:val="00711787"/>
    <w:rsid w:val="00711BF3"/>
    <w:rsid w:val="00711C1C"/>
    <w:rsid w:val="00711CA2"/>
    <w:rsid w:val="00711D4E"/>
    <w:rsid w:val="00712546"/>
    <w:rsid w:val="007125C7"/>
    <w:rsid w:val="007127F7"/>
    <w:rsid w:val="00712B85"/>
    <w:rsid w:val="00712DA9"/>
    <w:rsid w:val="00712E82"/>
    <w:rsid w:val="007138B0"/>
    <w:rsid w:val="007139A4"/>
    <w:rsid w:val="00713BBC"/>
    <w:rsid w:val="00714022"/>
    <w:rsid w:val="00714600"/>
    <w:rsid w:val="00714872"/>
    <w:rsid w:val="00714893"/>
    <w:rsid w:val="00714B96"/>
    <w:rsid w:val="00715057"/>
    <w:rsid w:val="00716C63"/>
    <w:rsid w:val="00716E7B"/>
    <w:rsid w:val="00717F02"/>
    <w:rsid w:val="00720B0F"/>
    <w:rsid w:val="00720C32"/>
    <w:rsid w:val="00720D98"/>
    <w:rsid w:val="0072157A"/>
    <w:rsid w:val="0072173F"/>
    <w:rsid w:val="00721971"/>
    <w:rsid w:val="00721F72"/>
    <w:rsid w:val="0072273B"/>
    <w:rsid w:val="00722BD4"/>
    <w:rsid w:val="0072393F"/>
    <w:rsid w:val="00723A51"/>
    <w:rsid w:val="00723AC3"/>
    <w:rsid w:val="00723B82"/>
    <w:rsid w:val="00723CB5"/>
    <w:rsid w:val="00724EBB"/>
    <w:rsid w:val="00725272"/>
    <w:rsid w:val="00725304"/>
    <w:rsid w:val="0072530D"/>
    <w:rsid w:val="00725729"/>
    <w:rsid w:val="00726235"/>
    <w:rsid w:val="00726A15"/>
    <w:rsid w:val="00726A89"/>
    <w:rsid w:val="0072703C"/>
    <w:rsid w:val="00727A46"/>
    <w:rsid w:val="00727C34"/>
    <w:rsid w:val="007300D8"/>
    <w:rsid w:val="00730AE7"/>
    <w:rsid w:val="00730B64"/>
    <w:rsid w:val="00731294"/>
    <w:rsid w:val="007319DB"/>
    <w:rsid w:val="00731BCB"/>
    <w:rsid w:val="007326EA"/>
    <w:rsid w:val="00732CE1"/>
    <w:rsid w:val="00733738"/>
    <w:rsid w:val="00733A2F"/>
    <w:rsid w:val="00733DA6"/>
    <w:rsid w:val="007343E9"/>
    <w:rsid w:val="007346F0"/>
    <w:rsid w:val="007355D1"/>
    <w:rsid w:val="00735626"/>
    <w:rsid w:val="00735628"/>
    <w:rsid w:val="00735A7D"/>
    <w:rsid w:val="00735BD5"/>
    <w:rsid w:val="00735D22"/>
    <w:rsid w:val="00735DA5"/>
    <w:rsid w:val="007366B0"/>
    <w:rsid w:val="00736965"/>
    <w:rsid w:val="00737BC5"/>
    <w:rsid w:val="00737DD6"/>
    <w:rsid w:val="00740323"/>
    <w:rsid w:val="00740504"/>
    <w:rsid w:val="007405B2"/>
    <w:rsid w:val="00740E46"/>
    <w:rsid w:val="00741199"/>
    <w:rsid w:val="00741801"/>
    <w:rsid w:val="00741DFB"/>
    <w:rsid w:val="00741E81"/>
    <w:rsid w:val="00742270"/>
    <w:rsid w:val="0074247C"/>
    <w:rsid w:val="007428D6"/>
    <w:rsid w:val="00742DC7"/>
    <w:rsid w:val="0074339F"/>
    <w:rsid w:val="007438B1"/>
    <w:rsid w:val="007439D4"/>
    <w:rsid w:val="007439F9"/>
    <w:rsid w:val="00743E75"/>
    <w:rsid w:val="00744507"/>
    <w:rsid w:val="00744B61"/>
    <w:rsid w:val="00744FDD"/>
    <w:rsid w:val="00745200"/>
    <w:rsid w:val="007452ED"/>
    <w:rsid w:val="007453AB"/>
    <w:rsid w:val="00745D9F"/>
    <w:rsid w:val="00745DBB"/>
    <w:rsid w:val="00745DF1"/>
    <w:rsid w:val="00746234"/>
    <w:rsid w:val="00746256"/>
    <w:rsid w:val="007462BF"/>
    <w:rsid w:val="0074640D"/>
    <w:rsid w:val="0074682E"/>
    <w:rsid w:val="00746B1B"/>
    <w:rsid w:val="0074735A"/>
    <w:rsid w:val="00747911"/>
    <w:rsid w:val="00750019"/>
    <w:rsid w:val="0075027D"/>
    <w:rsid w:val="0075068F"/>
    <w:rsid w:val="00750950"/>
    <w:rsid w:val="007510AA"/>
    <w:rsid w:val="0075196B"/>
    <w:rsid w:val="007519C6"/>
    <w:rsid w:val="00752253"/>
    <w:rsid w:val="007522D1"/>
    <w:rsid w:val="007525DD"/>
    <w:rsid w:val="007526BC"/>
    <w:rsid w:val="007526EA"/>
    <w:rsid w:val="00752B67"/>
    <w:rsid w:val="00752C71"/>
    <w:rsid w:val="00753254"/>
    <w:rsid w:val="00753300"/>
    <w:rsid w:val="00753A47"/>
    <w:rsid w:val="0075439B"/>
    <w:rsid w:val="007547CE"/>
    <w:rsid w:val="00754C55"/>
    <w:rsid w:val="00754EE2"/>
    <w:rsid w:val="007554A8"/>
    <w:rsid w:val="0075562C"/>
    <w:rsid w:val="00755D05"/>
    <w:rsid w:val="00756C1F"/>
    <w:rsid w:val="0075719D"/>
    <w:rsid w:val="00757A39"/>
    <w:rsid w:val="00757F26"/>
    <w:rsid w:val="0076051F"/>
    <w:rsid w:val="00760635"/>
    <w:rsid w:val="00760751"/>
    <w:rsid w:val="00760B37"/>
    <w:rsid w:val="00760E3A"/>
    <w:rsid w:val="0076114D"/>
    <w:rsid w:val="00761510"/>
    <w:rsid w:val="00761598"/>
    <w:rsid w:val="007617C0"/>
    <w:rsid w:val="00761FEC"/>
    <w:rsid w:val="0076302F"/>
    <w:rsid w:val="007634BB"/>
    <w:rsid w:val="00763CAA"/>
    <w:rsid w:val="00764873"/>
    <w:rsid w:val="00766288"/>
    <w:rsid w:val="00766467"/>
    <w:rsid w:val="00766468"/>
    <w:rsid w:val="007664AD"/>
    <w:rsid w:val="007669B1"/>
    <w:rsid w:val="00766CE3"/>
    <w:rsid w:val="0076714B"/>
    <w:rsid w:val="007672E9"/>
    <w:rsid w:val="00767345"/>
    <w:rsid w:val="00767358"/>
    <w:rsid w:val="0076739C"/>
    <w:rsid w:val="007677C4"/>
    <w:rsid w:val="00767A0E"/>
    <w:rsid w:val="00767CD3"/>
    <w:rsid w:val="00767D8D"/>
    <w:rsid w:val="007700D0"/>
    <w:rsid w:val="0077079D"/>
    <w:rsid w:val="0077082F"/>
    <w:rsid w:val="007713FD"/>
    <w:rsid w:val="007717D3"/>
    <w:rsid w:val="00771B7D"/>
    <w:rsid w:val="00771BF7"/>
    <w:rsid w:val="007724C3"/>
    <w:rsid w:val="00773024"/>
    <w:rsid w:val="00773108"/>
    <w:rsid w:val="007736E2"/>
    <w:rsid w:val="00773B0B"/>
    <w:rsid w:val="00773EB6"/>
    <w:rsid w:val="007743A3"/>
    <w:rsid w:val="00774977"/>
    <w:rsid w:val="00775050"/>
    <w:rsid w:val="00775635"/>
    <w:rsid w:val="007757DC"/>
    <w:rsid w:val="007757EA"/>
    <w:rsid w:val="00775871"/>
    <w:rsid w:val="00775CC9"/>
    <w:rsid w:val="0077601B"/>
    <w:rsid w:val="0077663E"/>
    <w:rsid w:val="00776A48"/>
    <w:rsid w:val="00776C61"/>
    <w:rsid w:val="00776DDC"/>
    <w:rsid w:val="00776E8A"/>
    <w:rsid w:val="00776E8E"/>
    <w:rsid w:val="00776F12"/>
    <w:rsid w:val="00776F3F"/>
    <w:rsid w:val="00777247"/>
    <w:rsid w:val="00777444"/>
    <w:rsid w:val="0077754A"/>
    <w:rsid w:val="007775DC"/>
    <w:rsid w:val="00777634"/>
    <w:rsid w:val="007776B3"/>
    <w:rsid w:val="007778BE"/>
    <w:rsid w:val="00777BA8"/>
    <w:rsid w:val="0078010F"/>
    <w:rsid w:val="00780327"/>
    <w:rsid w:val="007805BD"/>
    <w:rsid w:val="00780614"/>
    <w:rsid w:val="0078065B"/>
    <w:rsid w:val="00780ADD"/>
    <w:rsid w:val="00780B41"/>
    <w:rsid w:val="00780E34"/>
    <w:rsid w:val="007812DE"/>
    <w:rsid w:val="00781723"/>
    <w:rsid w:val="007817AE"/>
    <w:rsid w:val="00781BAA"/>
    <w:rsid w:val="007826CE"/>
    <w:rsid w:val="00782784"/>
    <w:rsid w:val="00782859"/>
    <w:rsid w:val="00782EC5"/>
    <w:rsid w:val="00782F2C"/>
    <w:rsid w:val="00783390"/>
    <w:rsid w:val="007835ED"/>
    <w:rsid w:val="00783A45"/>
    <w:rsid w:val="00783D1C"/>
    <w:rsid w:val="007842FB"/>
    <w:rsid w:val="007843B9"/>
    <w:rsid w:val="0078456B"/>
    <w:rsid w:val="007847D3"/>
    <w:rsid w:val="007851E3"/>
    <w:rsid w:val="00785D47"/>
    <w:rsid w:val="00785E19"/>
    <w:rsid w:val="0078613E"/>
    <w:rsid w:val="007867B0"/>
    <w:rsid w:val="007869B1"/>
    <w:rsid w:val="00786BC9"/>
    <w:rsid w:val="0078751E"/>
    <w:rsid w:val="007876E3"/>
    <w:rsid w:val="007876F4"/>
    <w:rsid w:val="0078776C"/>
    <w:rsid w:val="00787991"/>
    <w:rsid w:val="007879C2"/>
    <w:rsid w:val="00787B95"/>
    <w:rsid w:val="00787D19"/>
    <w:rsid w:val="00790789"/>
    <w:rsid w:val="00791163"/>
    <w:rsid w:val="007913FE"/>
    <w:rsid w:val="00792234"/>
    <w:rsid w:val="007925AB"/>
    <w:rsid w:val="007929C0"/>
    <w:rsid w:val="00792B71"/>
    <w:rsid w:val="00792B76"/>
    <w:rsid w:val="00792EA8"/>
    <w:rsid w:val="007935F0"/>
    <w:rsid w:val="007939CF"/>
    <w:rsid w:val="00793B16"/>
    <w:rsid w:val="0079450A"/>
    <w:rsid w:val="00795260"/>
    <w:rsid w:val="007968FC"/>
    <w:rsid w:val="00796F7C"/>
    <w:rsid w:val="00797BEC"/>
    <w:rsid w:val="00797CAD"/>
    <w:rsid w:val="00797D81"/>
    <w:rsid w:val="007A006B"/>
    <w:rsid w:val="007A0BBF"/>
    <w:rsid w:val="007A140A"/>
    <w:rsid w:val="007A16C7"/>
    <w:rsid w:val="007A1903"/>
    <w:rsid w:val="007A1A86"/>
    <w:rsid w:val="007A21CF"/>
    <w:rsid w:val="007A24E9"/>
    <w:rsid w:val="007A2C4A"/>
    <w:rsid w:val="007A2E24"/>
    <w:rsid w:val="007A3200"/>
    <w:rsid w:val="007A3285"/>
    <w:rsid w:val="007A36E8"/>
    <w:rsid w:val="007A39B9"/>
    <w:rsid w:val="007A3CF4"/>
    <w:rsid w:val="007A401A"/>
    <w:rsid w:val="007A47EA"/>
    <w:rsid w:val="007A4BF5"/>
    <w:rsid w:val="007A558F"/>
    <w:rsid w:val="007A55F4"/>
    <w:rsid w:val="007A5C11"/>
    <w:rsid w:val="007A5C86"/>
    <w:rsid w:val="007A5D9A"/>
    <w:rsid w:val="007A642D"/>
    <w:rsid w:val="007A6578"/>
    <w:rsid w:val="007A67D4"/>
    <w:rsid w:val="007A6FF7"/>
    <w:rsid w:val="007A7AE3"/>
    <w:rsid w:val="007A7DD8"/>
    <w:rsid w:val="007B03A3"/>
    <w:rsid w:val="007B0F79"/>
    <w:rsid w:val="007B1023"/>
    <w:rsid w:val="007B1494"/>
    <w:rsid w:val="007B19DC"/>
    <w:rsid w:val="007B1D2D"/>
    <w:rsid w:val="007B1D53"/>
    <w:rsid w:val="007B1E6F"/>
    <w:rsid w:val="007B2ED0"/>
    <w:rsid w:val="007B304D"/>
    <w:rsid w:val="007B3227"/>
    <w:rsid w:val="007B3B58"/>
    <w:rsid w:val="007B3CF2"/>
    <w:rsid w:val="007B42DA"/>
    <w:rsid w:val="007B458B"/>
    <w:rsid w:val="007B4961"/>
    <w:rsid w:val="007B5232"/>
    <w:rsid w:val="007B5370"/>
    <w:rsid w:val="007B56C5"/>
    <w:rsid w:val="007B59AB"/>
    <w:rsid w:val="007B5AC8"/>
    <w:rsid w:val="007B6420"/>
    <w:rsid w:val="007B649F"/>
    <w:rsid w:val="007B73C7"/>
    <w:rsid w:val="007B7503"/>
    <w:rsid w:val="007B7590"/>
    <w:rsid w:val="007B7654"/>
    <w:rsid w:val="007B7810"/>
    <w:rsid w:val="007B7979"/>
    <w:rsid w:val="007B7C76"/>
    <w:rsid w:val="007C001D"/>
    <w:rsid w:val="007C0074"/>
    <w:rsid w:val="007C00B3"/>
    <w:rsid w:val="007C046F"/>
    <w:rsid w:val="007C1B86"/>
    <w:rsid w:val="007C1D7E"/>
    <w:rsid w:val="007C2016"/>
    <w:rsid w:val="007C24A6"/>
    <w:rsid w:val="007C2543"/>
    <w:rsid w:val="007C26A1"/>
    <w:rsid w:val="007C2998"/>
    <w:rsid w:val="007C2C94"/>
    <w:rsid w:val="007C32E8"/>
    <w:rsid w:val="007C3758"/>
    <w:rsid w:val="007C47FE"/>
    <w:rsid w:val="007C4AA8"/>
    <w:rsid w:val="007C5961"/>
    <w:rsid w:val="007C5A00"/>
    <w:rsid w:val="007C5CA2"/>
    <w:rsid w:val="007C62E0"/>
    <w:rsid w:val="007C6759"/>
    <w:rsid w:val="007C6BF6"/>
    <w:rsid w:val="007C71FB"/>
    <w:rsid w:val="007C7219"/>
    <w:rsid w:val="007C778B"/>
    <w:rsid w:val="007C7909"/>
    <w:rsid w:val="007C7A58"/>
    <w:rsid w:val="007D025D"/>
    <w:rsid w:val="007D0A8C"/>
    <w:rsid w:val="007D0C5F"/>
    <w:rsid w:val="007D2032"/>
    <w:rsid w:val="007D2172"/>
    <w:rsid w:val="007D251F"/>
    <w:rsid w:val="007D2CF4"/>
    <w:rsid w:val="007D2DFE"/>
    <w:rsid w:val="007D2ECE"/>
    <w:rsid w:val="007D2F87"/>
    <w:rsid w:val="007D3597"/>
    <w:rsid w:val="007D3CBA"/>
    <w:rsid w:val="007D3D54"/>
    <w:rsid w:val="007D3FDF"/>
    <w:rsid w:val="007D4047"/>
    <w:rsid w:val="007D435D"/>
    <w:rsid w:val="007D43BF"/>
    <w:rsid w:val="007D44BE"/>
    <w:rsid w:val="007D453C"/>
    <w:rsid w:val="007D4746"/>
    <w:rsid w:val="007D47D7"/>
    <w:rsid w:val="007D49EC"/>
    <w:rsid w:val="007D59A4"/>
    <w:rsid w:val="007D609E"/>
    <w:rsid w:val="007D6669"/>
    <w:rsid w:val="007D714D"/>
    <w:rsid w:val="007D775F"/>
    <w:rsid w:val="007D77AE"/>
    <w:rsid w:val="007D78E1"/>
    <w:rsid w:val="007D7A23"/>
    <w:rsid w:val="007D7A55"/>
    <w:rsid w:val="007E09B6"/>
    <w:rsid w:val="007E0A35"/>
    <w:rsid w:val="007E0D3A"/>
    <w:rsid w:val="007E1746"/>
    <w:rsid w:val="007E1EF3"/>
    <w:rsid w:val="007E25F6"/>
    <w:rsid w:val="007E2690"/>
    <w:rsid w:val="007E272D"/>
    <w:rsid w:val="007E2F97"/>
    <w:rsid w:val="007E37C5"/>
    <w:rsid w:val="007E399F"/>
    <w:rsid w:val="007E3D9B"/>
    <w:rsid w:val="007E4637"/>
    <w:rsid w:val="007E483D"/>
    <w:rsid w:val="007E58D7"/>
    <w:rsid w:val="007E58F7"/>
    <w:rsid w:val="007E6027"/>
    <w:rsid w:val="007E6441"/>
    <w:rsid w:val="007E65BB"/>
    <w:rsid w:val="007E6A43"/>
    <w:rsid w:val="007E6C88"/>
    <w:rsid w:val="007E6E09"/>
    <w:rsid w:val="007E7D93"/>
    <w:rsid w:val="007F0000"/>
    <w:rsid w:val="007F0CB0"/>
    <w:rsid w:val="007F102F"/>
    <w:rsid w:val="007F113F"/>
    <w:rsid w:val="007F172F"/>
    <w:rsid w:val="007F1BF5"/>
    <w:rsid w:val="007F1D41"/>
    <w:rsid w:val="007F1F14"/>
    <w:rsid w:val="007F1FBB"/>
    <w:rsid w:val="007F22E4"/>
    <w:rsid w:val="007F2397"/>
    <w:rsid w:val="007F25CD"/>
    <w:rsid w:val="007F2704"/>
    <w:rsid w:val="007F30D1"/>
    <w:rsid w:val="007F3127"/>
    <w:rsid w:val="007F3302"/>
    <w:rsid w:val="007F3CBB"/>
    <w:rsid w:val="007F3D44"/>
    <w:rsid w:val="007F408F"/>
    <w:rsid w:val="007F4202"/>
    <w:rsid w:val="007F4326"/>
    <w:rsid w:val="007F4760"/>
    <w:rsid w:val="007F5472"/>
    <w:rsid w:val="007F56B8"/>
    <w:rsid w:val="007F579B"/>
    <w:rsid w:val="007F5BED"/>
    <w:rsid w:val="007F61E8"/>
    <w:rsid w:val="007F69E0"/>
    <w:rsid w:val="007F6A10"/>
    <w:rsid w:val="007F714C"/>
    <w:rsid w:val="008010D4"/>
    <w:rsid w:val="008011D9"/>
    <w:rsid w:val="0080140F"/>
    <w:rsid w:val="008014BF"/>
    <w:rsid w:val="00801718"/>
    <w:rsid w:val="0080195B"/>
    <w:rsid w:val="00801DC0"/>
    <w:rsid w:val="00801E7E"/>
    <w:rsid w:val="0080277E"/>
    <w:rsid w:val="00802975"/>
    <w:rsid w:val="008029A1"/>
    <w:rsid w:val="00802C94"/>
    <w:rsid w:val="00802F4F"/>
    <w:rsid w:val="008030E0"/>
    <w:rsid w:val="008038E3"/>
    <w:rsid w:val="00803A56"/>
    <w:rsid w:val="00803ADF"/>
    <w:rsid w:val="00803C1D"/>
    <w:rsid w:val="0080485F"/>
    <w:rsid w:val="008049C3"/>
    <w:rsid w:val="00804D57"/>
    <w:rsid w:val="008051EB"/>
    <w:rsid w:val="00805288"/>
    <w:rsid w:val="008055B6"/>
    <w:rsid w:val="00805B44"/>
    <w:rsid w:val="0080603C"/>
    <w:rsid w:val="00806048"/>
    <w:rsid w:val="00806690"/>
    <w:rsid w:val="008066D8"/>
    <w:rsid w:val="00806BAD"/>
    <w:rsid w:val="00806E0B"/>
    <w:rsid w:val="00806E10"/>
    <w:rsid w:val="008070D9"/>
    <w:rsid w:val="0080735D"/>
    <w:rsid w:val="00807A0D"/>
    <w:rsid w:val="00807CF2"/>
    <w:rsid w:val="00810B8B"/>
    <w:rsid w:val="00810CB6"/>
    <w:rsid w:val="00811188"/>
    <w:rsid w:val="00812453"/>
    <w:rsid w:val="00812503"/>
    <w:rsid w:val="00812909"/>
    <w:rsid w:val="00812C53"/>
    <w:rsid w:val="00812D13"/>
    <w:rsid w:val="00812D55"/>
    <w:rsid w:val="00813927"/>
    <w:rsid w:val="00813C1A"/>
    <w:rsid w:val="0081470E"/>
    <w:rsid w:val="00815339"/>
    <w:rsid w:val="00815982"/>
    <w:rsid w:val="00815CC2"/>
    <w:rsid w:val="00816676"/>
    <w:rsid w:val="00816E9F"/>
    <w:rsid w:val="008170B7"/>
    <w:rsid w:val="008170D7"/>
    <w:rsid w:val="008173D7"/>
    <w:rsid w:val="0081750A"/>
    <w:rsid w:val="00817CEF"/>
    <w:rsid w:val="00817D2D"/>
    <w:rsid w:val="00817E63"/>
    <w:rsid w:val="00817FDF"/>
    <w:rsid w:val="0082016A"/>
    <w:rsid w:val="008201EF"/>
    <w:rsid w:val="0082038B"/>
    <w:rsid w:val="0082083A"/>
    <w:rsid w:val="00820CA2"/>
    <w:rsid w:val="008212FC"/>
    <w:rsid w:val="0082164C"/>
    <w:rsid w:val="00822497"/>
    <w:rsid w:val="00822639"/>
    <w:rsid w:val="008226E3"/>
    <w:rsid w:val="008229E8"/>
    <w:rsid w:val="0082352D"/>
    <w:rsid w:val="0082357E"/>
    <w:rsid w:val="00823A6B"/>
    <w:rsid w:val="00823A92"/>
    <w:rsid w:val="00824473"/>
    <w:rsid w:val="008249F3"/>
    <w:rsid w:val="00825296"/>
    <w:rsid w:val="008258B8"/>
    <w:rsid w:val="00826428"/>
    <w:rsid w:val="00826A3D"/>
    <w:rsid w:val="00826A7B"/>
    <w:rsid w:val="00826C73"/>
    <w:rsid w:val="008273C6"/>
    <w:rsid w:val="00827400"/>
    <w:rsid w:val="008277E1"/>
    <w:rsid w:val="00827A27"/>
    <w:rsid w:val="00827AF5"/>
    <w:rsid w:val="00827C81"/>
    <w:rsid w:val="00830328"/>
    <w:rsid w:val="00830703"/>
    <w:rsid w:val="008307B9"/>
    <w:rsid w:val="008309E3"/>
    <w:rsid w:val="00830E69"/>
    <w:rsid w:val="00832410"/>
    <w:rsid w:val="00832C47"/>
    <w:rsid w:val="00832E0E"/>
    <w:rsid w:val="008338A3"/>
    <w:rsid w:val="008338D4"/>
    <w:rsid w:val="00833FC2"/>
    <w:rsid w:val="008348C8"/>
    <w:rsid w:val="00834983"/>
    <w:rsid w:val="00834E5F"/>
    <w:rsid w:val="00835031"/>
    <w:rsid w:val="0083517E"/>
    <w:rsid w:val="0083524B"/>
    <w:rsid w:val="0083544F"/>
    <w:rsid w:val="008354D3"/>
    <w:rsid w:val="00835905"/>
    <w:rsid w:val="00835937"/>
    <w:rsid w:val="00835E6B"/>
    <w:rsid w:val="0083605A"/>
    <w:rsid w:val="00836221"/>
    <w:rsid w:val="008367D6"/>
    <w:rsid w:val="00837469"/>
    <w:rsid w:val="00837576"/>
    <w:rsid w:val="00837B6E"/>
    <w:rsid w:val="008400C6"/>
    <w:rsid w:val="00840881"/>
    <w:rsid w:val="008409AC"/>
    <w:rsid w:val="00841057"/>
    <w:rsid w:val="00842189"/>
    <w:rsid w:val="00842C0F"/>
    <w:rsid w:val="00843256"/>
    <w:rsid w:val="0084390F"/>
    <w:rsid w:val="00843954"/>
    <w:rsid w:val="00843B6E"/>
    <w:rsid w:val="008443C3"/>
    <w:rsid w:val="00844723"/>
    <w:rsid w:val="00844F53"/>
    <w:rsid w:val="008452FC"/>
    <w:rsid w:val="00845E2E"/>
    <w:rsid w:val="00846665"/>
    <w:rsid w:val="00846AEF"/>
    <w:rsid w:val="00846F53"/>
    <w:rsid w:val="00847A1F"/>
    <w:rsid w:val="00850552"/>
    <w:rsid w:val="00850678"/>
    <w:rsid w:val="008506ED"/>
    <w:rsid w:val="0085091C"/>
    <w:rsid w:val="00851351"/>
    <w:rsid w:val="008517A1"/>
    <w:rsid w:val="00851884"/>
    <w:rsid w:val="00851A5D"/>
    <w:rsid w:val="00851D0D"/>
    <w:rsid w:val="008522CD"/>
    <w:rsid w:val="00852713"/>
    <w:rsid w:val="00853B05"/>
    <w:rsid w:val="00853B0D"/>
    <w:rsid w:val="00853FD3"/>
    <w:rsid w:val="008548B5"/>
    <w:rsid w:val="00854B71"/>
    <w:rsid w:val="00854E4F"/>
    <w:rsid w:val="00854EEB"/>
    <w:rsid w:val="00855263"/>
    <w:rsid w:val="0085539F"/>
    <w:rsid w:val="00855C4B"/>
    <w:rsid w:val="00855F50"/>
    <w:rsid w:val="008560BD"/>
    <w:rsid w:val="00856B62"/>
    <w:rsid w:val="00856F42"/>
    <w:rsid w:val="00857E6D"/>
    <w:rsid w:val="008602F4"/>
    <w:rsid w:val="0086035D"/>
    <w:rsid w:val="00860FEE"/>
    <w:rsid w:val="00861A57"/>
    <w:rsid w:val="00861ABA"/>
    <w:rsid w:val="00861DA5"/>
    <w:rsid w:val="00861E2A"/>
    <w:rsid w:val="00861E4B"/>
    <w:rsid w:val="00861FAA"/>
    <w:rsid w:val="00862078"/>
    <w:rsid w:val="00863058"/>
    <w:rsid w:val="008633FB"/>
    <w:rsid w:val="00863543"/>
    <w:rsid w:val="0086375E"/>
    <w:rsid w:val="00863967"/>
    <w:rsid w:val="00864553"/>
    <w:rsid w:val="008647FF"/>
    <w:rsid w:val="00864A3F"/>
    <w:rsid w:val="00864BCE"/>
    <w:rsid w:val="00864D4E"/>
    <w:rsid w:val="00864D5F"/>
    <w:rsid w:val="0086504E"/>
    <w:rsid w:val="008650D9"/>
    <w:rsid w:val="008650DE"/>
    <w:rsid w:val="00866125"/>
    <w:rsid w:val="00866EB9"/>
    <w:rsid w:val="008675A9"/>
    <w:rsid w:val="00867A0B"/>
    <w:rsid w:val="00867D60"/>
    <w:rsid w:val="00870346"/>
    <w:rsid w:val="0087050D"/>
    <w:rsid w:val="00870B1F"/>
    <w:rsid w:val="00870D51"/>
    <w:rsid w:val="00870D8E"/>
    <w:rsid w:val="0087177A"/>
    <w:rsid w:val="00871A30"/>
    <w:rsid w:val="00871A7D"/>
    <w:rsid w:val="00871C25"/>
    <w:rsid w:val="00872359"/>
    <w:rsid w:val="0087238A"/>
    <w:rsid w:val="0087291C"/>
    <w:rsid w:val="00872A72"/>
    <w:rsid w:val="00872D5E"/>
    <w:rsid w:val="0087303E"/>
    <w:rsid w:val="008738B3"/>
    <w:rsid w:val="00873B52"/>
    <w:rsid w:val="00874053"/>
    <w:rsid w:val="008749DD"/>
    <w:rsid w:val="00874A40"/>
    <w:rsid w:val="008756AB"/>
    <w:rsid w:val="0087573F"/>
    <w:rsid w:val="00875B3E"/>
    <w:rsid w:val="008765B7"/>
    <w:rsid w:val="00877040"/>
    <w:rsid w:val="00877B39"/>
    <w:rsid w:val="00880267"/>
    <w:rsid w:val="00880535"/>
    <w:rsid w:val="00880EDE"/>
    <w:rsid w:val="00880F20"/>
    <w:rsid w:val="0088210D"/>
    <w:rsid w:val="00882294"/>
    <w:rsid w:val="008832DB"/>
    <w:rsid w:val="0088394D"/>
    <w:rsid w:val="008844F5"/>
    <w:rsid w:val="00884E63"/>
    <w:rsid w:val="008850E2"/>
    <w:rsid w:val="008851D6"/>
    <w:rsid w:val="00885373"/>
    <w:rsid w:val="00885578"/>
    <w:rsid w:val="008858F2"/>
    <w:rsid w:val="00885BE7"/>
    <w:rsid w:val="00886086"/>
    <w:rsid w:val="00886BDC"/>
    <w:rsid w:val="00886EB5"/>
    <w:rsid w:val="00887110"/>
    <w:rsid w:val="0088716D"/>
    <w:rsid w:val="008872B3"/>
    <w:rsid w:val="0089011B"/>
    <w:rsid w:val="0089027D"/>
    <w:rsid w:val="0089041A"/>
    <w:rsid w:val="008906D6"/>
    <w:rsid w:val="008909B5"/>
    <w:rsid w:val="00890FFA"/>
    <w:rsid w:val="0089115B"/>
    <w:rsid w:val="008911AF"/>
    <w:rsid w:val="00891D18"/>
    <w:rsid w:val="00891E1D"/>
    <w:rsid w:val="00892078"/>
    <w:rsid w:val="0089213C"/>
    <w:rsid w:val="00892F6A"/>
    <w:rsid w:val="0089318E"/>
    <w:rsid w:val="008931E4"/>
    <w:rsid w:val="00893A3D"/>
    <w:rsid w:val="00893B21"/>
    <w:rsid w:val="008943A1"/>
    <w:rsid w:val="0089473F"/>
    <w:rsid w:val="00894BCB"/>
    <w:rsid w:val="008952C0"/>
    <w:rsid w:val="008958BB"/>
    <w:rsid w:val="008969B8"/>
    <w:rsid w:val="00896CA7"/>
    <w:rsid w:val="0089776E"/>
    <w:rsid w:val="00897CDE"/>
    <w:rsid w:val="00897D5B"/>
    <w:rsid w:val="008A026D"/>
    <w:rsid w:val="008A1246"/>
    <w:rsid w:val="008A1468"/>
    <w:rsid w:val="008A249A"/>
    <w:rsid w:val="008A24F8"/>
    <w:rsid w:val="008A2A8A"/>
    <w:rsid w:val="008A379D"/>
    <w:rsid w:val="008A37F9"/>
    <w:rsid w:val="008A3903"/>
    <w:rsid w:val="008A397A"/>
    <w:rsid w:val="008A3B45"/>
    <w:rsid w:val="008A406B"/>
    <w:rsid w:val="008A41FE"/>
    <w:rsid w:val="008A4812"/>
    <w:rsid w:val="008A499D"/>
    <w:rsid w:val="008A4DB3"/>
    <w:rsid w:val="008A52E5"/>
    <w:rsid w:val="008A56D3"/>
    <w:rsid w:val="008A5CD5"/>
    <w:rsid w:val="008A5D8A"/>
    <w:rsid w:val="008A637B"/>
    <w:rsid w:val="008A699E"/>
    <w:rsid w:val="008A6AD8"/>
    <w:rsid w:val="008A6CFC"/>
    <w:rsid w:val="008A6E50"/>
    <w:rsid w:val="008A702D"/>
    <w:rsid w:val="008A7DFC"/>
    <w:rsid w:val="008A7F9E"/>
    <w:rsid w:val="008B14B7"/>
    <w:rsid w:val="008B15C3"/>
    <w:rsid w:val="008B18E2"/>
    <w:rsid w:val="008B1AD6"/>
    <w:rsid w:val="008B2335"/>
    <w:rsid w:val="008B2F96"/>
    <w:rsid w:val="008B3686"/>
    <w:rsid w:val="008B38E6"/>
    <w:rsid w:val="008B409E"/>
    <w:rsid w:val="008B4623"/>
    <w:rsid w:val="008B492C"/>
    <w:rsid w:val="008B4C83"/>
    <w:rsid w:val="008B4D4D"/>
    <w:rsid w:val="008B5680"/>
    <w:rsid w:val="008B57C1"/>
    <w:rsid w:val="008B599C"/>
    <w:rsid w:val="008B5D33"/>
    <w:rsid w:val="008B5E96"/>
    <w:rsid w:val="008B716A"/>
    <w:rsid w:val="008B71E2"/>
    <w:rsid w:val="008B766C"/>
    <w:rsid w:val="008B786A"/>
    <w:rsid w:val="008B7F74"/>
    <w:rsid w:val="008C0EA6"/>
    <w:rsid w:val="008C1C82"/>
    <w:rsid w:val="008C223A"/>
    <w:rsid w:val="008C23BC"/>
    <w:rsid w:val="008C2993"/>
    <w:rsid w:val="008C30D5"/>
    <w:rsid w:val="008C39FE"/>
    <w:rsid w:val="008C3AE2"/>
    <w:rsid w:val="008C4278"/>
    <w:rsid w:val="008C4317"/>
    <w:rsid w:val="008C458C"/>
    <w:rsid w:val="008C4853"/>
    <w:rsid w:val="008C4AB0"/>
    <w:rsid w:val="008C543C"/>
    <w:rsid w:val="008C5703"/>
    <w:rsid w:val="008C57B3"/>
    <w:rsid w:val="008C5AE7"/>
    <w:rsid w:val="008C64AA"/>
    <w:rsid w:val="008C69AF"/>
    <w:rsid w:val="008C6E16"/>
    <w:rsid w:val="008C756A"/>
    <w:rsid w:val="008C7608"/>
    <w:rsid w:val="008C79B0"/>
    <w:rsid w:val="008D070D"/>
    <w:rsid w:val="008D13C6"/>
    <w:rsid w:val="008D165C"/>
    <w:rsid w:val="008D167A"/>
    <w:rsid w:val="008D1764"/>
    <w:rsid w:val="008D17BF"/>
    <w:rsid w:val="008D1853"/>
    <w:rsid w:val="008D201D"/>
    <w:rsid w:val="008D2E90"/>
    <w:rsid w:val="008D2E95"/>
    <w:rsid w:val="008D2F14"/>
    <w:rsid w:val="008D2F66"/>
    <w:rsid w:val="008D2FBF"/>
    <w:rsid w:val="008D320D"/>
    <w:rsid w:val="008D338A"/>
    <w:rsid w:val="008D44A3"/>
    <w:rsid w:val="008D4550"/>
    <w:rsid w:val="008D45D9"/>
    <w:rsid w:val="008D460B"/>
    <w:rsid w:val="008D4A64"/>
    <w:rsid w:val="008D4C57"/>
    <w:rsid w:val="008D54F1"/>
    <w:rsid w:val="008D558A"/>
    <w:rsid w:val="008D59DA"/>
    <w:rsid w:val="008D5A7A"/>
    <w:rsid w:val="008D5E28"/>
    <w:rsid w:val="008D62ED"/>
    <w:rsid w:val="008D644B"/>
    <w:rsid w:val="008D64F0"/>
    <w:rsid w:val="008D66E0"/>
    <w:rsid w:val="008D6843"/>
    <w:rsid w:val="008D699F"/>
    <w:rsid w:val="008D715C"/>
    <w:rsid w:val="008D734A"/>
    <w:rsid w:val="008E0AF2"/>
    <w:rsid w:val="008E0B13"/>
    <w:rsid w:val="008E0E48"/>
    <w:rsid w:val="008E0ECB"/>
    <w:rsid w:val="008E0F84"/>
    <w:rsid w:val="008E1602"/>
    <w:rsid w:val="008E177C"/>
    <w:rsid w:val="008E1C06"/>
    <w:rsid w:val="008E1D7C"/>
    <w:rsid w:val="008E2A89"/>
    <w:rsid w:val="008E2D10"/>
    <w:rsid w:val="008E2DF6"/>
    <w:rsid w:val="008E30BE"/>
    <w:rsid w:val="008E3816"/>
    <w:rsid w:val="008E3B5B"/>
    <w:rsid w:val="008E3EC8"/>
    <w:rsid w:val="008E41BF"/>
    <w:rsid w:val="008E44F7"/>
    <w:rsid w:val="008E45C4"/>
    <w:rsid w:val="008E4621"/>
    <w:rsid w:val="008E4750"/>
    <w:rsid w:val="008E4E63"/>
    <w:rsid w:val="008E4EC1"/>
    <w:rsid w:val="008E4FDF"/>
    <w:rsid w:val="008E518B"/>
    <w:rsid w:val="008E53F7"/>
    <w:rsid w:val="008E5B58"/>
    <w:rsid w:val="008E62E8"/>
    <w:rsid w:val="008E6864"/>
    <w:rsid w:val="008E69BB"/>
    <w:rsid w:val="008E6A45"/>
    <w:rsid w:val="008E6A94"/>
    <w:rsid w:val="008E701F"/>
    <w:rsid w:val="008E77C9"/>
    <w:rsid w:val="008F02CE"/>
    <w:rsid w:val="008F02D3"/>
    <w:rsid w:val="008F11AD"/>
    <w:rsid w:val="008F1287"/>
    <w:rsid w:val="008F1D50"/>
    <w:rsid w:val="008F1D92"/>
    <w:rsid w:val="008F20B2"/>
    <w:rsid w:val="008F250A"/>
    <w:rsid w:val="008F277F"/>
    <w:rsid w:val="008F3233"/>
    <w:rsid w:val="008F38AE"/>
    <w:rsid w:val="008F3D41"/>
    <w:rsid w:val="008F41E8"/>
    <w:rsid w:val="008F44CE"/>
    <w:rsid w:val="008F46A1"/>
    <w:rsid w:val="008F4E3E"/>
    <w:rsid w:val="008F540E"/>
    <w:rsid w:val="008F55BB"/>
    <w:rsid w:val="008F6E5A"/>
    <w:rsid w:val="008F7AFC"/>
    <w:rsid w:val="008F7CBD"/>
    <w:rsid w:val="009002F3"/>
    <w:rsid w:val="009004EE"/>
    <w:rsid w:val="00900717"/>
    <w:rsid w:val="0090080E"/>
    <w:rsid w:val="009011AD"/>
    <w:rsid w:val="00901349"/>
    <w:rsid w:val="00901538"/>
    <w:rsid w:val="00901755"/>
    <w:rsid w:val="00901D61"/>
    <w:rsid w:val="00902787"/>
    <w:rsid w:val="00902D3D"/>
    <w:rsid w:val="00902E0D"/>
    <w:rsid w:val="00903099"/>
    <w:rsid w:val="00903305"/>
    <w:rsid w:val="00903354"/>
    <w:rsid w:val="009038C1"/>
    <w:rsid w:val="00903AA8"/>
    <w:rsid w:val="00903D7D"/>
    <w:rsid w:val="0090432B"/>
    <w:rsid w:val="00904A17"/>
    <w:rsid w:val="009056E2"/>
    <w:rsid w:val="009056F5"/>
    <w:rsid w:val="00905AFE"/>
    <w:rsid w:val="0090696C"/>
    <w:rsid w:val="009069EE"/>
    <w:rsid w:val="00906A60"/>
    <w:rsid w:val="009072DB"/>
    <w:rsid w:val="009073AA"/>
    <w:rsid w:val="00907D03"/>
    <w:rsid w:val="00910770"/>
    <w:rsid w:val="00910C23"/>
    <w:rsid w:val="0091160A"/>
    <w:rsid w:val="0091161D"/>
    <w:rsid w:val="009118AB"/>
    <w:rsid w:val="00911BB3"/>
    <w:rsid w:val="009121F7"/>
    <w:rsid w:val="009138A2"/>
    <w:rsid w:val="00913B1A"/>
    <w:rsid w:val="00913EC8"/>
    <w:rsid w:val="0091461E"/>
    <w:rsid w:val="00914A87"/>
    <w:rsid w:val="00915214"/>
    <w:rsid w:val="0091594A"/>
    <w:rsid w:val="00915E17"/>
    <w:rsid w:val="0091644C"/>
    <w:rsid w:val="00917322"/>
    <w:rsid w:val="0091757A"/>
    <w:rsid w:val="009179B0"/>
    <w:rsid w:val="00917A9D"/>
    <w:rsid w:val="009208AA"/>
    <w:rsid w:val="00920ADC"/>
    <w:rsid w:val="00920D68"/>
    <w:rsid w:val="009212C8"/>
    <w:rsid w:val="009218A7"/>
    <w:rsid w:val="00921CF1"/>
    <w:rsid w:val="00921ECE"/>
    <w:rsid w:val="00921F82"/>
    <w:rsid w:val="009222CF"/>
    <w:rsid w:val="0092241D"/>
    <w:rsid w:val="009229FB"/>
    <w:rsid w:val="00922BA9"/>
    <w:rsid w:val="00922F19"/>
    <w:rsid w:val="009233E7"/>
    <w:rsid w:val="0092354F"/>
    <w:rsid w:val="00923D3B"/>
    <w:rsid w:val="009249B0"/>
    <w:rsid w:val="00924FAB"/>
    <w:rsid w:val="009250D5"/>
    <w:rsid w:val="00925215"/>
    <w:rsid w:val="009265AC"/>
    <w:rsid w:val="00926842"/>
    <w:rsid w:val="009271D6"/>
    <w:rsid w:val="00927444"/>
    <w:rsid w:val="0092790B"/>
    <w:rsid w:val="00927D5A"/>
    <w:rsid w:val="00930B66"/>
    <w:rsid w:val="00931829"/>
    <w:rsid w:val="0093190F"/>
    <w:rsid w:val="009319F0"/>
    <w:rsid w:val="0093291F"/>
    <w:rsid w:val="00932D26"/>
    <w:rsid w:val="0093342D"/>
    <w:rsid w:val="00933566"/>
    <w:rsid w:val="00934122"/>
    <w:rsid w:val="0093413E"/>
    <w:rsid w:val="0093447C"/>
    <w:rsid w:val="0093448B"/>
    <w:rsid w:val="0093455B"/>
    <w:rsid w:val="009346B9"/>
    <w:rsid w:val="00934B89"/>
    <w:rsid w:val="00934C39"/>
    <w:rsid w:val="00934D07"/>
    <w:rsid w:val="00934FC4"/>
    <w:rsid w:val="00935A59"/>
    <w:rsid w:val="00935CAF"/>
    <w:rsid w:val="00935CED"/>
    <w:rsid w:val="0093674D"/>
    <w:rsid w:val="0093694C"/>
    <w:rsid w:val="00936C15"/>
    <w:rsid w:val="00936D30"/>
    <w:rsid w:val="0093741A"/>
    <w:rsid w:val="009374A3"/>
    <w:rsid w:val="009376B4"/>
    <w:rsid w:val="009376BC"/>
    <w:rsid w:val="0093792C"/>
    <w:rsid w:val="00937AB2"/>
    <w:rsid w:val="00937B98"/>
    <w:rsid w:val="00937CCB"/>
    <w:rsid w:val="009402C7"/>
    <w:rsid w:val="00941970"/>
    <w:rsid w:val="00941A56"/>
    <w:rsid w:val="00941AB6"/>
    <w:rsid w:val="00941AD6"/>
    <w:rsid w:val="00941E4C"/>
    <w:rsid w:val="00941F90"/>
    <w:rsid w:val="00942642"/>
    <w:rsid w:val="009430CD"/>
    <w:rsid w:val="009436F7"/>
    <w:rsid w:val="00943CC3"/>
    <w:rsid w:val="00943ED6"/>
    <w:rsid w:val="009443BE"/>
    <w:rsid w:val="00944668"/>
    <w:rsid w:val="00944F5C"/>
    <w:rsid w:val="00945181"/>
    <w:rsid w:val="009458F5"/>
    <w:rsid w:val="0094648B"/>
    <w:rsid w:val="00946699"/>
    <w:rsid w:val="00946DA3"/>
    <w:rsid w:val="00947364"/>
    <w:rsid w:val="0095004F"/>
    <w:rsid w:val="00950061"/>
    <w:rsid w:val="009503CA"/>
    <w:rsid w:val="00950B1B"/>
    <w:rsid w:val="009510F9"/>
    <w:rsid w:val="00951C98"/>
    <w:rsid w:val="00951CE8"/>
    <w:rsid w:val="00952807"/>
    <w:rsid w:val="00952D28"/>
    <w:rsid w:val="00952D3B"/>
    <w:rsid w:val="0095303C"/>
    <w:rsid w:val="009539F6"/>
    <w:rsid w:val="00953C3D"/>
    <w:rsid w:val="009540ED"/>
    <w:rsid w:val="009546CA"/>
    <w:rsid w:val="0095483E"/>
    <w:rsid w:val="00954CE4"/>
    <w:rsid w:val="00954FAC"/>
    <w:rsid w:val="00955620"/>
    <w:rsid w:val="00955731"/>
    <w:rsid w:val="0095586C"/>
    <w:rsid w:val="00955E11"/>
    <w:rsid w:val="0095600A"/>
    <w:rsid w:val="0095637D"/>
    <w:rsid w:val="00956509"/>
    <w:rsid w:val="00956AED"/>
    <w:rsid w:val="00957132"/>
    <w:rsid w:val="00957634"/>
    <w:rsid w:val="009576A5"/>
    <w:rsid w:val="009577D9"/>
    <w:rsid w:val="0096044E"/>
    <w:rsid w:val="00960565"/>
    <w:rsid w:val="00960D99"/>
    <w:rsid w:val="00961C7C"/>
    <w:rsid w:val="00962B2A"/>
    <w:rsid w:val="00962C93"/>
    <w:rsid w:val="0096352E"/>
    <w:rsid w:val="009639CC"/>
    <w:rsid w:val="00964930"/>
    <w:rsid w:val="009659E8"/>
    <w:rsid w:val="00966102"/>
    <w:rsid w:val="00966232"/>
    <w:rsid w:val="00966731"/>
    <w:rsid w:val="00966AED"/>
    <w:rsid w:val="00966C08"/>
    <w:rsid w:val="00966DF6"/>
    <w:rsid w:val="00967074"/>
    <w:rsid w:val="009674DB"/>
    <w:rsid w:val="009677A2"/>
    <w:rsid w:val="009677B3"/>
    <w:rsid w:val="00967CF0"/>
    <w:rsid w:val="00967CF9"/>
    <w:rsid w:val="00970043"/>
    <w:rsid w:val="009701B2"/>
    <w:rsid w:val="00970249"/>
    <w:rsid w:val="009702A9"/>
    <w:rsid w:val="009705FD"/>
    <w:rsid w:val="0097061F"/>
    <w:rsid w:val="009709D5"/>
    <w:rsid w:val="00970B30"/>
    <w:rsid w:val="00971141"/>
    <w:rsid w:val="00971243"/>
    <w:rsid w:val="009712C8"/>
    <w:rsid w:val="00971538"/>
    <w:rsid w:val="00971649"/>
    <w:rsid w:val="009716CB"/>
    <w:rsid w:val="009717B3"/>
    <w:rsid w:val="00971DDC"/>
    <w:rsid w:val="00972117"/>
    <w:rsid w:val="009723AD"/>
    <w:rsid w:val="00972A8E"/>
    <w:rsid w:val="00972AE3"/>
    <w:rsid w:val="00972BB5"/>
    <w:rsid w:val="00974087"/>
    <w:rsid w:val="0097417B"/>
    <w:rsid w:val="00974354"/>
    <w:rsid w:val="0097490C"/>
    <w:rsid w:val="00974FDD"/>
    <w:rsid w:val="00976052"/>
    <w:rsid w:val="00976371"/>
    <w:rsid w:val="009763E7"/>
    <w:rsid w:val="009770FD"/>
    <w:rsid w:val="0097752D"/>
    <w:rsid w:val="00977CC7"/>
    <w:rsid w:val="00977D8A"/>
    <w:rsid w:val="00980796"/>
    <w:rsid w:val="009807EE"/>
    <w:rsid w:val="009808C6"/>
    <w:rsid w:val="00980A16"/>
    <w:rsid w:val="00980E41"/>
    <w:rsid w:val="00981069"/>
    <w:rsid w:val="009816C8"/>
    <w:rsid w:val="00981782"/>
    <w:rsid w:val="009819DB"/>
    <w:rsid w:val="00981B2F"/>
    <w:rsid w:val="00982372"/>
    <w:rsid w:val="00982523"/>
    <w:rsid w:val="0098302A"/>
    <w:rsid w:val="00983603"/>
    <w:rsid w:val="009839D0"/>
    <w:rsid w:val="00983EFD"/>
    <w:rsid w:val="009840C2"/>
    <w:rsid w:val="0098485C"/>
    <w:rsid w:val="00984C0B"/>
    <w:rsid w:val="00984DD9"/>
    <w:rsid w:val="00984E21"/>
    <w:rsid w:val="009850AE"/>
    <w:rsid w:val="009853C1"/>
    <w:rsid w:val="00985788"/>
    <w:rsid w:val="00985DA0"/>
    <w:rsid w:val="00985FBB"/>
    <w:rsid w:val="00986135"/>
    <w:rsid w:val="0098649E"/>
    <w:rsid w:val="009865B0"/>
    <w:rsid w:val="009866F1"/>
    <w:rsid w:val="00986973"/>
    <w:rsid w:val="009871B3"/>
    <w:rsid w:val="00987BFA"/>
    <w:rsid w:val="00987D69"/>
    <w:rsid w:val="009900FD"/>
    <w:rsid w:val="0099084E"/>
    <w:rsid w:val="00991313"/>
    <w:rsid w:val="00991402"/>
    <w:rsid w:val="009915D3"/>
    <w:rsid w:val="00991E7A"/>
    <w:rsid w:val="00992164"/>
    <w:rsid w:val="00992277"/>
    <w:rsid w:val="00992634"/>
    <w:rsid w:val="00992868"/>
    <w:rsid w:val="00992985"/>
    <w:rsid w:val="00992B37"/>
    <w:rsid w:val="00992CA8"/>
    <w:rsid w:val="009930E3"/>
    <w:rsid w:val="009934C9"/>
    <w:rsid w:val="00993550"/>
    <w:rsid w:val="009938D0"/>
    <w:rsid w:val="00993A30"/>
    <w:rsid w:val="00993BA1"/>
    <w:rsid w:val="009942CB"/>
    <w:rsid w:val="009946D3"/>
    <w:rsid w:val="00994E89"/>
    <w:rsid w:val="00995032"/>
    <w:rsid w:val="00995192"/>
    <w:rsid w:val="0099567D"/>
    <w:rsid w:val="009959A9"/>
    <w:rsid w:val="00995AEF"/>
    <w:rsid w:val="00995D12"/>
    <w:rsid w:val="00995F4E"/>
    <w:rsid w:val="00996679"/>
    <w:rsid w:val="009966DE"/>
    <w:rsid w:val="00996713"/>
    <w:rsid w:val="00996ECD"/>
    <w:rsid w:val="009974D6"/>
    <w:rsid w:val="00997CF4"/>
    <w:rsid w:val="009A0543"/>
    <w:rsid w:val="009A068C"/>
    <w:rsid w:val="009A07B4"/>
    <w:rsid w:val="009A0B5F"/>
    <w:rsid w:val="009A0C48"/>
    <w:rsid w:val="009A0EDD"/>
    <w:rsid w:val="009A226B"/>
    <w:rsid w:val="009A248C"/>
    <w:rsid w:val="009A29E6"/>
    <w:rsid w:val="009A2DFB"/>
    <w:rsid w:val="009A2ED2"/>
    <w:rsid w:val="009A2F8A"/>
    <w:rsid w:val="009A3010"/>
    <w:rsid w:val="009A360D"/>
    <w:rsid w:val="009A3909"/>
    <w:rsid w:val="009A3A17"/>
    <w:rsid w:val="009A3BB5"/>
    <w:rsid w:val="009A3BF6"/>
    <w:rsid w:val="009A40ED"/>
    <w:rsid w:val="009A4D01"/>
    <w:rsid w:val="009A4E4A"/>
    <w:rsid w:val="009A4EE6"/>
    <w:rsid w:val="009A5678"/>
    <w:rsid w:val="009A58C1"/>
    <w:rsid w:val="009A5E9B"/>
    <w:rsid w:val="009A63EE"/>
    <w:rsid w:val="009A672C"/>
    <w:rsid w:val="009A6F0D"/>
    <w:rsid w:val="009A7001"/>
    <w:rsid w:val="009A7086"/>
    <w:rsid w:val="009A73E9"/>
    <w:rsid w:val="009A74D0"/>
    <w:rsid w:val="009A7777"/>
    <w:rsid w:val="009A7879"/>
    <w:rsid w:val="009A7C33"/>
    <w:rsid w:val="009B042D"/>
    <w:rsid w:val="009B073C"/>
    <w:rsid w:val="009B07DE"/>
    <w:rsid w:val="009B0835"/>
    <w:rsid w:val="009B0922"/>
    <w:rsid w:val="009B1A3E"/>
    <w:rsid w:val="009B24A7"/>
    <w:rsid w:val="009B29C0"/>
    <w:rsid w:val="009B2A78"/>
    <w:rsid w:val="009B2E21"/>
    <w:rsid w:val="009B3954"/>
    <w:rsid w:val="009B3A54"/>
    <w:rsid w:val="009B3CBB"/>
    <w:rsid w:val="009B3EF5"/>
    <w:rsid w:val="009B4174"/>
    <w:rsid w:val="009B44A2"/>
    <w:rsid w:val="009B45B3"/>
    <w:rsid w:val="009B47C6"/>
    <w:rsid w:val="009B47D6"/>
    <w:rsid w:val="009B488F"/>
    <w:rsid w:val="009B50EA"/>
    <w:rsid w:val="009B572B"/>
    <w:rsid w:val="009B5B0F"/>
    <w:rsid w:val="009B5FF4"/>
    <w:rsid w:val="009B6097"/>
    <w:rsid w:val="009B6286"/>
    <w:rsid w:val="009B62F9"/>
    <w:rsid w:val="009B63AE"/>
    <w:rsid w:val="009B6C54"/>
    <w:rsid w:val="009B6FFF"/>
    <w:rsid w:val="009B717A"/>
    <w:rsid w:val="009B718B"/>
    <w:rsid w:val="009B7405"/>
    <w:rsid w:val="009B7586"/>
    <w:rsid w:val="009C02F6"/>
    <w:rsid w:val="009C095E"/>
    <w:rsid w:val="009C09AE"/>
    <w:rsid w:val="009C0BA7"/>
    <w:rsid w:val="009C0E2E"/>
    <w:rsid w:val="009C0E47"/>
    <w:rsid w:val="009C1165"/>
    <w:rsid w:val="009C130E"/>
    <w:rsid w:val="009C159D"/>
    <w:rsid w:val="009C24B8"/>
    <w:rsid w:val="009C2646"/>
    <w:rsid w:val="009C2933"/>
    <w:rsid w:val="009C2BBA"/>
    <w:rsid w:val="009C307F"/>
    <w:rsid w:val="009C36C7"/>
    <w:rsid w:val="009C3B28"/>
    <w:rsid w:val="009C3FCA"/>
    <w:rsid w:val="009C4013"/>
    <w:rsid w:val="009C4E85"/>
    <w:rsid w:val="009C50A2"/>
    <w:rsid w:val="009C5739"/>
    <w:rsid w:val="009C5D2C"/>
    <w:rsid w:val="009C6689"/>
    <w:rsid w:val="009C6759"/>
    <w:rsid w:val="009C6A01"/>
    <w:rsid w:val="009C6B52"/>
    <w:rsid w:val="009C6C8B"/>
    <w:rsid w:val="009C6D6A"/>
    <w:rsid w:val="009C7C92"/>
    <w:rsid w:val="009C7C9A"/>
    <w:rsid w:val="009D0415"/>
    <w:rsid w:val="009D072F"/>
    <w:rsid w:val="009D1073"/>
    <w:rsid w:val="009D12F7"/>
    <w:rsid w:val="009D166C"/>
    <w:rsid w:val="009D1711"/>
    <w:rsid w:val="009D1C86"/>
    <w:rsid w:val="009D2701"/>
    <w:rsid w:val="009D29F8"/>
    <w:rsid w:val="009D2BA0"/>
    <w:rsid w:val="009D2C7F"/>
    <w:rsid w:val="009D2CFD"/>
    <w:rsid w:val="009D2D12"/>
    <w:rsid w:val="009D475B"/>
    <w:rsid w:val="009D5517"/>
    <w:rsid w:val="009D59A1"/>
    <w:rsid w:val="009D624E"/>
    <w:rsid w:val="009D630D"/>
    <w:rsid w:val="009D64DA"/>
    <w:rsid w:val="009D6849"/>
    <w:rsid w:val="009D6B90"/>
    <w:rsid w:val="009D7B4C"/>
    <w:rsid w:val="009E0262"/>
    <w:rsid w:val="009E0AC4"/>
    <w:rsid w:val="009E0DE7"/>
    <w:rsid w:val="009E1B4F"/>
    <w:rsid w:val="009E2201"/>
    <w:rsid w:val="009E24A4"/>
    <w:rsid w:val="009E2A5D"/>
    <w:rsid w:val="009E2C73"/>
    <w:rsid w:val="009E3141"/>
    <w:rsid w:val="009E3AFB"/>
    <w:rsid w:val="009E3D64"/>
    <w:rsid w:val="009E4D64"/>
    <w:rsid w:val="009E50A8"/>
    <w:rsid w:val="009E5A23"/>
    <w:rsid w:val="009E5B89"/>
    <w:rsid w:val="009E5B8A"/>
    <w:rsid w:val="009E5FA3"/>
    <w:rsid w:val="009E663B"/>
    <w:rsid w:val="009E6648"/>
    <w:rsid w:val="009E744F"/>
    <w:rsid w:val="009E76BC"/>
    <w:rsid w:val="009E78DF"/>
    <w:rsid w:val="009E7979"/>
    <w:rsid w:val="009F0180"/>
    <w:rsid w:val="009F0446"/>
    <w:rsid w:val="009F0618"/>
    <w:rsid w:val="009F1186"/>
    <w:rsid w:val="009F1525"/>
    <w:rsid w:val="009F1528"/>
    <w:rsid w:val="009F180C"/>
    <w:rsid w:val="009F1F90"/>
    <w:rsid w:val="009F222B"/>
    <w:rsid w:val="009F2385"/>
    <w:rsid w:val="009F25A4"/>
    <w:rsid w:val="009F42B3"/>
    <w:rsid w:val="009F4B52"/>
    <w:rsid w:val="009F4F1A"/>
    <w:rsid w:val="009F5035"/>
    <w:rsid w:val="009F61F5"/>
    <w:rsid w:val="009F6341"/>
    <w:rsid w:val="009F63E6"/>
    <w:rsid w:val="009F68E4"/>
    <w:rsid w:val="009F6AAA"/>
    <w:rsid w:val="009F6FCA"/>
    <w:rsid w:val="00A00161"/>
    <w:rsid w:val="00A00231"/>
    <w:rsid w:val="00A00C1F"/>
    <w:rsid w:val="00A0102E"/>
    <w:rsid w:val="00A01323"/>
    <w:rsid w:val="00A01422"/>
    <w:rsid w:val="00A0178A"/>
    <w:rsid w:val="00A019BC"/>
    <w:rsid w:val="00A01CBE"/>
    <w:rsid w:val="00A02082"/>
    <w:rsid w:val="00A021E4"/>
    <w:rsid w:val="00A022A4"/>
    <w:rsid w:val="00A026F8"/>
    <w:rsid w:val="00A02854"/>
    <w:rsid w:val="00A028A6"/>
    <w:rsid w:val="00A02D07"/>
    <w:rsid w:val="00A02FCE"/>
    <w:rsid w:val="00A03FB2"/>
    <w:rsid w:val="00A04084"/>
    <w:rsid w:val="00A046CB"/>
    <w:rsid w:val="00A04B8A"/>
    <w:rsid w:val="00A05327"/>
    <w:rsid w:val="00A05794"/>
    <w:rsid w:val="00A05935"/>
    <w:rsid w:val="00A05D6B"/>
    <w:rsid w:val="00A067E2"/>
    <w:rsid w:val="00A06D1C"/>
    <w:rsid w:val="00A073D9"/>
    <w:rsid w:val="00A0779F"/>
    <w:rsid w:val="00A078C7"/>
    <w:rsid w:val="00A0791D"/>
    <w:rsid w:val="00A07CAC"/>
    <w:rsid w:val="00A10178"/>
    <w:rsid w:val="00A104D1"/>
    <w:rsid w:val="00A1142B"/>
    <w:rsid w:val="00A11702"/>
    <w:rsid w:val="00A118A4"/>
    <w:rsid w:val="00A119D4"/>
    <w:rsid w:val="00A11B09"/>
    <w:rsid w:val="00A129BE"/>
    <w:rsid w:val="00A12A3B"/>
    <w:rsid w:val="00A12C56"/>
    <w:rsid w:val="00A12E54"/>
    <w:rsid w:val="00A134F6"/>
    <w:rsid w:val="00A14365"/>
    <w:rsid w:val="00A148D8"/>
    <w:rsid w:val="00A14EEA"/>
    <w:rsid w:val="00A156D6"/>
    <w:rsid w:val="00A16060"/>
    <w:rsid w:val="00A16966"/>
    <w:rsid w:val="00A16A86"/>
    <w:rsid w:val="00A16CA8"/>
    <w:rsid w:val="00A16CCC"/>
    <w:rsid w:val="00A1714B"/>
    <w:rsid w:val="00A17947"/>
    <w:rsid w:val="00A207A2"/>
    <w:rsid w:val="00A207FB"/>
    <w:rsid w:val="00A20924"/>
    <w:rsid w:val="00A20EFA"/>
    <w:rsid w:val="00A216F6"/>
    <w:rsid w:val="00A21849"/>
    <w:rsid w:val="00A21E6E"/>
    <w:rsid w:val="00A221E5"/>
    <w:rsid w:val="00A22A3F"/>
    <w:rsid w:val="00A2324F"/>
    <w:rsid w:val="00A23684"/>
    <w:rsid w:val="00A238CC"/>
    <w:rsid w:val="00A24355"/>
    <w:rsid w:val="00A24E0D"/>
    <w:rsid w:val="00A2526A"/>
    <w:rsid w:val="00A25BF4"/>
    <w:rsid w:val="00A25EE3"/>
    <w:rsid w:val="00A264E2"/>
    <w:rsid w:val="00A26550"/>
    <w:rsid w:val="00A26668"/>
    <w:rsid w:val="00A26949"/>
    <w:rsid w:val="00A26A1A"/>
    <w:rsid w:val="00A26EBF"/>
    <w:rsid w:val="00A26EEA"/>
    <w:rsid w:val="00A2720C"/>
    <w:rsid w:val="00A27973"/>
    <w:rsid w:val="00A304C8"/>
    <w:rsid w:val="00A3094B"/>
    <w:rsid w:val="00A3238B"/>
    <w:rsid w:val="00A3240B"/>
    <w:rsid w:val="00A32793"/>
    <w:rsid w:val="00A329CD"/>
    <w:rsid w:val="00A329F5"/>
    <w:rsid w:val="00A32BB9"/>
    <w:rsid w:val="00A32E92"/>
    <w:rsid w:val="00A330F5"/>
    <w:rsid w:val="00A3321B"/>
    <w:rsid w:val="00A3374D"/>
    <w:rsid w:val="00A33A02"/>
    <w:rsid w:val="00A33E3E"/>
    <w:rsid w:val="00A34872"/>
    <w:rsid w:val="00A3512F"/>
    <w:rsid w:val="00A351CE"/>
    <w:rsid w:val="00A3520A"/>
    <w:rsid w:val="00A3562B"/>
    <w:rsid w:val="00A3586D"/>
    <w:rsid w:val="00A3617A"/>
    <w:rsid w:val="00A363D1"/>
    <w:rsid w:val="00A36B6B"/>
    <w:rsid w:val="00A36C60"/>
    <w:rsid w:val="00A3719E"/>
    <w:rsid w:val="00A37756"/>
    <w:rsid w:val="00A4012A"/>
    <w:rsid w:val="00A401EC"/>
    <w:rsid w:val="00A40378"/>
    <w:rsid w:val="00A407C3"/>
    <w:rsid w:val="00A40971"/>
    <w:rsid w:val="00A40B34"/>
    <w:rsid w:val="00A40FE4"/>
    <w:rsid w:val="00A41235"/>
    <w:rsid w:val="00A4184A"/>
    <w:rsid w:val="00A42BC1"/>
    <w:rsid w:val="00A42F91"/>
    <w:rsid w:val="00A42FF5"/>
    <w:rsid w:val="00A43113"/>
    <w:rsid w:val="00A43136"/>
    <w:rsid w:val="00A4373A"/>
    <w:rsid w:val="00A437C0"/>
    <w:rsid w:val="00A43C47"/>
    <w:rsid w:val="00A44267"/>
    <w:rsid w:val="00A4491D"/>
    <w:rsid w:val="00A4497A"/>
    <w:rsid w:val="00A456A3"/>
    <w:rsid w:val="00A45BA7"/>
    <w:rsid w:val="00A45C1D"/>
    <w:rsid w:val="00A45ECD"/>
    <w:rsid w:val="00A45EDA"/>
    <w:rsid w:val="00A463FC"/>
    <w:rsid w:val="00A466BB"/>
    <w:rsid w:val="00A4686C"/>
    <w:rsid w:val="00A470CE"/>
    <w:rsid w:val="00A470D1"/>
    <w:rsid w:val="00A50840"/>
    <w:rsid w:val="00A50912"/>
    <w:rsid w:val="00A50BC5"/>
    <w:rsid w:val="00A51106"/>
    <w:rsid w:val="00A511C8"/>
    <w:rsid w:val="00A514D8"/>
    <w:rsid w:val="00A5167B"/>
    <w:rsid w:val="00A518B9"/>
    <w:rsid w:val="00A51959"/>
    <w:rsid w:val="00A5199C"/>
    <w:rsid w:val="00A51CF9"/>
    <w:rsid w:val="00A523BD"/>
    <w:rsid w:val="00A52418"/>
    <w:rsid w:val="00A529CA"/>
    <w:rsid w:val="00A52DB6"/>
    <w:rsid w:val="00A53163"/>
    <w:rsid w:val="00A53E27"/>
    <w:rsid w:val="00A548E4"/>
    <w:rsid w:val="00A54C26"/>
    <w:rsid w:val="00A54DB4"/>
    <w:rsid w:val="00A54FDD"/>
    <w:rsid w:val="00A550E2"/>
    <w:rsid w:val="00A5540F"/>
    <w:rsid w:val="00A554AA"/>
    <w:rsid w:val="00A55610"/>
    <w:rsid w:val="00A55676"/>
    <w:rsid w:val="00A55AC9"/>
    <w:rsid w:val="00A55CEB"/>
    <w:rsid w:val="00A55E1B"/>
    <w:rsid w:val="00A560F2"/>
    <w:rsid w:val="00A5637B"/>
    <w:rsid w:val="00A5644D"/>
    <w:rsid w:val="00A564F4"/>
    <w:rsid w:val="00A56848"/>
    <w:rsid w:val="00A56950"/>
    <w:rsid w:val="00A56AFE"/>
    <w:rsid w:val="00A57375"/>
    <w:rsid w:val="00A57A36"/>
    <w:rsid w:val="00A57D9E"/>
    <w:rsid w:val="00A6083E"/>
    <w:rsid w:val="00A60B03"/>
    <w:rsid w:val="00A60D32"/>
    <w:rsid w:val="00A610BE"/>
    <w:rsid w:val="00A614A7"/>
    <w:rsid w:val="00A617B5"/>
    <w:rsid w:val="00A61C27"/>
    <w:rsid w:val="00A61E29"/>
    <w:rsid w:val="00A62087"/>
    <w:rsid w:val="00A620A3"/>
    <w:rsid w:val="00A620CC"/>
    <w:rsid w:val="00A62BD3"/>
    <w:rsid w:val="00A62D52"/>
    <w:rsid w:val="00A631D9"/>
    <w:rsid w:val="00A63584"/>
    <w:rsid w:val="00A6375E"/>
    <w:rsid w:val="00A637FC"/>
    <w:rsid w:val="00A65299"/>
    <w:rsid w:val="00A655CA"/>
    <w:rsid w:val="00A65A90"/>
    <w:rsid w:val="00A6601D"/>
    <w:rsid w:val="00A66529"/>
    <w:rsid w:val="00A6684C"/>
    <w:rsid w:val="00A670AE"/>
    <w:rsid w:val="00A67117"/>
    <w:rsid w:val="00A673A0"/>
    <w:rsid w:val="00A676A4"/>
    <w:rsid w:val="00A67EF4"/>
    <w:rsid w:val="00A70BD0"/>
    <w:rsid w:val="00A710E3"/>
    <w:rsid w:val="00A71253"/>
    <w:rsid w:val="00A71CD0"/>
    <w:rsid w:val="00A72086"/>
    <w:rsid w:val="00A7217D"/>
    <w:rsid w:val="00A72683"/>
    <w:rsid w:val="00A72B53"/>
    <w:rsid w:val="00A72C16"/>
    <w:rsid w:val="00A72CCD"/>
    <w:rsid w:val="00A72FF5"/>
    <w:rsid w:val="00A731DC"/>
    <w:rsid w:val="00A73C3D"/>
    <w:rsid w:val="00A73D3F"/>
    <w:rsid w:val="00A73E9A"/>
    <w:rsid w:val="00A7436D"/>
    <w:rsid w:val="00A74444"/>
    <w:rsid w:val="00A745C1"/>
    <w:rsid w:val="00A74822"/>
    <w:rsid w:val="00A7509B"/>
    <w:rsid w:val="00A756EE"/>
    <w:rsid w:val="00A75B27"/>
    <w:rsid w:val="00A763E0"/>
    <w:rsid w:val="00A76447"/>
    <w:rsid w:val="00A7665D"/>
    <w:rsid w:val="00A76E14"/>
    <w:rsid w:val="00A77363"/>
    <w:rsid w:val="00A7737A"/>
    <w:rsid w:val="00A77804"/>
    <w:rsid w:val="00A77A63"/>
    <w:rsid w:val="00A77CEF"/>
    <w:rsid w:val="00A8095B"/>
    <w:rsid w:val="00A80FCA"/>
    <w:rsid w:val="00A81640"/>
    <w:rsid w:val="00A81B12"/>
    <w:rsid w:val="00A81B50"/>
    <w:rsid w:val="00A828B8"/>
    <w:rsid w:val="00A82E9E"/>
    <w:rsid w:val="00A83B3A"/>
    <w:rsid w:val="00A83FA0"/>
    <w:rsid w:val="00A843AE"/>
    <w:rsid w:val="00A84DDE"/>
    <w:rsid w:val="00A84FC0"/>
    <w:rsid w:val="00A8558A"/>
    <w:rsid w:val="00A8581E"/>
    <w:rsid w:val="00A8595B"/>
    <w:rsid w:val="00A85ADE"/>
    <w:rsid w:val="00A85CD2"/>
    <w:rsid w:val="00A8620D"/>
    <w:rsid w:val="00A875C3"/>
    <w:rsid w:val="00A9049F"/>
    <w:rsid w:val="00A90CEB"/>
    <w:rsid w:val="00A9176F"/>
    <w:rsid w:val="00A917AD"/>
    <w:rsid w:val="00A92140"/>
    <w:rsid w:val="00A924FB"/>
    <w:rsid w:val="00A92669"/>
    <w:rsid w:val="00A92FA4"/>
    <w:rsid w:val="00A93E86"/>
    <w:rsid w:val="00A93F97"/>
    <w:rsid w:val="00A94213"/>
    <w:rsid w:val="00A945CD"/>
    <w:rsid w:val="00A94D98"/>
    <w:rsid w:val="00A954E8"/>
    <w:rsid w:val="00A95E6C"/>
    <w:rsid w:val="00A961C5"/>
    <w:rsid w:val="00A963B7"/>
    <w:rsid w:val="00A96616"/>
    <w:rsid w:val="00A96F6C"/>
    <w:rsid w:val="00A96F6E"/>
    <w:rsid w:val="00A970C5"/>
    <w:rsid w:val="00A97A00"/>
    <w:rsid w:val="00A97A9A"/>
    <w:rsid w:val="00AA0634"/>
    <w:rsid w:val="00AA0B78"/>
    <w:rsid w:val="00AA0C58"/>
    <w:rsid w:val="00AA0ED8"/>
    <w:rsid w:val="00AA1044"/>
    <w:rsid w:val="00AA1361"/>
    <w:rsid w:val="00AA1E75"/>
    <w:rsid w:val="00AA1FFB"/>
    <w:rsid w:val="00AA2116"/>
    <w:rsid w:val="00AA241E"/>
    <w:rsid w:val="00AA256F"/>
    <w:rsid w:val="00AA3183"/>
    <w:rsid w:val="00AA3675"/>
    <w:rsid w:val="00AA377C"/>
    <w:rsid w:val="00AA401D"/>
    <w:rsid w:val="00AA4C77"/>
    <w:rsid w:val="00AA4D38"/>
    <w:rsid w:val="00AA4DE9"/>
    <w:rsid w:val="00AA5226"/>
    <w:rsid w:val="00AA5382"/>
    <w:rsid w:val="00AA586A"/>
    <w:rsid w:val="00AA5B41"/>
    <w:rsid w:val="00AA5E33"/>
    <w:rsid w:val="00AA62CB"/>
    <w:rsid w:val="00AA62CF"/>
    <w:rsid w:val="00AA66C6"/>
    <w:rsid w:val="00AA6790"/>
    <w:rsid w:val="00AA6C6A"/>
    <w:rsid w:val="00AA7165"/>
    <w:rsid w:val="00AA75FF"/>
    <w:rsid w:val="00AA77AD"/>
    <w:rsid w:val="00AA780A"/>
    <w:rsid w:val="00AA79FD"/>
    <w:rsid w:val="00AB0EF3"/>
    <w:rsid w:val="00AB1465"/>
    <w:rsid w:val="00AB18EC"/>
    <w:rsid w:val="00AB1F1C"/>
    <w:rsid w:val="00AB1FF5"/>
    <w:rsid w:val="00AB2301"/>
    <w:rsid w:val="00AB23C9"/>
    <w:rsid w:val="00AB2589"/>
    <w:rsid w:val="00AB29A5"/>
    <w:rsid w:val="00AB2DE9"/>
    <w:rsid w:val="00AB2F38"/>
    <w:rsid w:val="00AB3B05"/>
    <w:rsid w:val="00AB3C74"/>
    <w:rsid w:val="00AB4013"/>
    <w:rsid w:val="00AB4C0B"/>
    <w:rsid w:val="00AB532B"/>
    <w:rsid w:val="00AB59E7"/>
    <w:rsid w:val="00AB5A59"/>
    <w:rsid w:val="00AB5D06"/>
    <w:rsid w:val="00AB6404"/>
    <w:rsid w:val="00AB662A"/>
    <w:rsid w:val="00AB66F3"/>
    <w:rsid w:val="00AB6C1F"/>
    <w:rsid w:val="00AB709A"/>
    <w:rsid w:val="00AB70E8"/>
    <w:rsid w:val="00AB73D6"/>
    <w:rsid w:val="00AB75C3"/>
    <w:rsid w:val="00AB7705"/>
    <w:rsid w:val="00AB7EAC"/>
    <w:rsid w:val="00AC001E"/>
    <w:rsid w:val="00AC075B"/>
    <w:rsid w:val="00AC08AB"/>
    <w:rsid w:val="00AC0BAF"/>
    <w:rsid w:val="00AC1063"/>
    <w:rsid w:val="00AC12AA"/>
    <w:rsid w:val="00AC1453"/>
    <w:rsid w:val="00AC14A9"/>
    <w:rsid w:val="00AC1559"/>
    <w:rsid w:val="00AC1D53"/>
    <w:rsid w:val="00AC2248"/>
    <w:rsid w:val="00AC2283"/>
    <w:rsid w:val="00AC2B37"/>
    <w:rsid w:val="00AC333F"/>
    <w:rsid w:val="00AC3BB5"/>
    <w:rsid w:val="00AC3D16"/>
    <w:rsid w:val="00AC4E8C"/>
    <w:rsid w:val="00AC5215"/>
    <w:rsid w:val="00AC54A0"/>
    <w:rsid w:val="00AC61F8"/>
    <w:rsid w:val="00AC65A4"/>
    <w:rsid w:val="00AC677B"/>
    <w:rsid w:val="00AC71CE"/>
    <w:rsid w:val="00AC71FC"/>
    <w:rsid w:val="00AC7AAB"/>
    <w:rsid w:val="00AD11DB"/>
    <w:rsid w:val="00AD1769"/>
    <w:rsid w:val="00AD1825"/>
    <w:rsid w:val="00AD19AD"/>
    <w:rsid w:val="00AD1B73"/>
    <w:rsid w:val="00AD20D2"/>
    <w:rsid w:val="00AD2579"/>
    <w:rsid w:val="00AD28DA"/>
    <w:rsid w:val="00AD29F3"/>
    <w:rsid w:val="00AD2CF5"/>
    <w:rsid w:val="00AD3553"/>
    <w:rsid w:val="00AD35FF"/>
    <w:rsid w:val="00AD36D8"/>
    <w:rsid w:val="00AD37CD"/>
    <w:rsid w:val="00AD3EA2"/>
    <w:rsid w:val="00AD44F4"/>
    <w:rsid w:val="00AD4629"/>
    <w:rsid w:val="00AD4881"/>
    <w:rsid w:val="00AD48A0"/>
    <w:rsid w:val="00AD56EA"/>
    <w:rsid w:val="00AD5743"/>
    <w:rsid w:val="00AD5841"/>
    <w:rsid w:val="00AD59F4"/>
    <w:rsid w:val="00AD6224"/>
    <w:rsid w:val="00AD62FD"/>
    <w:rsid w:val="00AD6967"/>
    <w:rsid w:val="00AD6AB6"/>
    <w:rsid w:val="00AD6B6C"/>
    <w:rsid w:val="00AD6DBF"/>
    <w:rsid w:val="00AD6F6C"/>
    <w:rsid w:val="00AD7197"/>
    <w:rsid w:val="00AD7272"/>
    <w:rsid w:val="00AD7657"/>
    <w:rsid w:val="00AD7E54"/>
    <w:rsid w:val="00AE007F"/>
    <w:rsid w:val="00AE05F1"/>
    <w:rsid w:val="00AE0C1D"/>
    <w:rsid w:val="00AE0F97"/>
    <w:rsid w:val="00AE129D"/>
    <w:rsid w:val="00AE141E"/>
    <w:rsid w:val="00AE197E"/>
    <w:rsid w:val="00AE2B36"/>
    <w:rsid w:val="00AE2CB0"/>
    <w:rsid w:val="00AE32DE"/>
    <w:rsid w:val="00AE3835"/>
    <w:rsid w:val="00AE3B29"/>
    <w:rsid w:val="00AE3B2E"/>
    <w:rsid w:val="00AE3BCB"/>
    <w:rsid w:val="00AE42F5"/>
    <w:rsid w:val="00AE4B04"/>
    <w:rsid w:val="00AE4EF6"/>
    <w:rsid w:val="00AE4F15"/>
    <w:rsid w:val="00AE533C"/>
    <w:rsid w:val="00AE5582"/>
    <w:rsid w:val="00AE5873"/>
    <w:rsid w:val="00AE5ACA"/>
    <w:rsid w:val="00AE6359"/>
    <w:rsid w:val="00AE7D59"/>
    <w:rsid w:val="00AE7E11"/>
    <w:rsid w:val="00AF0551"/>
    <w:rsid w:val="00AF099B"/>
    <w:rsid w:val="00AF0B2D"/>
    <w:rsid w:val="00AF1BC8"/>
    <w:rsid w:val="00AF1F6A"/>
    <w:rsid w:val="00AF2D37"/>
    <w:rsid w:val="00AF322F"/>
    <w:rsid w:val="00AF382D"/>
    <w:rsid w:val="00AF422C"/>
    <w:rsid w:val="00AF491C"/>
    <w:rsid w:val="00AF4D9C"/>
    <w:rsid w:val="00AF4DEC"/>
    <w:rsid w:val="00AF4FBB"/>
    <w:rsid w:val="00AF526A"/>
    <w:rsid w:val="00AF541D"/>
    <w:rsid w:val="00AF5537"/>
    <w:rsid w:val="00AF5886"/>
    <w:rsid w:val="00AF5A8C"/>
    <w:rsid w:val="00AF605B"/>
    <w:rsid w:val="00AF7288"/>
    <w:rsid w:val="00AF7404"/>
    <w:rsid w:val="00AF782F"/>
    <w:rsid w:val="00B003F9"/>
    <w:rsid w:val="00B0084D"/>
    <w:rsid w:val="00B008E4"/>
    <w:rsid w:val="00B00BCD"/>
    <w:rsid w:val="00B011DB"/>
    <w:rsid w:val="00B0133A"/>
    <w:rsid w:val="00B01F75"/>
    <w:rsid w:val="00B021FC"/>
    <w:rsid w:val="00B027E1"/>
    <w:rsid w:val="00B02BB9"/>
    <w:rsid w:val="00B02D4F"/>
    <w:rsid w:val="00B03292"/>
    <w:rsid w:val="00B032E2"/>
    <w:rsid w:val="00B039CD"/>
    <w:rsid w:val="00B04333"/>
    <w:rsid w:val="00B044CD"/>
    <w:rsid w:val="00B04CFF"/>
    <w:rsid w:val="00B04F48"/>
    <w:rsid w:val="00B051EA"/>
    <w:rsid w:val="00B05262"/>
    <w:rsid w:val="00B05608"/>
    <w:rsid w:val="00B0579B"/>
    <w:rsid w:val="00B05C81"/>
    <w:rsid w:val="00B062E0"/>
    <w:rsid w:val="00B064B4"/>
    <w:rsid w:val="00B067D3"/>
    <w:rsid w:val="00B06876"/>
    <w:rsid w:val="00B069BB"/>
    <w:rsid w:val="00B06B08"/>
    <w:rsid w:val="00B06CD7"/>
    <w:rsid w:val="00B06D64"/>
    <w:rsid w:val="00B06EF9"/>
    <w:rsid w:val="00B06F61"/>
    <w:rsid w:val="00B07366"/>
    <w:rsid w:val="00B07452"/>
    <w:rsid w:val="00B075B4"/>
    <w:rsid w:val="00B07C86"/>
    <w:rsid w:val="00B07F6D"/>
    <w:rsid w:val="00B07FCC"/>
    <w:rsid w:val="00B1013E"/>
    <w:rsid w:val="00B10A88"/>
    <w:rsid w:val="00B10AF1"/>
    <w:rsid w:val="00B112EC"/>
    <w:rsid w:val="00B1151E"/>
    <w:rsid w:val="00B1154A"/>
    <w:rsid w:val="00B1178C"/>
    <w:rsid w:val="00B11BC1"/>
    <w:rsid w:val="00B11EEA"/>
    <w:rsid w:val="00B121AB"/>
    <w:rsid w:val="00B12205"/>
    <w:rsid w:val="00B12897"/>
    <w:rsid w:val="00B12C9C"/>
    <w:rsid w:val="00B13402"/>
    <w:rsid w:val="00B13D4D"/>
    <w:rsid w:val="00B13E1B"/>
    <w:rsid w:val="00B1444C"/>
    <w:rsid w:val="00B151C3"/>
    <w:rsid w:val="00B15591"/>
    <w:rsid w:val="00B157B8"/>
    <w:rsid w:val="00B15AEB"/>
    <w:rsid w:val="00B15BE7"/>
    <w:rsid w:val="00B15FF0"/>
    <w:rsid w:val="00B16210"/>
    <w:rsid w:val="00B16A00"/>
    <w:rsid w:val="00B16DEE"/>
    <w:rsid w:val="00B172A7"/>
    <w:rsid w:val="00B17402"/>
    <w:rsid w:val="00B174E9"/>
    <w:rsid w:val="00B17734"/>
    <w:rsid w:val="00B17AF9"/>
    <w:rsid w:val="00B17EC2"/>
    <w:rsid w:val="00B2057A"/>
    <w:rsid w:val="00B20656"/>
    <w:rsid w:val="00B207A6"/>
    <w:rsid w:val="00B20B32"/>
    <w:rsid w:val="00B20D03"/>
    <w:rsid w:val="00B21013"/>
    <w:rsid w:val="00B21023"/>
    <w:rsid w:val="00B210DD"/>
    <w:rsid w:val="00B21452"/>
    <w:rsid w:val="00B219CA"/>
    <w:rsid w:val="00B21AD5"/>
    <w:rsid w:val="00B22A97"/>
    <w:rsid w:val="00B22AF1"/>
    <w:rsid w:val="00B231CF"/>
    <w:rsid w:val="00B23261"/>
    <w:rsid w:val="00B232E3"/>
    <w:rsid w:val="00B2336D"/>
    <w:rsid w:val="00B238B5"/>
    <w:rsid w:val="00B23953"/>
    <w:rsid w:val="00B23ED2"/>
    <w:rsid w:val="00B24098"/>
    <w:rsid w:val="00B24335"/>
    <w:rsid w:val="00B2451F"/>
    <w:rsid w:val="00B24683"/>
    <w:rsid w:val="00B246E4"/>
    <w:rsid w:val="00B2495E"/>
    <w:rsid w:val="00B2512A"/>
    <w:rsid w:val="00B2527F"/>
    <w:rsid w:val="00B25552"/>
    <w:rsid w:val="00B25A13"/>
    <w:rsid w:val="00B269ED"/>
    <w:rsid w:val="00B26A13"/>
    <w:rsid w:val="00B26BFB"/>
    <w:rsid w:val="00B26F48"/>
    <w:rsid w:val="00B27348"/>
    <w:rsid w:val="00B27378"/>
    <w:rsid w:val="00B27A6C"/>
    <w:rsid w:val="00B27A91"/>
    <w:rsid w:val="00B27B95"/>
    <w:rsid w:val="00B27ED7"/>
    <w:rsid w:val="00B308A4"/>
    <w:rsid w:val="00B308B2"/>
    <w:rsid w:val="00B3106C"/>
    <w:rsid w:val="00B310E1"/>
    <w:rsid w:val="00B31434"/>
    <w:rsid w:val="00B31495"/>
    <w:rsid w:val="00B31734"/>
    <w:rsid w:val="00B319EE"/>
    <w:rsid w:val="00B31D85"/>
    <w:rsid w:val="00B323C7"/>
    <w:rsid w:val="00B32505"/>
    <w:rsid w:val="00B3251A"/>
    <w:rsid w:val="00B32E50"/>
    <w:rsid w:val="00B335A1"/>
    <w:rsid w:val="00B3382D"/>
    <w:rsid w:val="00B339DA"/>
    <w:rsid w:val="00B33C9F"/>
    <w:rsid w:val="00B34287"/>
    <w:rsid w:val="00B3452C"/>
    <w:rsid w:val="00B34BF6"/>
    <w:rsid w:val="00B35255"/>
    <w:rsid w:val="00B352FF"/>
    <w:rsid w:val="00B353C5"/>
    <w:rsid w:val="00B3555A"/>
    <w:rsid w:val="00B3556F"/>
    <w:rsid w:val="00B36509"/>
    <w:rsid w:val="00B370C1"/>
    <w:rsid w:val="00B37DBE"/>
    <w:rsid w:val="00B37F08"/>
    <w:rsid w:val="00B404BE"/>
    <w:rsid w:val="00B40FB8"/>
    <w:rsid w:val="00B416A6"/>
    <w:rsid w:val="00B4188F"/>
    <w:rsid w:val="00B42634"/>
    <w:rsid w:val="00B42F18"/>
    <w:rsid w:val="00B43487"/>
    <w:rsid w:val="00B43632"/>
    <w:rsid w:val="00B4388B"/>
    <w:rsid w:val="00B439B7"/>
    <w:rsid w:val="00B43AAD"/>
    <w:rsid w:val="00B43FAE"/>
    <w:rsid w:val="00B44091"/>
    <w:rsid w:val="00B441C6"/>
    <w:rsid w:val="00B442DA"/>
    <w:rsid w:val="00B44506"/>
    <w:rsid w:val="00B4468B"/>
    <w:rsid w:val="00B44FE8"/>
    <w:rsid w:val="00B45498"/>
    <w:rsid w:val="00B45672"/>
    <w:rsid w:val="00B457BD"/>
    <w:rsid w:val="00B45965"/>
    <w:rsid w:val="00B45BAD"/>
    <w:rsid w:val="00B45FE5"/>
    <w:rsid w:val="00B46A8F"/>
    <w:rsid w:val="00B46AC8"/>
    <w:rsid w:val="00B47390"/>
    <w:rsid w:val="00B47646"/>
    <w:rsid w:val="00B4797B"/>
    <w:rsid w:val="00B47C78"/>
    <w:rsid w:val="00B47E0E"/>
    <w:rsid w:val="00B501F0"/>
    <w:rsid w:val="00B5046C"/>
    <w:rsid w:val="00B50678"/>
    <w:rsid w:val="00B50DC3"/>
    <w:rsid w:val="00B515D9"/>
    <w:rsid w:val="00B51711"/>
    <w:rsid w:val="00B5192B"/>
    <w:rsid w:val="00B5216C"/>
    <w:rsid w:val="00B5279E"/>
    <w:rsid w:val="00B52FE2"/>
    <w:rsid w:val="00B530BA"/>
    <w:rsid w:val="00B535BF"/>
    <w:rsid w:val="00B53CF2"/>
    <w:rsid w:val="00B53DE6"/>
    <w:rsid w:val="00B53F3B"/>
    <w:rsid w:val="00B54157"/>
    <w:rsid w:val="00B54168"/>
    <w:rsid w:val="00B541DB"/>
    <w:rsid w:val="00B54FAE"/>
    <w:rsid w:val="00B5541A"/>
    <w:rsid w:val="00B557AB"/>
    <w:rsid w:val="00B5595B"/>
    <w:rsid w:val="00B56361"/>
    <w:rsid w:val="00B5678E"/>
    <w:rsid w:val="00B567C0"/>
    <w:rsid w:val="00B56983"/>
    <w:rsid w:val="00B56A70"/>
    <w:rsid w:val="00B56B2F"/>
    <w:rsid w:val="00B56B3A"/>
    <w:rsid w:val="00B56F9A"/>
    <w:rsid w:val="00B571A9"/>
    <w:rsid w:val="00B573A0"/>
    <w:rsid w:val="00B57650"/>
    <w:rsid w:val="00B57C5D"/>
    <w:rsid w:val="00B57EDB"/>
    <w:rsid w:val="00B57EF8"/>
    <w:rsid w:val="00B603E6"/>
    <w:rsid w:val="00B60C9C"/>
    <w:rsid w:val="00B6187B"/>
    <w:rsid w:val="00B61D50"/>
    <w:rsid w:val="00B62610"/>
    <w:rsid w:val="00B62D9D"/>
    <w:rsid w:val="00B62FB5"/>
    <w:rsid w:val="00B63182"/>
    <w:rsid w:val="00B63498"/>
    <w:rsid w:val="00B639D4"/>
    <w:rsid w:val="00B63E12"/>
    <w:rsid w:val="00B643C7"/>
    <w:rsid w:val="00B645EB"/>
    <w:rsid w:val="00B6624B"/>
    <w:rsid w:val="00B668FA"/>
    <w:rsid w:val="00B67116"/>
    <w:rsid w:val="00B67398"/>
    <w:rsid w:val="00B676F4"/>
    <w:rsid w:val="00B678EA"/>
    <w:rsid w:val="00B67998"/>
    <w:rsid w:val="00B67D26"/>
    <w:rsid w:val="00B70413"/>
    <w:rsid w:val="00B714F8"/>
    <w:rsid w:val="00B71847"/>
    <w:rsid w:val="00B71B27"/>
    <w:rsid w:val="00B71B69"/>
    <w:rsid w:val="00B722FC"/>
    <w:rsid w:val="00B727C4"/>
    <w:rsid w:val="00B7289B"/>
    <w:rsid w:val="00B72A2F"/>
    <w:rsid w:val="00B735EF"/>
    <w:rsid w:val="00B737C0"/>
    <w:rsid w:val="00B73827"/>
    <w:rsid w:val="00B738FE"/>
    <w:rsid w:val="00B73BA9"/>
    <w:rsid w:val="00B74190"/>
    <w:rsid w:val="00B74463"/>
    <w:rsid w:val="00B74A45"/>
    <w:rsid w:val="00B74DAD"/>
    <w:rsid w:val="00B74FB6"/>
    <w:rsid w:val="00B75113"/>
    <w:rsid w:val="00B75CFB"/>
    <w:rsid w:val="00B75D47"/>
    <w:rsid w:val="00B766AA"/>
    <w:rsid w:val="00B76B37"/>
    <w:rsid w:val="00B76D52"/>
    <w:rsid w:val="00B76E1B"/>
    <w:rsid w:val="00B77592"/>
    <w:rsid w:val="00B77B6D"/>
    <w:rsid w:val="00B77D63"/>
    <w:rsid w:val="00B77DC1"/>
    <w:rsid w:val="00B80161"/>
    <w:rsid w:val="00B802E5"/>
    <w:rsid w:val="00B80718"/>
    <w:rsid w:val="00B813C8"/>
    <w:rsid w:val="00B81856"/>
    <w:rsid w:val="00B818BC"/>
    <w:rsid w:val="00B82AB9"/>
    <w:rsid w:val="00B82CBD"/>
    <w:rsid w:val="00B82F19"/>
    <w:rsid w:val="00B83203"/>
    <w:rsid w:val="00B844A1"/>
    <w:rsid w:val="00B84629"/>
    <w:rsid w:val="00B84D55"/>
    <w:rsid w:val="00B85383"/>
    <w:rsid w:val="00B85650"/>
    <w:rsid w:val="00B859F1"/>
    <w:rsid w:val="00B85AAB"/>
    <w:rsid w:val="00B85D70"/>
    <w:rsid w:val="00B85E13"/>
    <w:rsid w:val="00B86A75"/>
    <w:rsid w:val="00B86F4D"/>
    <w:rsid w:val="00B87570"/>
    <w:rsid w:val="00B87D85"/>
    <w:rsid w:val="00B87FBD"/>
    <w:rsid w:val="00B90FA4"/>
    <w:rsid w:val="00B91043"/>
    <w:rsid w:val="00B911D5"/>
    <w:rsid w:val="00B911FE"/>
    <w:rsid w:val="00B9123B"/>
    <w:rsid w:val="00B91963"/>
    <w:rsid w:val="00B91A45"/>
    <w:rsid w:val="00B91BCC"/>
    <w:rsid w:val="00B9213E"/>
    <w:rsid w:val="00B928B2"/>
    <w:rsid w:val="00B92D91"/>
    <w:rsid w:val="00B9305C"/>
    <w:rsid w:val="00B931E2"/>
    <w:rsid w:val="00B93653"/>
    <w:rsid w:val="00B9418A"/>
    <w:rsid w:val="00B9418D"/>
    <w:rsid w:val="00B9420D"/>
    <w:rsid w:val="00B95276"/>
    <w:rsid w:val="00B956D9"/>
    <w:rsid w:val="00B95ACF"/>
    <w:rsid w:val="00B95B93"/>
    <w:rsid w:val="00B95C16"/>
    <w:rsid w:val="00B96029"/>
    <w:rsid w:val="00B96366"/>
    <w:rsid w:val="00B96432"/>
    <w:rsid w:val="00B9682C"/>
    <w:rsid w:val="00B9683E"/>
    <w:rsid w:val="00B96AE3"/>
    <w:rsid w:val="00B97494"/>
    <w:rsid w:val="00B9791E"/>
    <w:rsid w:val="00B97D71"/>
    <w:rsid w:val="00B97ED5"/>
    <w:rsid w:val="00B97F54"/>
    <w:rsid w:val="00BA0430"/>
    <w:rsid w:val="00BA065F"/>
    <w:rsid w:val="00BA0DCB"/>
    <w:rsid w:val="00BA111E"/>
    <w:rsid w:val="00BA1319"/>
    <w:rsid w:val="00BA172A"/>
    <w:rsid w:val="00BA174F"/>
    <w:rsid w:val="00BA1D5B"/>
    <w:rsid w:val="00BA2502"/>
    <w:rsid w:val="00BA2F8F"/>
    <w:rsid w:val="00BA3103"/>
    <w:rsid w:val="00BA3546"/>
    <w:rsid w:val="00BA354C"/>
    <w:rsid w:val="00BA41D6"/>
    <w:rsid w:val="00BA451B"/>
    <w:rsid w:val="00BA4CA1"/>
    <w:rsid w:val="00BA4DDE"/>
    <w:rsid w:val="00BA5B99"/>
    <w:rsid w:val="00BA5F59"/>
    <w:rsid w:val="00BA5FB1"/>
    <w:rsid w:val="00BA6102"/>
    <w:rsid w:val="00BA6399"/>
    <w:rsid w:val="00BA64CD"/>
    <w:rsid w:val="00BA6792"/>
    <w:rsid w:val="00BA679C"/>
    <w:rsid w:val="00BA6A33"/>
    <w:rsid w:val="00BA6E29"/>
    <w:rsid w:val="00BA700C"/>
    <w:rsid w:val="00BA72C8"/>
    <w:rsid w:val="00BA7B33"/>
    <w:rsid w:val="00BB050A"/>
    <w:rsid w:val="00BB09B9"/>
    <w:rsid w:val="00BB0A2B"/>
    <w:rsid w:val="00BB113E"/>
    <w:rsid w:val="00BB122C"/>
    <w:rsid w:val="00BB1526"/>
    <w:rsid w:val="00BB16A4"/>
    <w:rsid w:val="00BB202E"/>
    <w:rsid w:val="00BB2AFE"/>
    <w:rsid w:val="00BB2D2D"/>
    <w:rsid w:val="00BB32EA"/>
    <w:rsid w:val="00BB36D8"/>
    <w:rsid w:val="00BB3C43"/>
    <w:rsid w:val="00BB42A9"/>
    <w:rsid w:val="00BB489F"/>
    <w:rsid w:val="00BB49E3"/>
    <w:rsid w:val="00BB56A2"/>
    <w:rsid w:val="00BB5A51"/>
    <w:rsid w:val="00BB5A6F"/>
    <w:rsid w:val="00BB5E3B"/>
    <w:rsid w:val="00BB5FCE"/>
    <w:rsid w:val="00BB69A6"/>
    <w:rsid w:val="00BB6AB6"/>
    <w:rsid w:val="00BB6B54"/>
    <w:rsid w:val="00BB6D5B"/>
    <w:rsid w:val="00BB71F7"/>
    <w:rsid w:val="00BC01C0"/>
    <w:rsid w:val="00BC05AA"/>
    <w:rsid w:val="00BC0646"/>
    <w:rsid w:val="00BC08B2"/>
    <w:rsid w:val="00BC0A4D"/>
    <w:rsid w:val="00BC13A0"/>
    <w:rsid w:val="00BC1B51"/>
    <w:rsid w:val="00BC1B7B"/>
    <w:rsid w:val="00BC1CAF"/>
    <w:rsid w:val="00BC2461"/>
    <w:rsid w:val="00BC2477"/>
    <w:rsid w:val="00BC2573"/>
    <w:rsid w:val="00BC2821"/>
    <w:rsid w:val="00BC2A54"/>
    <w:rsid w:val="00BC2AD5"/>
    <w:rsid w:val="00BC35A5"/>
    <w:rsid w:val="00BC3680"/>
    <w:rsid w:val="00BC4068"/>
    <w:rsid w:val="00BC4292"/>
    <w:rsid w:val="00BC4354"/>
    <w:rsid w:val="00BC43BA"/>
    <w:rsid w:val="00BC443E"/>
    <w:rsid w:val="00BC44A3"/>
    <w:rsid w:val="00BC450B"/>
    <w:rsid w:val="00BC4A8C"/>
    <w:rsid w:val="00BC4AA2"/>
    <w:rsid w:val="00BC4D2B"/>
    <w:rsid w:val="00BC4D77"/>
    <w:rsid w:val="00BC4D84"/>
    <w:rsid w:val="00BC5641"/>
    <w:rsid w:val="00BC5A1F"/>
    <w:rsid w:val="00BC62E2"/>
    <w:rsid w:val="00BC6325"/>
    <w:rsid w:val="00BC6614"/>
    <w:rsid w:val="00BC68D3"/>
    <w:rsid w:val="00BC72AC"/>
    <w:rsid w:val="00BC74C8"/>
    <w:rsid w:val="00BD0432"/>
    <w:rsid w:val="00BD0515"/>
    <w:rsid w:val="00BD05A7"/>
    <w:rsid w:val="00BD0970"/>
    <w:rsid w:val="00BD0DF9"/>
    <w:rsid w:val="00BD0EE7"/>
    <w:rsid w:val="00BD1631"/>
    <w:rsid w:val="00BD1A8E"/>
    <w:rsid w:val="00BD1E00"/>
    <w:rsid w:val="00BD200C"/>
    <w:rsid w:val="00BD2245"/>
    <w:rsid w:val="00BD256A"/>
    <w:rsid w:val="00BD2604"/>
    <w:rsid w:val="00BD2658"/>
    <w:rsid w:val="00BD26E8"/>
    <w:rsid w:val="00BD2A49"/>
    <w:rsid w:val="00BD33FC"/>
    <w:rsid w:val="00BD3878"/>
    <w:rsid w:val="00BD5843"/>
    <w:rsid w:val="00BD589D"/>
    <w:rsid w:val="00BD5B94"/>
    <w:rsid w:val="00BD6507"/>
    <w:rsid w:val="00BD652C"/>
    <w:rsid w:val="00BD6813"/>
    <w:rsid w:val="00BD68F8"/>
    <w:rsid w:val="00BD6CAC"/>
    <w:rsid w:val="00BD6F20"/>
    <w:rsid w:val="00BD7015"/>
    <w:rsid w:val="00BD723A"/>
    <w:rsid w:val="00BD7780"/>
    <w:rsid w:val="00BD7D79"/>
    <w:rsid w:val="00BD7DD0"/>
    <w:rsid w:val="00BE0174"/>
    <w:rsid w:val="00BE01EE"/>
    <w:rsid w:val="00BE034D"/>
    <w:rsid w:val="00BE0655"/>
    <w:rsid w:val="00BE079D"/>
    <w:rsid w:val="00BE0DE2"/>
    <w:rsid w:val="00BE0FA9"/>
    <w:rsid w:val="00BE11E0"/>
    <w:rsid w:val="00BE1364"/>
    <w:rsid w:val="00BE151C"/>
    <w:rsid w:val="00BE1C28"/>
    <w:rsid w:val="00BE2006"/>
    <w:rsid w:val="00BE266D"/>
    <w:rsid w:val="00BE2A13"/>
    <w:rsid w:val="00BE3129"/>
    <w:rsid w:val="00BE3613"/>
    <w:rsid w:val="00BE377A"/>
    <w:rsid w:val="00BE3B11"/>
    <w:rsid w:val="00BE3DC6"/>
    <w:rsid w:val="00BE484A"/>
    <w:rsid w:val="00BE4C2E"/>
    <w:rsid w:val="00BE54B2"/>
    <w:rsid w:val="00BE55B6"/>
    <w:rsid w:val="00BE57C3"/>
    <w:rsid w:val="00BE5808"/>
    <w:rsid w:val="00BE5DB2"/>
    <w:rsid w:val="00BE5F04"/>
    <w:rsid w:val="00BE6051"/>
    <w:rsid w:val="00BE696A"/>
    <w:rsid w:val="00BE6D42"/>
    <w:rsid w:val="00BE7067"/>
    <w:rsid w:val="00BE712C"/>
    <w:rsid w:val="00BE7244"/>
    <w:rsid w:val="00BE7304"/>
    <w:rsid w:val="00BE794B"/>
    <w:rsid w:val="00BE7BDF"/>
    <w:rsid w:val="00BE7CD9"/>
    <w:rsid w:val="00BE7F18"/>
    <w:rsid w:val="00BF0A2B"/>
    <w:rsid w:val="00BF0A38"/>
    <w:rsid w:val="00BF0AD1"/>
    <w:rsid w:val="00BF0B1D"/>
    <w:rsid w:val="00BF0BB9"/>
    <w:rsid w:val="00BF17D9"/>
    <w:rsid w:val="00BF1CD1"/>
    <w:rsid w:val="00BF1EC9"/>
    <w:rsid w:val="00BF21AB"/>
    <w:rsid w:val="00BF2727"/>
    <w:rsid w:val="00BF2795"/>
    <w:rsid w:val="00BF2E79"/>
    <w:rsid w:val="00BF3450"/>
    <w:rsid w:val="00BF3508"/>
    <w:rsid w:val="00BF3CC2"/>
    <w:rsid w:val="00BF3F65"/>
    <w:rsid w:val="00BF3FA2"/>
    <w:rsid w:val="00BF404E"/>
    <w:rsid w:val="00BF43B5"/>
    <w:rsid w:val="00BF4DBC"/>
    <w:rsid w:val="00BF4FE1"/>
    <w:rsid w:val="00BF5031"/>
    <w:rsid w:val="00BF51D0"/>
    <w:rsid w:val="00BF5373"/>
    <w:rsid w:val="00BF65A8"/>
    <w:rsid w:val="00BF69F5"/>
    <w:rsid w:val="00BF6A79"/>
    <w:rsid w:val="00BF6E24"/>
    <w:rsid w:val="00BF71F4"/>
    <w:rsid w:val="00BF7288"/>
    <w:rsid w:val="00BF74B5"/>
    <w:rsid w:val="00BF7932"/>
    <w:rsid w:val="00BF79B4"/>
    <w:rsid w:val="00BF7BAA"/>
    <w:rsid w:val="00BF7F82"/>
    <w:rsid w:val="00C00207"/>
    <w:rsid w:val="00C005FB"/>
    <w:rsid w:val="00C0070B"/>
    <w:rsid w:val="00C00E31"/>
    <w:rsid w:val="00C00FDC"/>
    <w:rsid w:val="00C0106E"/>
    <w:rsid w:val="00C0128F"/>
    <w:rsid w:val="00C0167D"/>
    <w:rsid w:val="00C0179E"/>
    <w:rsid w:val="00C01A89"/>
    <w:rsid w:val="00C01E07"/>
    <w:rsid w:val="00C01FD4"/>
    <w:rsid w:val="00C02025"/>
    <w:rsid w:val="00C02AD1"/>
    <w:rsid w:val="00C03729"/>
    <w:rsid w:val="00C03AC2"/>
    <w:rsid w:val="00C04173"/>
    <w:rsid w:val="00C04211"/>
    <w:rsid w:val="00C050BA"/>
    <w:rsid w:val="00C0550F"/>
    <w:rsid w:val="00C05746"/>
    <w:rsid w:val="00C05788"/>
    <w:rsid w:val="00C05E05"/>
    <w:rsid w:val="00C06113"/>
    <w:rsid w:val="00C06A25"/>
    <w:rsid w:val="00C06B51"/>
    <w:rsid w:val="00C07659"/>
    <w:rsid w:val="00C07723"/>
    <w:rsid w:val="00C07AA6"/>
    <w:rsid w:val="00C103C3"/>
    <w:rsid w:val="00C1045A"/>
    <w:rsid w:val="00C108AF"/>
    <w:rsid w:val="00C10F31"/>
    <w:rsid w:val="00C11253"/>
    <w:rsid w:val="00C117F3"/>
    <w:rsid w:val="00C118F0"/>
    <w:rsid w:val="00C11E72"/>
    <w:rsid w:val="00C12077"/>
    <w:rsid w:val="00C122D1"/>
    <w:rsid w:val="00C1284D"/>
    <w:rsid w:val="00C12F8E"/>
    <w:rsid w:val="00C13C8D"/>
    <w:rsid w:val="00C1441F"/>
    <w:rsid w:val="00C14491"/>
    <w:rsid w:val="00C14715"/>
    <w:rsid w:val="00C14A29"/>
    <w:rsid w:val="00C14D79"/>
    <w:rsid w:val="00C14E03"/>
    <w:rsid w:val="00C14EE2"/>
    <w:rsid w:val="00C1588F"/>
    <w:rsid w:val="00C15B43"/>
    <w:rsid w:val="00C1632C"/>
    <w:rsid w:val="00C172C3"/>
    <w:rsid w:val="00C17A64"/>
    <w:rsid w:val="00C20121"/>
    <w:rsid w:val="00C2153E"/>
    <w:rsid w:val="00C21B0B"/>
    <w:rsid w:val="00C21B5B"/>
    <w:rsid w:val="00C21C67"/>
    <w:rsid w:val="00C21EC4"/>
    <w:rsid w:val="00C21ECB"/>
    <w:rsid w:val="00C21F6A"/>
    <w:rsid w:val="00C21FD8"/>
    <w:rsid w:val="00C22F86"/>
    <w:rsid w:val="00C23089"/>
    <w:rsid w:val="00C23157"/>
    <w:rsid w:val="00C23175"/>
    <w:rsid w:val="00C232F8"/>
    <w:rsid w:val="00C23345"/>
    <w:rsid w:val="00C23C71"/>
    <w:rsid w:val="00C23D56"/>
    <w:rsid w:val="00C24057"/>
    <w:rsid w:val="00C24650"/>
    <w:rsid w:val="00C24B3B"/>
    <w:rsid w:val="00C24C52"/>
    <w:rsid w:val="00C24DBA"/>
    <w:rsid w:val="00C251A4"/>
    <w:rsid w:val="00C26695"/>
    <w:rsid w:val="00C2696B"/>
    <w:rsid w:val="00C26DAD"/>
    <w:rsid w:val="00C26DBA"/>
    <w:rsid w:val="00C26E30"/>
    <w:rsid w:val="00C272E7"/>
    <w:rsid w:val="00C2778B"/>
    <w:rsid w:val="00C27E09"/>
    <w:rsid w:val="00C30747"/>
    <w:rsid w:val="00C32AA1"/>
    <w:rsid w:val="00C32F1F"/>
    <w:rsid w:val="00C331B2"/>
    <w:rsid w:val="00C33555"/>
    <w:rsid w:val="00C33F8C"/>
    <w:rsid w:val="00C343CF"/>
    <w:rsid w:val="00C3496B"/>
    <w:rsid w:val="00C349CD"/>
    <w:rsid w:val="00C34A09"/>
    <w:rsid w:val="00C34EE6"/>
    <w:rsid w:val="00C34F1F"/>
    <w:rsid w:val="00C34F79"/>
    <w:rsid w:val="00C351E8"/>
    <w:rsid w:val="00C355E4"/>
    <w:rsid w:val="00C35DD8"/>
    <w:rsid w:val="00C36172"/>
    <w:rsid w:val="00C369E3"/>
    <w:rsid w:val="00C36DEA"/>
    <w:rsid w:val="00C37BF0"/>
    <w:rsid w:val="00C37C26"/>
    <w:rsid w:val="00C37C5E"/>
    <w:rsid w:val="00C37FAD"/>
    <w:rsid w:val="00C401F5"/>
    <w:rsid w:val="00C404B5"/>
    <w:rsid w:val="00C408BD"/>
    <w:rsid w:val="00C40D12"/>
    <w:rsid w:val="00C40D75"/>
    <w:rsid w:val="00C41461"/>
    <w:rsid w:val="00C41DC3"/>
    <w:rsid w:val="00C41E6D"/>
    <w:rsid w:val="00C41F67"/>
    <w:rsid w:val="00C42266"/>
    <w:rsid w:val="00C4248B"/>
    <w:rsid w:val="00C42977"/>
    <w:rsid w:val="00C42E49"/>
    <w:rsid w:val="00C42F4E"/>
    <w:rsid w:val="00C43AAA"/>
    <w:rsid w:val="00C43F26"/>
    <w:rsid w:val="00C44085"/>
    <w:rsid w:val="00C445AD"/>
    <w:rsid w:val="00C453B2"/>
    <w:rsid w:val="00C455EB"/>
    <w:rsid w:val="00C458A4"/>
    <w:rsid w:val="00C45AFF"/>
    <w:rsid w:val="00C46596"/>
    <w:rsid w:val="00C46698"/>
    <w:rsid w:val="00C46AFB"/>
    <w:rsid w:val="00C4726B"/>
    <w:rsid w:val="00C47768"/>
    <w:rsid w:val="00C47C2B"/>
    <w:rsid w:val="00C47D29"/>
    <w:rsid w:val="00C502D6"/>
    <w:rsid w:val="00C50579"/>
    <w:rsid w:val="00C50BB4"/>
    <w:rsid w:val="00C5135E"/>
    <w:rsid w:val="00C5179F"/>
    <w:rsid w:val="00C519B4"/>
    <w:rsid w:val="00C51A9E"/>
    <w:rsid w:val="00C51DC9"/>
    <w:rsid w:val="00C5281C"/>
    <w:rsid w:val="00C52D4C"/>
    <w:rsid w:val="00C539A4"/>
    <w:rsid w:val="00C539C6"/>
    <w:rsid w:val="00C53B47"/>
    <w:rsid w:val="00C54E96"/>
    <w:rsid w:val="00C55274"/>
    <w:rsid w:val="00C552B4"/>
    <w:rsid w:val="00C552E6"/>
    <w:rsid w:val="00C56509"/>
    <w:rsid w:val="00C56E30"/>
    <w:rsid w:val="00C56F7B"/>
    <w:rsid w:val="00C57A50"/>
    <w:rsid w:val="00C6025F"/>
    <w:rsid w:val="00C604C1"/>
    <w:rsid w:val="00C60675"/>
    <w:rsid w:val="00C61DB4"/>
    <w:rsid w:val="00C62022"/>
    <w:rsid w:val="00C622EA"/>
    <w:rsid w:val="00C62375"/>
    <w:rsid w:val="00C62A3A"/>
    <w:rsid w:val="00C62D46"/>
    <w:rsid w:val="00C63215"/>
    <w:rsid w:val="00C63437"/>
    <w:rsid w:val="00C63AD3"/>
    <w:rsid w:val="00C63D30"/>
    <w:rsid w:val="00C6401F"/>
    <w:rsid w:val="00C64279"/>
    <w:rsid w:val="00C647C7"/>
    <w:rsid w:val="00C65266"/>
    <w:rsid w:val="00C654BC"/>
    <w:rsid w:val="00C6644A"/>
    <w:rsid w:val="00C66550"/>
    <w:rsid w:val="00C666FB"/>
    <w:rsid w:val="00C668BD"/>
    <w:rsid w:val="00C67969"/>
    <w:rsid w:val="00C67D5F"/>
    <w:rsid w:val="00C67DCD"/>
    <w:rsid w:val="00C7033A"/>
    <w:rsid w:val="00C70ABE"/>
    <w:rsid w:val="00C70B24"/>
    <w:rsid w:val="00C71067"/>
    <w:rsid w:val="00C712D4"/>
    <w:rsid w:val="00C71BBB"/>
    <w:rsid w:val="00C71EE7"/>
    <w:rsid w:val="00C72BBA"/>
    <w:rsid w:val="00C735DD"/>
    <w:rsid w:val="00C7380D"/>
    <w:rsid w:val="00C74C1D"/>
    <w:rsid w:val="00C74C73"/>
    <w:rsid w:val="00C74F9A"/>
    <w:rsid w:val="00C75077"/>
    <w:rsid w:val="00C751E2"/>
    <w:rsid w:val="00C75520"/>
    <w:rsid w:val="00C75536"/>
    <w:rsid w:val="00C761F7"/>
    <w:rsid w:val="00C76ED1"/>
    <w:rsid w:val="00C7740B"/>
    <w:rsid w:val="00C77509"/>
    <w:rsid w:val="00C7753C"/>
    <w:rsid w:val="00C776DA"/>
    <w:rsid w:val="00C777DA"/>
    <w:rsid w:val="00C7780A"/>
    <w:rsid w:val="00C77D89"/>
    <w:rsid w:val="00C77DA6"/>
    <w:rsid w:val="00C800E4"/>
    <w:rsid w:val="00C801ED"/>
    <w:rsid w:val="00C806F4"/>
    <w:rsid w:val="00C81559"/>
    <w:rsid w:val="00C81919"/>
    <w:rsid w:val="00C81D45"/>
    <w:rsid w:val="00C81DA8"/>
    <w:rsid w:val="00C81E4B"/>
    <w:rsid w:val="00C820A2"/>
    <w:rsid w:val="00C823D4"/>
    <w:rsid w:val="00C82654"/>
    <w:rsid w:val="00C82774"/>
    <w:rsid w:val="00C82C66"/>
    <w:rsid w:val="00C83612"/>
    <w:rsid w:val="00C83F92"/>
    <w:rsid w:val="00C845E9"/>
    <w:rsid w:val="00C848F1"/>
    <w:rsid w:val="00C8497F"/>
    <w:rsid w:val="00C84B0C"/>
    <w:rsid w:val="00C84C30"/>
    <w:rsid w:val="00C84D9F"/>
    <w:rsid w:val="00C85205"/>
    <w:rsid w:val="00C8521F"/>
    <w:rsid w:val="00C85266"/>
    <w:rsid w:val="00C8527C"/>
    <w:rsid w:val="00C854D1"/>
    <w:rsid w:val="00C85E3C"/>
    <w:rsid w:val="00C86000"/>
    <w:rsid w:val="00C86A74"/>
    <w:rsid w:val="00C86D45"/>
    <w:rsid w:val="00C87864"/>
    <w:rsid w:val="00C902DC"/>
    <w:rsid w:val="00C90674"/>
    <w:rsid w:val="00C9139C"/>
    <w:rsid w:val="00C9154E"/>
    <w:rsid w:val="00C9168C"/>
    <w:rsid w:val="00C918DB"/>
    <w:rsid w:val="00C92348"/>
    <w:rsid w:val="00C92671"/>
    <w:rsid w:val="00C92EEF"/>
    <w:rsid w:val="00C93446"/>
    <w:rsid w:val="00C93B22"/>
    <w:rsid w:val="00C93ED6"/>
    <w:rsid w:val="00C94824"/>
    <w:rsid w:val="00C94B67"/>
    <w:rsid w:val="00C94E5D"/>
    <w:rsid w:val="00C952DA"/>
    <w:rsid w:val="00C95441"/>
    <w:rsid w:val="00C95C16"/>
    <w:rsid w:val="00C96583"/>
    <w:rsid w:val="00C96853"/>
    <w:rsid w:val="00C969E0"/>
    <w:rsid w:val="00C96FF1"/>
    <w:rsid w:val="00C972CD"/>
    <w:rsid w:val="00C97831"/>
    <w:rsid w:val="00C979A4"/>
    <w:rsid w:val="00C97B3F"/>
    <w:rsid w:val="00C97E2E"/>
    <w:rsid w:val="00CA0060"/>
    <w:rsid w:val="00CA03AF"/>
    <w:rsid w:val="00CA0B21"/>
    <w:rsid w:val="00CA1416"/>
    <w:rsid w:val="00CA148B"/>
    <w:rsid w:val="00CA2F6C"/>
    <w:rsid w:val="00CA34F4"/>
    <w:rsid w:val="00CA38C5"/>
    <w:rsid w:val="00CA38F4"/>
    <w:rsid w:val="00CA3BF0"/>
    <w:rsid w:val="00CA460A"/>
    <w:rsid w:val="00CA52C9"/>
    <w:rsid w:val="00CA582B"/>
    <w:rsid w:val="00CA6B64"/>
    <w:rsid w:val="00CA6FEC"/>
    <w:rsid w:val="00CA729F"/>
    <w:rsid w:val="00CA72F4"/>
    <w:rsid w:val="00CA7B2E"/>
    <w:rsid w:val="00CA7DC3"/>
    <w:rsid w:val="00CB01D4"/>
    <w:rsid w:val="00CB02EE"/>
    <w:rsid w:val="00CB0362"/>
    <w:rsid w:val="00CB0802"/>
    <w:rsid w:val="00CB0814"/>
    <w:rsid w:val="00CB08DB"/>
    <w:rsid w:val="00CB0A27"/>
    <w:rsid w:val="00CB0B74"/>
    <w:rsid w:val="00CB0D96"/>
    <w:rsid w:val="00CB0FA5"/>
    <w:rsid w:val="00CB13F9"/>
    <w:rsid w:val="00CB1EB6"/>
    <w:rsid w:val="00CB25FC"/>
    <w:rsid w:val="00CB295C"/>
    <w:rsid w:val="00CB29F5"/>
    <w:rsid w:val="00CB32A9"/>
    <w:rsid w:val="00CB43A4"/>
    <w:rsid w:val="00CB45DD"/>
    <w:rsid w:val="00CB4616"/>
    <w:rsid w:val="00CB4947"/>
    <w:rsid w:val="00CB49DA"/>
    <w:rsid w:val="00CB4B75"/>
    <w:rsid w:val="00CB4D49"/>
    <w:rsid w:val="00CB52E1"/>
    <w:rsid w:val="00CB533E"/>
    <w:rsid w:val="00CB54F3"/>
    <w:rsid w:val="00CB54F7"/>
    <w:rsid w:val="00CB55A3"/>
    <w:rsid w:val="00CB5A4B"/>
    <w:rsid w:val="00CB5D51"/>
    <w:rsid w:val="00CB5DCB"/>
    <w:rsid w:val="00CB6A40"/>
    <w:rsid w:val="00CB70E5"/>
    <w:rsid w:val="00CB71D0"/>
    <w:rsid w:val="00CB733E"/>
    <w:rsid w:val="00CB7E14"/>
    <w:rsid w:val="00CC053E"/>
    <w:rsid w:val="00CC0766"/>
    <w:rsid w:val="00CC0BB9"/>
    <w:rsid w:val="00CC0E36"/>
    <w:rsid w:val="00CC0F4E"/>
    <w:rsid w:val="00CC0F5A"/>
    <w:rsid w:val="00CC1906"/>
    <w:rsid w:val="00CC1E9C"/>
    <w:rsid w:val="00CC2D9A"/>
    <w:rsid w:val="00CC3855"/>
    <w:rsid w:val="00CC3932"/>
    <w:rsid w:val="00CC43F1"/>
    <w:rsid w:val="00CC4650"/>
    <w:rsid w:val="00CC4EE3"/>
    <w:rsid w:val="00CC5134"/>
    <w:rsid w:val="00CC68D3"/>
    <w:rsid w:val="00CC6965"/>
    <w:rsid w:val="00CC6C91"/>
    <w:rsid w:val="00CC76EE"/>
    <w:rsid w:val="00CC7913"/>
    <w:rsid w:val="00CC7AB9"/>
    <w:rsid w:val="00CC7C32"/>
    <w:rsid w:val="00CC7DE7"/>
    <w:rsid w:val="00CD01FB"/>
    <w:rsid w:val="00CD0673"/>
    <w:rsid w:val="00CD080B"/>
    <w:rsid w:val="00CD0899"/>
    <w:rsid w:val="00CD0922"/>
    <w:rsid w:val="00CD0998"/>
    <w:rsid w:val="00CD0AA7"/>
    <w:rsid w:val="00CD117A"/>
    <w:rsid w:val="00CD13ED"/>
    <w:rsid w:val="00CD1ABB"/>
    <w:rsid w:val="00CD1CF5"/>
    <w:rsid w:val="00CD1E8D"/>
    <w:rsid w:val="00CD231D"/>
    <w:rsid w:val="00CD254A"/>
    <w:rsid w:val="00CD25B4"/>
    <w:rsid w:val="00CD37E9"/>
    <w:rsid w:val="00CD3D01"/>
    <w:rsid w:val="00CD3D42"/>
    <w:rsid w:val="00CD3F70"/>
    <w:rsid w:val="00CD55EA"/>
    <w:rsid w:val="00CD57B8"/>
    <w:rsid w:val="00CD6336"/>
    <w:rsid w:val="00CD722F"/>
    <w:rsid w:val="00CD7232"/>
    <w:rsid w:val="00CD723C"/>
    <w:rsid w:val="00CD731E"/>
    <w:rsid w:val="00CD7908"/>
    <w:rsid w:val="00CD7A13"/>
    <w:rsid w:val="00CD7DC5"/>
    <w:rsid w:val="00CE02FB"/>
    <w:rsid w:val="00CE03F7"/>
    <w:rsid w:val="00CE0410"/>
    <w:rsid w:val="00CE045D"/>
    <w:rsid w:val="00CE058B"/>
    <w:rsid w:val="00CE0AB4"/>
    <w:rsid w:val="00CE0D5A"/>
    <w:rsid w:val="00CE13F8"/>
    <w:rsid w:val="00CE1B45"/>
    <w:rsid w:val="00CE1C14"/>
    <w:rsid w:val="00CE1D11"/>
    <w:rsid w:val="00CE27FE"/>
    <w:rsid w:val="00CE2E87"/>
    <w:rsid w:val="00CE2F55"/>
    <w:rsid w:val="00CE302C"/>
    <w:rsid w:val="00CE3399"/>
    <w:rsid w:val="00CE34E2"/>
    <w:rsid w:val="00CE3514"/>
    <w:rsid w:val="00CE3518"/>
    <w:rsid w:val="00CE3587"/>
    <w:rsid w:val="00CE373C"/>
    <w:rsid w:val="00CE4097"/>
    <w:rsid w:val="00CE515E"/>
    <w:rsid w:val="00CE5559"/>
    <w:rsid w:val="00CE6478"/>
    <w:rsid w:val="00CE64C2"/>
    <w:rsid w:val="00CE7009"/>
    <w:rsid w:val="00CE7993"/>
    <w:rsid w:val="00CE7E60"/>
    <w:rsid w:val="00CF0229"/>
    <w:rsid w:val="00CF0292"/>
    <w:rsid w:val="00CF02A9"/>
    <w:rsid w:val="00CF0891"/>
    <w:rsid w:val="00CF0892"/>
    <w:rsid w:val="00CF1777"/>
    <w:rsid w:val="00CF17C1"/>
    <w:rsid w:val="00CF1EA2"/>
    <w:rsid w:val="00CF2558"/>
    <w:rsid w:val="00CF267A"/>
    <w:rsid w:val="00CF26C9"/>
    <w:rsid w:val="00CF2C24"/>
    <w:rsid w:val="00CF2F2E"/>
    <w:rsid w:val="00CF2FFA"/>
    <w:rsid w:val="00CF33B7"/>
    <w:rsid w:val="00CF3A3B"/>
    <w:rsid w:val="00CF3E24"/>
    <w:rsid w:val="00CF3EA0"/>
    <w:rsid w:val="00CF4287"/>
    <w:rsid w:val="00CF44D2"/>
    <w:rsid w:val="00CF47FE"/>
    <w:rsid w:val="00CF48F8"/>
    <w:rsid w:val="00CF4975"/>
    <w:rsid w:val="00CF49C6"/>
    <w:rsid w:val="00CF4CA7"/>
    <w:rsid w:val="00CF520B"/>
    <w:rsid w:val="00CF5422"/>
    <w:rsid w:val="00CF5A9A"/>
    <w:rsid w:val="00CF5EF9"/>
    <w:rsid w:val="00CF65FE"/>
    <w:rsid w:val="00CF67CD"/>
    <w:rsid w:val="00CF6DD4"/>
    <w:rsid w:val="00CF6FFC"/>
    <w:rsid w:val="00CF7DD3"/>
    <w:rsid w:val="00CF7FF3"/>
    <w:rsid w:val="00D000D9"/>
    <w:rsid w:val="00D004A2"/>
    <w:rsid w:val="00D007AD"/>
    <w:rsid w:val="00D00A23"/>
    <w:rsid w:val="00D01592"/>
    <w:rsid w:val="00D01982"/>
    <w:rsid w:val="00D01AD3"/>
    <w:rsid w:val="00D01E36"/>
    <w:rsid w:val="00D02019"/>
    <w:rsid w:val="00D03451"/>
    <w:rsid w:val="00D03468"/>
    <w:rsid w:val="00D03A0D"/>
    <w:rsid w:val="00D04371"/>
    <w:rsid w:val="00D04A2A"/>
    <w:rsid w:val="00D04D2C"/>
    <w:rsid w:val="00D054A1"/>
    <w:rsid w:val="00D0590E"/>
    <w:rsid w:val="00D0604F"/>
    <w:rsid w:val="00D066D2"/>
    <w:rsid w:val="00D068DF"/>
    <w:rsid w:val="00D06E36"/>
    <w:rsid w:val="00D071AA"/>
    <w:rsid w:val="00D07557"/>
    <w:rsid w:val="00D07981"/>
    <w:rsid w:val="00D07AE7"/>
    <w:rsid w:val="00D07EA7"/>
    <w:rsid w:val="00D07EE0"/>
    <w:rsid w:val="00D102EB"/>
    <w:rsid w:val="00D104AF"/>
    <w:rsid w:val="00D105F1"/>
    <w:rsid w:val="00D10943"/>
    <w:rsid w:val="00D109C3"/>
    <w:rsid w:val="00D11231"/>
    <w:rsid w:val="00D115DE"/>
    <w:rsid w:val="00D11E9A"/>
    <w:rsid w:val="00D12C26"/>
    <w:rsid w:val="00D12ECC"/>
    <w:rsid w:val="00D12F52"/>
    <w:rsid w:val="00D130CC"/>
    <w:rsid w:val="00D13200"/>
    <w:rsid w:val="00D132D1"/>
    <w:rsid w:val="00D13620"/>
    <w:rsid w:val="00D13693"/>
    <w:rsid w:val="00D13E2D"/>
    <w:rsid w:val="00D13E85"/>
    <w:rsid w:val="00D141AA"/>
    <w:rsid w:val="00D14500"/>
    <w:rsid w:val="00D1466F"/>
    <w:rsid w:val="00D146A1"/>
    <w:rsid w:val="00D147FA"/>
    <w:rsid w:val="00D14D4A"/>
    <w:rsid w:val="00D14DB6"/>
    <w:rsid w:val="00D15007"/>
    <w:rsid w:val="00D153A6"/>
    <w:rsid w:val="00D162A9"/>
    <w:rsid w:val="00D164E9"/>
    <w:rsid w:val="00D16669"/>
    <w:rsid w:val="00D166B2"/>
    <w:rsid w:val="00D166E6"/>
    <w:rsid w:val="00D16E77"/>
    <w:rsid w:val="00D16E79"/>
    <w:rsid w:val="00D17237"/>
    <w:rsid w:val="00D17FBE"/>
    <w:rsid w:val="00D2013A"/>
    <w:rsid w:val="00D2040B"/>
    <w:rsid w:val="00D205D1"/>
    <w:rsid w:val="00D20732"/>
    <w:rsid w:val="00D20BDE"/>
    <w:rsid w:val="00D2114D"/>
    <w:rsid w:val="00D212E4"/>
    <w:rsid w:val="00D2156F"/>
    <w:rsid w:val="00D21977"/>
    <w:rsid w:val="00D219E7"/>
    <w:rsid w:val="00D21B54"/>
    <w:rsid w:val="00D21CA7"/>
    <w:rsid w:val="00D22190"/>
    <w:rsid w:val="00D22373"/>
    <w:rsid w:val="00D2298F"/>
    <w:rsid w:val="00D2320E"/>
    <w:rsid w:val="00D232A6"/>
    <w:rsid w:val="00D2337D"/>
    <w:rsid w:val="00D23B84"/>
    <w:rsid w:val="00D23F8B"/>
    <w:rsid w:val="00D241AB"/>
    <w:rsid w:val="00D243C1"/>
    <w:rsid w:val="00D245B5"/>
    <w:rsid w:val="00D24F4C"/>
    <w:rsid w:val="00D2552D"/>
    <w:rsid w:val="00D25C29"/>
    <w:rsid w:val="00D25D09"/>
    <w:rsid w:val="00D260EB"/>
    <w:rsid w:val="00D260FA"/>
    <w:rsid w:val="00D265C4"/>
    <w:rsid w:val="00D26856"/>
    <w:rsid w:val="00D26D5E"/>
    <w:rsid w:val="00D27362"/>
    <w:rsid w:val="00D27DE7"/>
    <w:rsid w:val="00D30B97"/>
    <w:rsid w:val="00D30BA6"/>
    <w:rsid w:val="00D313F0"/>
    <w:rsid w:val="00D31499"/>
    <w:rsid w:val="00D31926"/>
    <w:rsid w:val="00D31A51"/>
    <w:rsid w:val="00D31B19"/>
    <w:rsid w:val="00D31E69"/>
    <w:rsid w:val="00D32CF3"/>
    <w:rsid w:val="00D33B24"/>
    <w:rsid w:val="00D346F0"/>
    <w:rsid w:val="00D3489F"/>
    <w:rsid w:val="00D34959"/>
    <w:rsid w:val="00D34A53"/>
    <w:rsid w:val="00D3531D"/>
    <w:rsid w:val="00D35D01"/>
    <w:rsid w:val="00D35D3D"/>
    <w:rsid w:val="00D35E65"/>
    <w:rsid w:val="00D35EB2"/>
    <w:rsid w:val="00D3678F"/>
    <w:rsid w:val="00D367CB"/>
    <w:rsid w:val="00D369B6"/>
    <w:rsid w:val="00D36E39"/>
    <w:rsid w:val="00D36EAB"/>
    <w:rsid w:val="00D374E2"/>
    <w:rsid w:val="00D37801"/>
    <w:rsid w:val="00D37A0B"/>
    <w:rsid w:val="00D37A80"/>
    <w:rsid w:val="00D402A6"/>
    <w:rsid w:val="00D40896"/>
    <w:rsid w:val="00D408AD"/>
    <w:rsid w:val="00D40C1F"/>
    <w:rsid w:val="00D41101"/>
    <w:rsid w:val="00D41895"/>
    <w:rsid w:val="00D418B0"/>
    <w:rsid w:val="00D419EC"/>
    <w:rsid w:val="00D41F09"/>
    <w:rsid w:val="00D4225F"/>
    <w:rsid w:val="00D422B6"/>
    <w:rsid w:val="00D4253B"/>
    <w:rsid w:val="00D42F90"/>
    <w:rsid w:val="00D43231"/>
    <w:rsid w:val="00D43303"/>
    <w:rsid w:val="00D43CA4"/>
    <w:rsid w:val="00D44244"/>
    <w:rsid w:val="00D44310"/>
    <w:rsid w:val="00D44733"/>
    <w:rsid w:val="00D4548D"/>
    <w:rsid w:val="00D454A6"/>
    <w:rsid w:val="00D45535"/>
    <w:rsid w:val="00D456C9"/>
    <w:rsid w:val="00D45B05"/>
    <w:rsid w:val="00D45E3D"/>
    <w:rsid w:val="00D461EF"/>
    <w:rsid w:val="00D46242"/>
    <w:rsid w:val="00D463BC"/>
    <w:rsid w:val="00D46DE3"/>
    <w:rsid w:val="00D47E0A"/>
    <w:rsid w:val="00D5046E"/>
    <w:rsid w:val="00D506BD"/>
    <w:rsid w:val="00D508F8"/>
    <w:rsid w:val="00D50D5B"/>
    <w:rsid w:val="00D511F7"/>
    <w:rsid w:val="00D51779"/>
    <w:rsid w:val="00D52461"/>
    <w:rsid w:val="00D52C4B"/>
    <w:rsid w:val="00D530A0"/>
    <w:rsid w:val="00D53B49"/>
    <w:rsid w:val="00D54CBF"/>
    <w:rsid w:val="00D55524"/>
    <w:rsid w:val="00D55570"/>
    <w:rsid w:val="00D556BD"/>
    <w:rsid w:val="00D56092"/>
    <w:rsid w:val="00D56512"/>
    <w:rsid w:val="00D56657"/>
    <w:rsid w:val="00D56F91"/>
    <w:rsid w:val="00D5717A"/>
    <w:rsid w:val="00D5722D"/>
    <w:rsid w:val="00D572CB"/>
    <w:rsid w:val="00D57857"/>
    <w:rsid w:val="00D579CE"/>
    <w:rsid w:val="00D57D24"/>
    <w:rsid w:val="00D60898"/>
    <w:rsid w:val="00D614BB"/>
    <w:rsid w:val="00D614F5"/>
    <w:rsid w:val="00D61E90"/>
    <w:rsid w:val="00D621A4"/>
    <w:rsid w:val="00D62814"/>
    <w:rsid w:val="00D62943"/>
    <w:rsid w:val="00D629AE"/>
    <w:rsid w:val="00D62B4D"/>
    <w:rsid w:val="00D62FA4"/>
    <w:rsid w:val="00D6353A"/>
    <w:rsid w:val="00D6371D"/>
    <w:rsid w:val="00D64442"/>
    <w:rsid w:val="00D644DB"/>
    <w:rsid w:val="00D6486E"/>
    <w:rsid w:val="00D64B46"/>
    <w:rsid w:val="00D658B4"/>
    <w:rsid w:val="00D65AD1"/>
    <w:rsid w:val="00D65AFD"/>
    <w:rsid w:val="00D65EFD"/>
    <w:rsid w:val="00D669A2"/>
    <w:rsid w:val="00D66DD5"/>
    <w:rsid w:val="00D66E38"/>
    <w:rsid w:val="00D66F0D"/>
    <w:rsid w:val="00D67109"/>
    <w:rsid w:val="00D6744E"/>
    <w:rsid w:val="00D6771A"/>
    <w:rsid w:val="00D67CEC"/>
    <w:rsid w:val="00D70061"/>
    <w:rsid w:val="00D7026F"/>
    <w:rsid w:val="00D70CE7"/>
    <w:rsid w:val="00D7160E"/>
    <w:rsid w:val="00D7180A"/>
    <w:rsid w:val="00D7220E"/>
    <w:rsid w:val="00D723F5"/>
    <w:rsid w:val="00D72576"/>
    <w:rsid w:val="00D72D36"/>
    <w:rsid w:val="00D73D11"/>
    <w:rsid w:val="00D73E97"/>
    <w:rsid w:val="00D73EFA"/>
    <w:rsid w:val="00D7426F"/>
    <w:rsid w:val="00D74EBB"/>
    <w:rsid w:val="00D74ED8"/>
    <w:rsid w:val="00D7532C"/>
    <w:rsid w:val="00D75504"/>
    <w:rsid w:val="00D75623"/>
    <w:rsid w:val="00D75CDF"/>
    <w:rsid w:val="00D75EE7"/>
    <w:rsid w:val="00D7650B"/>
    <w:rsid w:val="00D766B1"/>
    <w:rsid w:val="00D767B3"/>
    <w:rsid w:val="00D7680A"/>
    <w:rsid w:val="00D768AB"/>
    <w:rsid w:val="00D76A2F"/>
    <w:rsid w:val="00D76A9C"/>
    <w:rsid w:val="00D76C03"/>
    <w:rsid w:val="00D771BB"/>
    <w:rsid w:val="00D773F7"/>
    <w:rsid w:val="00D77ACB"/>
    <w:rsid w:val="00D77D63"/>
    <w:rsid w:val="00D77D85"/>
    <w:rsid w:val="00D77EB7"/>
    <w:rsid w:val="00D803B6"/>
    <w:rsid w:val="00D80666"/>
    <w:rsid w:val="00D80A11"/>
    <w:rsid w:val="00D82800"/>
    <w:rsid w:val="00D82804"/>
    <w:rsid w:val="00D829BA"/>
    <w:rsid w:val="00D82A6E"/>
    <w:rsid w:val="00D83373"/>
    <w:rsid w:val="00D83444"/>
    <w:rsid w:val="00D8481D"/>
    <w:rsid w:val="00D84DA9"/>
    <w:rsid w:val="00D850A9"/>
    <w:rsid w:val="00D85103"/>
    <w:rsid w:val="00D85147"/>
    <w:rsid w:val="00D851F1"/>
    <w:rsid w:val="00D852C0"/>
    <w:rsid w:val="00D85327"/>
    <w:rsid w:val="00D85540"/>
    <w:rsid w:val="00D860CF"/>
    <w:rsid w:val="00D8622B"/>
    <w:rsid w:val="00D86466"/>
    <w:rsid w:val="00D865FD"/>
    <w:rsid w:val="00D866BE"/>
    <w:rsid w:val="00D8695B"/>
    <w:rsid w:val="00D86F8A"/>
    <w:rsid w:val="00D87241"/>
    <w:rsid w:val="00D87A64"/>
    <w:rsid w:val="00D87D17"/>
    <w:rsid w:val="00D87E21"/>
    <w:rsid w:val="00D87F6F"/>
    <w:rsid w:val="00D87FA2"/>
    <w:rsid w:val="00D90187"/>
    <w:rsid w:val="00D90336"/>
    <w:rsid w:val="00D90A81"/>
    <w:rsid w:val="00D90B51"/>
    <w:rsid w:val="00D9118B"/>
    <w:rsid w:val="00D92439"/>
    <w:rsid w:val="00D925AF"/>
    <w:rsid w:val="00D925C7"/>
    <w:rsid w:val="00D9260D"/>
    <w:rsid w:val="00D92618"/>
    <w:rsid w:val="00D92D9B"/>
    <w:rsid w:val="00D932AD"/>
    <w:rsid w:val="00D93497"/>
    <w:rsid w:val="00D93952"/>
    <w:rsid w:val="00D9442A"/>
    <w:rsid w:val="00D9456F"/>
    <w:rsid w:val="00D9464B"/>
    <w:rsid w:val="00D94B2A"/>
    <w:rsid w:val="00D94C40"/>
    <w:rsid w:val="00D95310"/>
    <w:rsid w:val="00D953AA"/>
    <w:rsid w:val="00D956CB"/>
    <w:rsid w:val="00D95DEA"/>
    <w:rsid w:val="00D96148"/>
    <w:rsid w:val="00D965B8"/>
    <w:rsid w:val="00D96ADE"/>
    <w:rsid w:val="00D96B56"/>
    <w:rsid w:val="00D9700B"/>
    <w:rsid w:val="00D97723"/>
    <w:rsid w:val="00DA0560"/>
    <w:rsid w:val="00DA06A0"/>
    <w:rsid w:val="00DA093D"/>
    <w:rsid w:val="00DA0BDF"/>
    <w:rsid w:val="00DA11C0"/>
    <w:rsid w:val="00DA1F3F"/>
    <w:rsid w:val="00DA23A8"/>
    <w:rsid w:val="00DA2805"/>
    <w:rsid w:val="00DA28DF"/>
    <w:rsid w:val="00DA29D9"/>
    <w:rsid w:val="00DA336A"/>
    <w:rsid w:val="00DA3BAF"/>
    <w:rsid w:val="00DA3C42"/>
    <w:rsid w:val="00DA3C50"/>
    <w:rsid w:val="00DA441D"/>
    <w:rsid w:val="00DA4D8B"/>
    <w:rsid w:val="00DA52AC"/>
    <w:rsid w:val="00DA5D4D"/>
    <w:rsid w:val="00DA65CE"/>
    <w:rsid w:val="00DA6842"/>
    <w:rsid w:val="00DA7352"/>
    <w:rsid w:val="00DA784E"/>
    <w:rsid w:val="00DA7866"/>
    <w:rsid w:val="00DA7D67"/>
    <w:rsid w:val="00DB0015"/>
    <w:rsid w:val="00DB05EB"/>
    <w:rsid w:val="00DB098E"/>
    <w:rsid w:val="00DB0F2A"/>
    <w:rsid w:val="00DB13E9"/>
    <w:rsid w:val="00DB1F92"/>
    <w:rsid w:val="00DB203F"/>
    <w:rsid w:val="00DB24C8"/>
    <w:rsid w:val="00DB27C5"/>
    <w:rsid w:val="00DB2D0C"/>
    <w:rsid w:val="00DB2E70"/>
    <w:rsid w:val="00DB376F"/>
    <w:rsid w:val="00DB38D6"/>
    <w:rsid w:val="00DB38DB"/>
    <w:rsid w:val="00DB3BA6"/>
    <w:rsid w:val="00DB3BE1"/>
    <w:rsid w:val="00DB3D99"/>
    <w:rsid w:val="00DB5210"/>
    <w:rsid w:val="00DB5444"/>
    <w:rsid w:val="00DB5549"/>
    <w:rsid w:val="00DB56F1"/>
    <w:rsid w:val="00DB58B5"/>
    <w:rsid w:val="00DB5F42"/>
    <w:rsid w:val="00DB5F5F"/>
    <w:rsid w:val="00DB6028"/>
    <w:rsid w:val="00DB613D"/>
    <w:rsid w:val="00DB629E"/>
    <w:rsid w:val="00DB668C"/>
    <w:rsid w:val="00DB675B"/>
    <w:rsid w:val="00DB680D"/>
    <w:rsid w:val="00DB6E27"/>
    <w:rsid w:val="00DB6F03"/>
    <w:rsid w:val="00DB70B3"/>
    <w:rsid w:val="00DB712A"/>
    <w:rsid w:val="00DB7748"/>
    <w:rsid w:val="00DB7928"/>
    <w:rsid w:val="00DB79CC"/>
    <w:rsid w:val="00DB7B8A"/>
    <w:rsid w:val="00DB7E08"/>
    <w:rsid w:val="00DB7F7A"/>
    <w:rsid w:val="00DC0327"/>
    <w:rsid w:val="00DC063B"/>
    <w:rsid w:val="00DC1111"/>
    <w:rsid w:val="00DC1224"/>
    <w:rsid w:val="00DC12BC"/>
    <w:rsid w:val="00DC1562"/>
    <w:rsid w:val="00DC1AA1"/>
    <w:rsid w:val="00DC1F0E"/>
    <w:rsid w:val="00DC26A5"/>
    <w:rsid w:val="00DC28F5"/>
    <w:rsid w:val="00DC2E79"/>
    <w:rsid w:val="00DC2EED"/>
    <w:rsid w:val="00DC3914"/>
    <w:rsid w:val="00DC41DB"/>
    <w:rsid w:val="00DC4598"/>
    <w:rsid w:val="00DC485A"/>
    <w:rsid w:val="00DC5055"/>
    <w:rsid w:val="00DC526C"/>
    <w:rsid w:val="00DC56FE"/>
    <w:rsid w:val="00DC57A0"/>
    <w:rsid w:val="00DC5B23"/>
    <w:rsid w:val="00DC60B6"/>
    <w:rsid w:val="00DC62A9"/>
    <w:rsid w:val="00DC6ED6"/>
    <w:rsid w:val="00DC742B"/>
    <w:rsid w:val="00DC7635"/>
    <w:rsid w:val="00DC7667"/>
    <w:rsid w:val="00DC76A3"/>
    <w:rsid w:val="00DD01E1"/>
    <w:rsid w:val="00DD035C"/>
    <w:rsid w:val="00DD0493"/>
    <w:rsid w:val="00DD07AC"/>
    <w:rsid w:val="00DD0831"/>
    <w:rsid w:val="00DD0D3E"/>
    <w:rsid w:val="00DD0D8B"/>
    <w:rsid w:val="00DD1A9A"/>
    <w:rsid w:val="00DD1F7D"/>
    <w:rsid w:val="00DD2017"/>
    <w:rsid w:val="00DD20A4"/>
    <w:rsid w:val="00DD2683"/>
    <w:rsid w:val="00DD2907"/>
    <w:rsid w:val="00DD3EC9"/>
    <w:rsid w:val="00DD4D73"/>
    <w:rsid w:val="00DD5A1D"/>
    <w:rsid w:val="00DD600A"/>
    <w:rsid w:val="00DD60E5"/>
    <w:rsid w:val="00DD632B"/>
    <w:rsid w:val="00DD633E"/>
    <w:rsid w:val="00DD677B"/>
    <w:rsid w:val="00DD68F5"/>
    <w:rsid w:val="00DD6E7E"/>
    <w:rsid w:val="00DD7176"/>
    <w:rsid w:val="00DD7594"/>
    <w:rsid w:val="00DE031C"/>
    <w:rsid w:val="00DE053F"/>
    <w:rsid w:val="00DE0612"/>
    <w:rsid w:val="00DE0747"/>
    <w:rsid w:val="00DE1977"/>
    <w:rsid w:val="00DE1AEA"/>
    <w:rsid w:val="00DE1B81"/>
    <w:rsid w:val="00DE1CC0"/>
    <w:rsid w:val="00DE1E4C"/>
    <w:rsid w:val="00DE2254"/>
    <w:rsid w:val="00DE26C7"/>
    <w:rsid w:val="00DE2B20"/>
    <w:rsid w:val="00DE2DF8"/>
    <w:rsid w:val="00DE2E79"/>
    <w:rsid w:val="00DE31B2"/>
    <w:rsid w:val="00DE3407"/>
    <w:rsid w:val="00DE3A3D"/>
    <w:rsid w:val="00DE3DD8"/>
    <w:rsid w:val="00DE4090"/>
    <w:rsid w:val="00DE41D9"/>
    <w:rsid w:val="00DE43C1"/>
    <w:rsid w:val="00DE457F"/>
    <w:rsid w:val="00DE496A"/>
    <w:rsid w:val="00DE4A1F"/>
    <w:rsid w:val="00DE4F15"/>
    <w:rsid w:val="00DE5189"/>
    <w:rsid w:val="00DE547A"/>
    <w:rsid w:val="00DE5855"/>
    <w:rsid w:val="00DE6B25"/>
    <w:rsid w:val="00DE6C79"/>
    <w:rsid w:val="00DE7582"/>
    <w:rsid w:val="00DE766A"/>
    <w:rsid w:val="00DE7B55"/>
    <w:rsid w:val="00DE7CA9"/>
    <w:rsid w:val="00DE7D85"/>
    <w:rsid w:val="00DE7E56"/>
    <w:rsid w:val="00DF0253"/>
    <w:rsid w:val="00DF02B7"/>
    <w:rsid w:val="00DF086A"/>
    <w:rsid w:val="00DF08B3"/>
    <w:rsid w:val="00DF0DAB"/>
    <w:rsid w:val="00DF0F9A"/>
    <w:rsid w:val="00DF15DB"/>
    <w:rsid w:val="00DF18E1"/>
    <w:rsid w:val="00DF1E86"/>
    <w:rsid w:val="00DF206E"/>
    <w:rsid w:val="00DF221F"/>
    <w:rsid w:val="00DF22F2"/>
    <w:rsid w:val="00DF2EBA"/>
    <w:rsid w:val="00DF30F6"/>
    <w:rsid w:val="00DF3879"/>
    <w:rsid w:val="00DF41A4"/>
    <w:rsid w:val="00DF4571"/>
    <w:rsid w:val="00DF4B9A"/>
    <w:rsid w:val="00DF4C84"/>
    <w:rsid w:val="00DF4DFA"/>
    <w:rsid w:val="00DF5882"/>
    <w:rsid w:val="00DF58F2"/>
    <w:rsid w:val="00DF5BB3"/>
    <w:rsid w:val="00DF6480"/>
    <w:rsid w:val="00DF6E64"/>
    <w:rsid w:val="00DF6F95"/>
    <w:rsid w:val="00DF71AC"/>
    <w:rsid w:val="00DF7359"/>
    <w:rsid w:val="00DF793E"/>
    <w:rsid w:val="00DF7983"/>
    <w:rsid w:val="00DF7E8D"/>
    <w:rsid w:val="00DF7FDB"/>
    <w:rsid w:val="00E001DE"/>
    <w:rsid w:val="00E00AE9"/>
    <w:rsid w:val="00E00E43"/>
    <w:rsid w:val="00E00F16"/>
    <w:rsid w:val="00E016F8"/>
    <w:rsid w:val="00E0174B"/>
    <w:rsid w:val="00E01C4C"/>
    <w:rsid w:val="00E01D67"/>
    <w:rsid w:val="00E022A3"/>
    <w:rsid w:val="00E02C42"/>
    <w:rsid w:val="00E02ED9"/>
    <w:rsid w:val="00E03212"/>
    <w:rsid w:val="00E03B6E"/>
    <w:rsid w:val="00E047BF"/>
    <w:rsid w:val="00E048FC"/>
    <w:rsid w:val="00E04E80"/>
    <w:rsid w:val="00E051AF"/>
    <w:rsid w:val="00E058D9"/>
    <w:rsid w:val="00E06A7C"/>
    <w:rsid w:val="00E076A3"/>
    <w:rsid w:val="00E07722"/>
    <w:rsid w:val="00E10517"/>
    <w:rsid w:val="00E10568"/>
    <w:rsid w:val="00E1068E"/>
    <w:rsid w:val="00E10C04"/>
    <w:rsid w:val="00E10F88"/>
    <w:rsid w:val="00E11574"/>
    <w:rsid w:val="00E11967"/>
    <w:rsid w:val="00E11AE7"/>
    <w:rsid w:val="00E11DB1"/>
    <w:rsid w:val="00E120F8"/>
    <w:rsid w:val="00E1294A"/>
    <w:rsid w:val="00E12CED"/>
    <w:rsid w:val="00E12DAA"/>
    <w:rsid w:val="00E130A3"/>
    <w:rsid w:val="00E1319F"/>
    <w:rsid w:val="00E132AF"/>
    <w:rsid w:val="00E13ECE"/>
    <w:rsid w:val="00E13FA9"/>
    <w:rsid w:val="00E14D6C"/>
    <w:rsid w:val="00E14F36"/>
    <w:rsid w:val="00E15010"/>
    <w:rsid w:val="00E153CF"/>
    <w:rsid w:val="00E15AF5"/>
    <w:rsid w:val="00E15F49"/>
    <w:rsid w:val="00E163A5"/>
    <w:rsid w:val="00E164FE"/>
    <w:rsid w:val="00E1669E"/>
    <w:rsid w:val="00E16F8E"/>
    <w:rsid w:val="00E1758E"/>
    <w:rsid w:val="00E17832"/>
    <w:rsid w:val="00E17DDE"/>
    <w:rsid w:val="00E201A9"/>
    <w:rsid w:val="00E201FE"/>
    <w:rsid w:val="00E20D7B"/>
    <w:rsid w:val="00E2106B"/>
    <w:rsid w:val="00E21295"/>
    <w:rsid w:val="00E2162F"/>
    <w:rsid w:val="00E217C7"/>
    <w:rsid w:val="00E21B8A"/>
    <w:rsid w:val="00E21FAF"/>
    <w:rsid w:val="00E226A5"/>
    <w:rsid w:val="00E2280E"/>
    <w:rsid w:val="00E22B6E"/>
    <w:rsid w:val="00E22C02"/>
    <w:rsid w:val="00E22FC3"/>
    <w:rsid w:val="00E23831"/>
    <w:rsid w:val="00E23C39"/>
    <w:rsid w:val="00E23C3E"/>
    <w:rsid w:val="00E23CE4"/>
    <w:rsid w:val="00E23D87"/>
    <w:rsid w:val="00E24C7C"/>
    <w:rsid w:val="00E251E4"/>
    <w:rsid w:val="00E25A8A"/>
    <w:rsid w:val="00E25FE1"/>
    <w:rsid w:val="00E262FB"/>
    <w:rsid w:val="00E272AB"/>
    <w:rsid w:val="00E27378"/>
    <w:rsid w:val="00E27658"/>
    <w:rsid w:val="00E27894"/>
    <w:rsid w:val="00E27A60"/>
    <w:rsid w:val="00E3034E"/>
    <w:rsid w:val="00E30660"/>
    <w:rsid w:val="00E30F41"/>
    <w:rsid w:val="00E311C5"/>
    <w:rsid w:val="00E31F7B"/>
    <w:rsid w:val="00E32518"/>
    <w:rsid w:val="00E327FB"/>
    <w:rsid w:val="00E329D8"/>
    <w:rsid w:val="00E33CA8"/>
    <w:rsid w:val="00E33F34"/>
    <w:rsid w:val="00E342CA"/>
    <w:rsid w:val="00E34774"/>
    <w:rsid w:val="00E347F0"/>
    <w:rsid w:val="00E359D6"/>
    <w:rsid w:val="00E363FC"/>
    <w:rsid w:val="00E36ABF"/>
    <w:rsid w:val="00E377A3"/>
    <w:rsid w:val="00E414B3"/>
    <w:rsid w:val="00E41B9A"/>
    <w:rsid w:val="00E41DE9"/>
    <w:rsid w:val="00E42D65"/>
    <w:rsid w:val="00E434E8"/>
    <w:rsid w:val="00E435C4"/>
    <w:rsid w:val="00E4467D"/>
    <w:rsid w:val="00E44917"/>
    <w:rsid w:val="00E44CD2"/>
    <w:rsid w:val="00E45849"/>
    <w:rsid w:val="00E45BEC"/>
    <w:rsid w:val="00E465BF"/>
    <w:rsid w:val="00E4672F"/>
    <w:rsid w:val="00E47005"/>
    <w:rsid w:val="00E471EF"/>
    <w:rsid w:val="00E47B6A"/>
    <w:rsid w:val="00E47C27"/>
    <w:rsid w:val="00E50B4B"/>
    <w:rsid w:val="00E50DBC"/>
    <w:rsid w:val="00E51379"/>
    <w:rsid w:val="00E51D06"/>
    <w:rsid w:val="00E51E2B"/>
    <w:rsid w:val="00E5203E"/>
    <w:rsid w:val="00E522BA"/>
    <w:rsid w:val="00E527A2"/>
    <w:rsid w:val="00E528C1"/>
    <w:rsid w:val="00E529E3"/>
    <w:rsid w:val="00E530B7"/>
    <w:rsid w:val="00E533AA"/>
    <w:rsid w:val="00E5398B"/>
    <w:rsid w:val="00E53C37"/>
    <w:rsid w:val="00E53DB5"/>
    <w:rsid w:val="00E53E78"/>
    <w:rsid w:val="00E5441B"/>
    <w:rsid w:val="00E5465B"/>
    <w:rsid w:val="00E54701"/>
    <w:rsid w:val="00E549D4"/>
    <w:rsid w:val="00E54F39"/>
    <w:rsid w:val="00E54FA2"/>
    <w:rsid w:val="00E550A6"/>
    <w:rsid w:val="00E556AC"/>
    <w:rsid w:val="00E55955"/>
    <w:rsid w:val="00E55F45"/>
    <w:rsid w:val="00E55F97"/>
    <w:rsid w:val="00E56027"/>
    <w:rsid w:val="00E561BF"/>
    <w:rsid w:val="00E5694B"/>
    <w:rsid w:val="00E5695D"/>
    <w:rsid w:val="00E56AA3"/>
    <w:rsid w:val="00E56C85"/>
    <w:rsid w:val="00E56DB0"/>
    <w:rsid w:val="00E56DEC"/>
    <w:rsid w:val="00E57BD0"/>
    <w:rsid w:val="00E57C18"/>
    <w:rsid w:val="00E6020A"/>
    <w:rsid w:val="00E608FC"/>
    <w:rsid w:val="00E60A47"/>
    <w:rsid w:val="00E60F05"/>
    <w:rsid w:val="00E61A64"/>
    <w:rsid w:val="00E61BCE"/>
    <w:rsid w:val="00E61DA8"/>
    <w:rsid w:val="00E622A7"/>
    <w:rsid w:val="00E6244E"/>
    <w:rsid w:val="00E624A9"/>
    <w:rsid w:val="00E62998"/>
    <w:rsid w:val="00E62D07"/>
    <w:rsid w:val="00E63198"/>
    <w:rsid w:val="00E634CA"/>
    <w:rsid w:val="00E635AD"/>
    <w:rsid w:val="00E63AC2"/>
    <w:rsid w:val="00E64EBF"/>
    <w:rsid w:val="00E65D3D"/>
    <w:rsid w:val="00E66914"/>
    <w:rsid w:val="00E66E77"/>
    <w:rsid w:val="00E66EC5"/>
    <w:rsid w:val="00E6702F"/>
    <w:rsid w:val="00E670FF"/>
    <w:rsid w:val="00E6758C"/>
    <w:rsid w:val="00E6785D"/>
    <w:rsid w:val="00E67F60"/>
    <w:rsid w:val="00E700A0"/>
    <w:rsid w:val="00E709F4"/>
    <w:rsid w:val="00E70D18"/>
    <w:rsid w:val="00E710CA"/>
    <w:rsid w:val="00E71BF5"/>
    <w:rsid w:val="00E71CD6"/>
    <w:rsid w:val="00E71D56"/>
    <w:rsid w:val="00E72065"/>
    <w:rsid w:val="00E72465"/>
    <w:rsid w:val="00E728FA"/>
    <w:rsid w:val="00E72E8B"/>
    <w:rsid w:val="00E72FC1"/>
    <w:rsid w:val="00E730FA"/>
    <w:rsid w:val="00E73C17"/>
    <w:rsid w:val="00E742E2"/>
    <w:rsid w:val="00E74557"/>
    <w:rsid w:val="00E749B4"/>
    <w:rsid w:val="00E74C48"/>
    <w:rsid w:val="00E752D4"/>
    <w:rsid w:val="00E75302"/>
    <w:rsid w:val="00E75493"/>
    <w:rsid w:val="00E7549A"/>
    <w:rsid w:val="00E755A5"/>
    <w:rsid w:val="00E75A99"/>
    <w:rsid w:val="00E75CE9"/>
    <w:rsid w:val="00E7657C"/>
    <w:rsid w:val="00E76E02"/>
    <w:rsid w:val="00E770FB"/>
    <w:rsid w:val="00E77D02"/>
    <w:rsid w:val="00E77D0F"/>
    <w:rsid w:val="00E77D4C"/>
    <w:rsid w:val="00E80458"/>
    <w:rsid w:val="00E8048A"/>
    <w:rsid w:val="00E80884"/>
    <w:rsid w:val="00E80925"/>
    <w:rsid w:val="00E81080"/>
    <w:rsid w:val="00E810B2"/>
    <w:rsid w:val="00E81C2E"/>
    <w:rsid w:val="00E823AC"/>
    <w:rsid w:val="00E8266B"/>
    <w:rsid w:val="00E828FA"/>
    <w:rsid w:val="00E82B61"/>
    <w:rsid w:val="00E83252"/>
    <w:rsid w:val="00E833FE"/>
    <w:rsid w:val="00E83426"/>
    <w:rsid w:val="00E838DB"/>
    <w:rsid w:val="00E8397D"/>
    <w:rsid w:val="00E83A94"/>
    <w:rsid w:val="00E84404"/>
    <w:rsid w:val="00E84EA7"/>
    <w:rsid w:val="00E85550"/>
    <w:rsid w:val="00E8560B"/>
    <w:rsid w:val="00E85AA4"/>
    <w:rsid w:val="00E85E7E"/>
    <w:rsid w:val="00E86101"/>
    <w:rsid w:val="00E86141"/>
    <w:rsid w:val="00E867DB"/>
    <w:rsid w:val="00E8693D"/>
    <w:rsid w:val="00E86956"/>
    <w:rsid w:val="00E86BEA"/>
    <w:rsid w:val="00E870CF"/>
    <w:rsid w:val="00E8714B"/>
    <w:rsid w:val="00E872B8"/>
    <w:rsid w:val="00E87772"/>
    <w:rsid w:val="00E878AC"/>
    <w:rsid w:val="00E87C36"/>
    <w:rsid w:val="00E87E9B"/>
    <w:rsid w:val="00E90105"/>
    <w:rsid w:val="00E904B8"/>
    <w:rsid w:val="00E90A82"/>
    <w:rsid w:val="00E91181"/>
    <w:rsid w:val="00E912FE"/>
    <w:rsid w:val="00E915CA"/>
    <w:rsid w:val="00E91680"/>
    <w:rsid w:val="00E916E3"/>
    <w:rsid w:val="00E91B86"/>
    <w:rsid w:val="00E92402"/>
    <w:rsid w:val="00E92864"/>
    <w:rsid w:val="00E92F41"/>
    <w:rsid w:val="00E93972"/>
    <w:rsid w:val="00E94201"/>
    <w:rsid w:val="00E94C53"/>
    <w:rsid w:val="00E94D06"/>
    <w:rsid w:val="00E94F34"/>
    <w:rsid w:val="00E95188"/>
    <w:rsid w:val="00E95205"/>
    <w:rsid w:val="00E95314"/>
    <w:rsid w:val="00E95F94"/>
    <w:rsid w:val="00E9641A"/>
    <w:rsid w:val="00E96CA7"/>
    <w:rsid w:val="00E96CFA"/>
    <w:rsid w:val="00EA01C9"/>
    <w:rsid w:val="00EA041E"/>
    <w:rsid w:val="00EA0744"/>
    <w:rsid w:val="00EA0AF6"/>
    <w:rsid w:val="00EA0DEA"/>
    <w:rsid w:val="00EA13EF"/>
    <w:rsid w:val="00EA1656"/>
    <w:rsid w:val="00EA2138"/>
    <w:rsid w:val="00EA2F20"/>
    <w:rsid w:val="00EA339E"/>
    <w:rsid w:val="00EA33FD"/>
    <w:rsid w:val="00EA356A"/>
    <w:rsid w:val="00EA3928"/>
    <w:rsid w:val="00EA45ED"/>
    <w:rsid w:val="00EA4671"/>
    <w:rsid w:val="00EA5062"/>
    <w:rsid w:val="00EA5ADF"/>
    <w:rsid w:val="00EA5F4C"/>
    <w:rsid w:val="00EA63A5"/>
    <w:rsid w:val="00EA645F"/>
    <w:rsid w:val="00EA6477"/>
    <w:rsid w:val="00EA684E"/>
    <w:rsid w:val="00EA6A63"/>
    <w:rsid w:val="00EA6C3F"/>
    <w:rsid w:val="00EA6D60"/>
    <w:rsid w:val="00EA7822"/>
    <w:rsid w:val="00EB0073"/>
    <w:rsid w:val="00EB0750"/>
    <w:rsid w:val="00EB083A"/>
    <w:rsid w:val="00EB0D9C"/>
    <w:rsid w:val="00EB1165"/>
    <w:rsid w:val="00EB134A"/>
    <w:rsid w:val="00EB1AA9"/>
    <w:rsid w:val="00EB1DD0"/>
    <w:rsid w:val="00EB230D"/>
    <w:rsid w:val="00EB2A04"/>
    <w:rsid w:val="00EB2E26"/>
    <w:rsid w:val="00EB30C2"/>
    <w:rsid w:val="00EB31F5"/>
    <w:rsid w:val="00EB35BA"/>
    <w:rsid w:val="00EB3CB8"/>
    <w:rsid w:val="00EB3FE3"/>
    <w:rsid w:val="00EB406B"/>
    <w:rsid w:val="00EB4D68"/>
    <w:rsid w:val="00EB4F2A"/>
    <w:rsid w:val="00EB5496"/>
    <w:rsid w:val="00EB5BD2"/>
    <w:rsid w:val="00EB685F"/>
    <w:rsid w:val="00EB6ECA"/>
    <w:rsid w:val="00EB714C"/>
    <w:rsid w:val="00EB723C"/>
    <w:rsid w:val="00EB762E"/>
    <w:rsid w:val="00EB7803"/>
    <w:rsid w:val="00EB7954"/>
    <w:rsid w:val="00EB7CB2"/>
    <w:rsid w:val="00EB7D0F"/>
    <w:rsid w:val="00EC0642"/>
    <w:rsid w:val="00EC079E"/>
    <w:rsid w:val="00EC0B04"/>
    <w:rsid w:val="00EC0BDD"/>
    <w:rsid w:val="00EC19C1"/>
    <w:rsid w:val="00EC19C6"/>
    <w:rsid w:val="00EC1C19"/>
    <w:rsid w:val="00EC1EED"/>
    <w:rsid w:val="00EC36E7"/>
    <w:rsid w:val="00EC3A7C"/>
    <w:rsid w:val="00EC3B0A"/>
    <w:rsid w:val="00EC3E01"/>
    <w:rsid w:val="00EC42B4"/>
    <w:rsid w:val="00EC42F6"/>
    <w:rsid w:val="00EC4B1C"/>
    <w:rsid w:val="00EC4DB7"/>
    <w:rsid w:val="00EC4FBA"/>
    <w:rsid w:val="00EC51D2"/>
    <w:rsid w:val="00EC5773"/>
    <w:rsid w:val="00EC60CC"/>
    <w:rsid w:val="00EC65DE"/>
    <w:rsid w:val="00EC6993"/>
    <w:rsid w:val="00EC6A3E"/>
    <w:rsid w:val="00EC6B44"/>
    <w:rsid w:val="00EC75E2"/>
    <w:rsid w:val="00EC7FF3"/>
    <w:rsid w:val="00ED0010"/>
    <w:rsid w:val="00ED0260"/>
    <w:rsid w:val="00ED026D"/>
    <w:rsid w:val="00ED09E7"/>
    <w:rsid w:val="00ED0D06"/>
    <w:rsid w:val="00ED0F51"/>
    <w:rsid w:val="00ED10AC"/>
    <w:rsid w:val="00ED17E3"/>
    <w:rsid w:val="00ED1881"/>
    <w:rsid w:val="00ED1C48"/>
    <w:rsid w:val="00ED2617"/>
    <w:rsid w:val="00ED2888"/>
    <w:rsid w:val="00ED2A60"/>
    <w:rsid w:val="00ED2F73"/>
    <w:rsid w:val="00ED300C"/>
    <w:rsid w:val="00ED362A"/>
    <w:rsid w:val="00ED3889"/>
    <w:rsid w:val="00ED4129"/>
    <w:rsid w:val="00ED464D"/>
    <w:rsid w:val="00ED4A3D"/>
    <w:rsid w:val="00ED4EDD"/>
    <w:rsid w:val="00ED5187"/>
    <w:rsid w:val="00ED5D9C"/>
    <w:rsid w:val="00ED6500"/>
    <w:rsid w:val="00ED65FB"/>
    <w:rsid w:val="00ED6875"/>
    <w:rsid w:val="00ED6B85"/>
    <w:rsid w:val="00ED6DE3"/>
    <w:rsid w:val="00ED70FF"/>
    <w:rsid w:val="00ED7313"/>
    <w:rsid w:val="00ED758C"/>
    <w:rsid w:val="00EE01E6"/>
    <w:rsid w:val="00EE0C0C"/>
    <w:rsid w:val="00EE0EE9"/>
    <w:rsid w:val="00EE0F85"/>
    <w:rsid w:val="00EE1836"/>
    <w:rsid w:val="00EE2F1E"/>
    <w:rsid w:val="00EE33D3"/>
    <w:rsid w:val="00EE37D5"/>
    <w:rsid w:val="00EE3A72"/>
    <w:rsid w:val="00EE3B11"/>
    <w:rsid w:val="00EE3CBD"/>
    <w:rsid w:val="00EE4100"/>
    <w:rsid w:val="00EE43FD"/>
    <w:rsid w:val="00EE4554"/>
    <w:rsid w:val="00EE4A0A"/>
    <w:rsid w:val="00EE4A66"/>
    <w:rsid w:val="00EE5024"/>
    <w:rsid w:val="00EE513D"/>
    <w:rsid w:val="00EE5896"/>
    <w:rsid w:val="00EE5D53"/>
    <w:rsid w:val="00EE5D96"/>
    <w:rsid w:val="00EE5EFF"/>
    <w:rsid w:val="00EE607B"/>
    <w:rsid w:val="00EE6AC5"/>
    <w:rsid w:val="00EE6D6B"/>
    <w:rsid w:val="00EE6F16"/>
    <w:rsid w:val="00EE6F7F"/>
    <w:rsid w:val="00EE7233"/>
    <w:rsid w:val="00EE7366"/>
    <w:rsid w:val="00EE7779"/>
    <w:rsid w:val="00EE7B25"/>
    <w:rsid w:val="00EE7E0B"/>
    <w:rsid w:val="00EF03AD"/>
    <w:rsid w:val="00EF0DE0"/>
    <w:rsid w:val="00EF3B13"/>
    <w:rsid w:val="00EF3E71"/>
    <w:rsid w:val="00EF44B2"/>
    <w:rsid w:val="00EF44FF"/>
    <w:rsid w:val="00EF452A"/>
    <w:rsid w:val="00EF4849"/>
    <w:rsid w:val="00EF4884"/>
    <w:rsid w:val="00EF489E"/>
    <w:rsid w:val="00EF4C24"/>
    <w:rsid w:val="00EF4D7D"/>
    <w:rsid w:val="00EF54E9"/>
    <w:rsid w:val="00EF55A5"/>
    <w:rsid w:val="00EF5F4C"/>
    <w:rsid w:val="00EF6066"/>
    <w:rsid w:val="00EF6983"/>
    <w:rsid w:val="00EF6B12"/>
    <w:rsid w:val="00EF6D33"/>
    <w:rsid w:val="00EF6DDE"/>
    <w:rsid w:val="00EF718B"/>
    <w:rsid w:val="00EF78DB"/>
    <w:rsid w:val="00F004A8"/>
    <w:rsid w:val="00F00AC0"/>
    <w:rsid w:val="00F013B8"/>
    <w:rsid w:val="00F018BF"/>
    <w:rsid w:val="00F020E3"/>
    <w:rsid w:val="00F02607"/>
    <w:rsid w:val="00F02611"/>
    <w:rsid w:val="00F02B4F"/>
    <w:rsid w:val="00F03148"/>
    <w:rsid w:val="00F033AD"/>
    <w:rsid w:val="00F041C3"/>
    <w:rsid w:val="00F0434F"/>
    <w:rsid w:val="00F04A98"/>
    <w:rsid w:val="00F0565B"/>
    <w:rsid w:val="00F057C7"/>
    <w:rsid w:val="00F05D3A"/>
    <w:rsid w:val="00F05DB1"/>
    <w:rsid w:val="00F06176"/>
    <w:rsid w:val="00F06ACF"/>
    <w:rsid w:val="00F06F00"/>
    <w:rsid w:val="00F074FA"/>
    <w:rsid w:val="00F076AA"/>
    <w:rsid w:val="00F0797D"/>
    <w:rsid w:val="00F10275"/>
    <w:rsid w:val="00F11230"/>
    <w:rsid w:val="00F112AE"/>
    <w:rsid w:val="00F112D4"/>
    <w:rsid w:val="00F11491"/>
    <w:rsid w:val="00F11803"/>
    <w:rsid w:val="00F11F1B"/>
    <w:rsid w:val="00F1206C"/>
    <w:rsid w:val="00F12104"/>
    <w:rsid w:val="00F1292B"/>
    <w:rsid w:val="00F12A59"/>
    <w:rsid w:val="00F13074"/>
    <w:rsid w:val="00F134A4"/>
    <w:rsid w:val="00F139DA"/>
    <w:rsid w:val="00F13BF7"/>
    <w:rsid w:val="00F1440A"/>
    <w:rsid w:val="00F1451F"/>
    <w:rsid w:val="00F14C6E"/>
    <w:rsid w:val="00F150E5"/>
    <w:rsid w:val="00F1545C"/>
    <w:rsid w:val="00F15496"/>
    <w:rsid w:val="00F15A3C"/>
    <w:rsid w:val="00F15DD0"/>
    <w:rsid w:val="00F163D0"/>
    <w:rsid w:val="00F16849"/>
    <w:rsid w:val="00F16C52"/>
    <w:rsid w:val="00F16DB5"/>
    <w:rsid w:val="00F17153"/>
    <w:rsid w:val="00F173EA"/>
    <w:rsid w:val="00F1747E"/>
    <w:rsid w:val="00F178E5"/>
    <w:rsid w:val="00F178EF"/>
    <w:rsid w:val="00F17B07"/>
    <w:rsid w:val="00F2004E"/>
    <w:rsid w:val="00F20236"/>
    <w:rsid w:val="00F20843"/>
    <w:rsid w:val="00F20A5F"/>
    <w:rsid w:val="00F20A95"/>
    <w:rsid w:val="00F21BBE"/>
    <w:rsid w:val="00F22893"/>
    <w:rsid w:val="00F22EF2"/>
    <w:rsid w:val="00F24293"/>
    <w:rsid w:val="00F242A4"/>
    <w:rsid w:val="00F242C9"/>
    <w:rsid w:val="00F24558"/>
    <w:rsid w:val="00F248ED"/>
    <w:rsid w:val="00F2522A"/>
    <w:rsid w:val="00F2540C"/>
    <w:rsid w:val="00F25CAB"/>
    <w:rsid w:val="00F25EF2"/>
    <w:rsid w:val="00F25F15"/>
    <w:rsid w:val="00F25FCC"/>
    <w:rsid w:val="00F26665"/>
    <w:rsid w:val="00F26A1E"/>
    <w:rsid w:val="00F26D63"/>
    <w:rsid w:val="00F26FCC"/>
    <w:rsid w:val="00F27818"/>
    <w:rsid w:val="00F27AC0"/>
    <w:rsid w:val="00F3033A"/>
    <w:rsid w:val="00F30849"/>
    <w:rsid w:val="00F312A3"/>
    <w:rsid w:val="00F3178A"/>
    <w:rsid w:val="00F325F9"/>
    <w:rsid w:val="00F3263C"/>
    <w:rsid w:val="00F32CC0"/>
    <w:rsid w:val="00F33071"/>
    <w:rsid w:val="00F332D9"/>
    <w:rsid w:val="00F3371B"/>
    <w:rsid w:val="00F33CC9"/>
    <w:rsid w:val="00F3428B"/>
    <w:rsid w:val="00F3449F"/>
    <w:rsid w:val="00F34C46"/>
    <w:rsid w:val="00F34CEE"/>
    <w:rsid w:val="00F34D67"/>
    <w:rsid w:val="00F3569A"/>
    <w:rsid w:val="00F35CAB"/>
    <w:rsid w:val="00F362C9"/>
    <w:rsid w:val="00F364B8"/>
    <w:rsid w:val="00F364D1"/>
    <w:rsid w:val="00F36BD2"/>
    <w:rsid w:val="00F36F11"/>
    <w:rsid w:val="00F37620"/>
    <w:rsid w:val="00F37A3F"/>
    <w:rsid w:val="00F37AB0"/>
    <w:rsid w:val="00F37CD6"/>
    <w:rsid w:val="00F40595"/>
    <w:rsid w:val="00F405FB"/>
    <w:rsid w:val="00F40B35"/>
    <w:rsid w:val="00F40C8A"/>
    <w:rsid w:val="00F41A28"/>
    <w:rsid w:val="00F41CBC"/>
    <w:rsid w:val="00F41D87"/>
    <w:rsid w:val="00F423F1"/>
    <w:rsid w:val="00F42790"/>
    <w:rsid w:val="00F42A16"/>
    <w:rsid w:val="00F42B41"/>
    <w:rsid w:val="00F4322E"/>
    <w:rsid w:val="00F43850"/>
    <w:rsid w:val="00F43DF7"/>
    <w:rsid w:val="00F44048"/>
    <w:rsid w:val="00F44337"/>
    <w:rsid w:val="00F443BF"/>
    <w:rsid w:val="00F44AC5"/>
    <w:rsid w:val="00F45F35"/>
    <w:rsid w:val="00F46087"/>
    <w:rsid w:val="00F46442"/>
    <w:rsid w:val="00F46524"/>
    <w:rsid w:val="00F468E7"/>
    <w:rsid w:val="00F46F41"/>
    <w:rsid w:val="00F4713D"/>
    <w:rsid w:val="00F47428"/>
    <w:rsid w:val="00F478AA"/>
    <w:rsid w:val="00F47A70"/>
    <w:rsid w:val="00F47B18"/>
    <w:rsid w:val="00F50188"/>
    <w:rsid w:val="00F50521"/>
    <w:rsid w:val="00F50C8C"/>
    <w:rsid w:val="00F51018"/>
    <w:rsid w:val="00F51B2F"/>
    <w:rsid w:val="00F51E2A"/>
    <w:rsid w:val="00F5203F"/>
    <w:rsid w:val="00F5231D"/>
    <w:rsid w:val="00F52C55"/>
    <w:rsid w:val="00F5329D"/>
    <w:rsid w:val="00F535ED"/>
    <w:rsid w:val="00F538DF"/>
    <w:rsid w:val="00F53BCA"/>
    <w:rsid w:val="00F53CAD"/>
    <w:rsid w:val="00F53DAE"/>
    <w:rsid w:val="00F54272"/>
    <w:rsid w:val="00F54275"/>
    <w:rsid w:val="00F54495"/>
    <w:rsid w:val="00F54499"/>
    <w:rsid w:val="00F54B88"/>
    <w:rsid w:val="00F55268"/>
    <w:rsid w:val="00F55375"/>
    <w:rsid w:val="00F55469"/>
    <w:rsid w:val="00F557D5"/>
    <w:rsid w:val="00F56707"/>
    <w:rsid w:val="00F56AE8"/>
    <w:rsid w:val="00F5724D"/>
    <w:rsid w:val="00F57900"/>
    <w:rsid w:val="00F606E7"/>
    <w:rsid w:val="00F6096C"/>
    <w:rsid w:val="00F60F4A"/>
    <w:rsid w:val="00F610A5"/>
    <w:rsid w:val="00F61453"/>
    <w:rsid w:val="00F61DD1"/>
    <w:rsid w:val="00F62224"/>
    <w:rsid w:val="00F6223A"/>
    <w:rsid w:val="00F629A1"/>
    <w:rsid w:val="00F62D8F"/>
    <w:rsid w:val="00F62E4A"/>
    <w:rsid w:val="00F632AA"/>
    <w:rsid w:val="00F63453"/>
    <w:rsid w:val="00F6364F"/>
    <w:rsid w:val="00F63672"/>
    <w:rsid w:val="00F63C8B"/>
    <w:rsid w:val="00F64A01"/>
    <w:rsid w:val="00F64EC2"/>
    <w:rsid w:val="00F651E3"/>
    <w:rsid w:val="00F654AC"/>
    <w:rsid w:val="00F65BF9"/>
    <w:rsid w:val="00F6651D"/>
    <w:rsid w:val="00F6662A"/>
    <w:rsid w:val="00F66D91"/>
    <w:rsid w:val="00F66DA2"/>
    <w:rsid w:val="00F677F1"/>
    <w:rsid w:val="00F67A85"/>
    <w:rsid w:val="00F701B1"/>
    <w:rsid w:val="00F7027B"/>
    <w:rsid w:val="00F70844"/>
    <w:rsid w:val="00F70ADB"/>
    <w:rsid w:val="00F71018"/>
    <w:rsid w:val="00F71293"/>
    <w:rsid w:val="00F7129D"/>
    <w:rsid w:val="00F71375"/>
    <w:rsid w:val="00F71CBA"/>
    <w:rsid w:val="00F71FC6"/>
    <w:rsid w:val="00F7215E"/>
    <w:rsid w:val="00F72869"/>
    <w:rsid w:val="00F72B5D"/>
    <w:rsid w:val="00F73395"/>
    <w:rsid w:val="00F73779"/>
    <w:rsid w:val="00F739FA"/>
    <w:rsid w:val="00F7471D"/>
    <w:rsid w:val="00F74B79"/>
    <w:rsid w:val="00F75148"/>
    <w:rsid w:val="00F7523E"/>
    <w:rsid w:val="00F75293"/>
    <w:rsid w:val="00F754F8"/>
    <w:rsid w:val="00F75578"/>
    <w:rsid w:val="00F75BF6"/>
    <w:rsid w:val="00F75FBA"/>
    <w:rsid w:val="00F762F1"/>
    <w:rsid w:val="00F76343"/>
    <w:rsid w:val="00F76E45"/>
    <w:rsid w:val="00F77280"/>
    <w:rsid w:val="00F7745A"/>
    <w:rsid w:val="00F77EDF"/>
    <w:rsid w:val="00F800F5"/>
    <w:rsid w:val="00F804BC"/>
    <w:rsid w:val="00F80AB7"/>
    <w:rsid w:val="00F81E05"/>
    <w:rsid w:val="00F824B6"/>
    <w:rsid w:val="00F82C2F"/>
    <w:rsid w:val="00F82E40"/>
    <w:rsid w:val="00F83A3D"/>
    <w:rsid w:val="00F83FFA"/>
    <w:rsid w:val="00F854DC"/>
    <w:rsid w:val="00F855F6"/>
    <w:rsid w:val="00F85BDD"/>
    <w:rsid w:val="00F85C25"/>
    <w:rsid w:val="00F85EAD"/>
    <w:rsid w:val="00F86070"/>
    <w:rsid w:val="00F860E9"/>
    <w:rsid w:val="00F861DE"/>
    <w:rsid w:val="00F86BC3"/>
    <w:rsid w:val="00F86F4B"/>
    <w:rsid w:val="00F87098"/>
    <w:rsid w:val="00F8717F"/>
    <w:rsid w:val="00F87249"/>
    <w:rsid w:val="00F87948"/>
    <w:rsid w:val="00F9004D"/>
    <w:rsid w:val="00F9010B"/>
    <w:rsid w:val="00F90243"/>
    <w:rsid w:val="00F90367"/>
    <w:rsid w:val="00F90725"/>
    <w:rsid w:val="00F90C8A"/>
    <w:rsid w:val="00F91B8D"/>
    <w:rsid w:val="00F92639"/>
    <w:rsid w:val="00F9267F"/>
    <w:rsid w:val="00F92694"/>
    <w:rsid w:val="00F927DB"/>
    <w:rsid w:val="00F92D48"/>
    <w:rsid w:val="00F93D40"/>
    <w:rsid w:val="00F94C73"/>
    <w:rsid w:val="00F950B6"/>
    <w:rsid w:val="00F95556"/>
    <w:rsid w:val="00F95AD7"/>
    <w:rsid w:val="00F96E87"/>
    <w:rsid w:val="00F9766C"/>
    <w:rsid w:val="00F97D2C"/>
    <w:rsid w:val="00F97DCD"/>
    <w:rsid w:val="00FA1120"/>
    <w:rsid w:val="00FA1E2D"/>
    <w:rsid w:val="00FA2090"/>
    <w:rsid w:val="00FA224C"/>
    <w:rsid w:val="00FA3010"/>
    <w:rsid w:val="00FA3392"/>
    <w:rsid w:val="00FA37DE"/>
    <w:rsid w:val="00FA3905"/>
    <w:rsid w:val="00FA3944"/>
    <w:rsid w:val="00FA3F7F"/>
    <w:rsid w:val="00FA402E"/>
    <w:rsid w:val="00FA4D6C"/>
    <w:rsid w:val="00FA4EEF"/>
    <w:rsid w:val="00FA52E3"/>
    <w:rsid w:val="00FA58EC"/>
    <w:rsid w:val="00FA591B"/>
    <w:rsid w:val="00FA5A64"/>
    <w:rsid w:val="00FA5C67"/>
    <w:rsid w:val="00FA5E4B"/>
    <w:rsid w:val="00FA5E95"/>
    <w:rsid w:val="00FA62F3"/>
    <w:rsid w:val="00FA65CA"/>
    <w:rsid w:val="00FA663A"/>
    <w:rsid w:val="00FA691C"/>
    <w:rsid w:val="00FA6983"/>
    <w:rsid w:val="00FA6E14"/>
    <w:rsid w:val="00FA7910"/>
    <w:rsid w:val="00FA7A3E"/>
    <w:rsid w:val="00FA7A83"/>
    <w:rsid w:val="00FA7BF6"/>
    <w:rsid w:val="00FB0691"/>
    <w:rsid w:val="00FB0786"/>
    <w:rsid w:val="00FB09A6"/>
    <w:rsid w:val="00FB0A20"/>
    <w:rsid w:val="00FB0D4C"/>
    <w:rsid w:val="00FB12D7"/>
    <w:rsid w:val="00FB17DF"/>
    <w:rsid w:val="00FB1F8A"/>
    <w:rsid w:val="00FB205F"/>
    <w:rsid w:val="00FB2191"/>
    <w:rsid w:val="00FB25D8"/>
    <w:rsid w:val="00FB2C8A"/>
    <w:rsid w:val="00FB2E24"/>
    <w:rsid w:val="00FB307A"/>
    <w:rsid w:val="00FB3435"/>
    <w:rsid w:val="00FB3A50"/>
    <w:rsid w:val="00FB3DA0"/>
    <w:rsid w:val="00FB42DF"/>
    <w:rsid w:val="00FB46D1"/>
    <w:rsid w:val="00FB5259"/>
    <w:rsid w:val="00FB5534"/>
    <w:rsid w:val="00FB5633"/>
    <w:rsid w:val="00FB565A"/>
    <w:rsid w:val="00FB5E4A"/>
    <w:rsid w:val="00FB6538"/>
    <w:rsid w:val="00FB6A53"/>
    <w:rsid w:val="00FB6C72"/>
    <w:rsid w:val="00FB726B"/>
    <w:rsid w:val="00FB7720"/>
    <w:rsid w:val="00FC0217"/>
    <w:rsid w:val="00FC0DE1"/>
    <w:rsid w:val="00FC1677"/>
    <w:rsid w:val="00FC1F1A"/>
    <w:rsid w:val="00FC1FB9"/>
    <w:rsid w:val="00FC27FB"/>
    <w:rsid w:val="00FC290D"/>
    <w:rsid w:val="00FC297F"/>
    <w:rsid w:val="00FC2C81"/>
    <w:rsid w:val="00FC2CC8"/>
    <w:rsid w:val="00FC2D5C"/>
    <w:rsid w:val="00FC3B53"/>
    <w:rsid w:val="00FC3D68"/>
    <w:rsid w:val="00FC3D96"/>
    <w:rsid w:val="00FC41FB"/>
    <w:rsid w:val="00FC4289"/>
    <w:rsid w:val="00FC44F4"/>
    <w:rsid w:val="00FC55E8"/>
    <w:rsid w:val="00FC5FFA"/>
    <w:rsid w:val="00FC617A"/>
    <w:rsid w:val="00FC6423"/>
    <w:rsid w:val="00FC674E"/>
    <w:rsid w:val="00FC6BF5"/>
    <w:rsid w:val="00FD0312"/>
    <w:rsid w:val="00FD1286"/>
    <w:rsid w:val="00FD1473"/>
    <w:rsid w:val="00FD1D23"/>
    <w:rsid w:val="00FD21A4"/>
    <w:rsid w:val="00FD2D31"/>
    <w:rsid w:val="00FD307C"/>
    <w:rsid w:val="00FD32E6"/>
    <w:rsid w:val="00FD3AB3"/>
    <w:rsid w:val="00FD3EE1"/>
    <w:rsid w:val="00FD41FB"/>
    <w:rsid w:val="00FD495B"/>
    <w:rsid w:val="00FD5A13"/>
    <w:rsid w:val="00FD5F18"/>
    <w:rsid w:val="00FD608D"/>
    <w:rsid w:val="00FD63EA"/>
    <w:rsid w:val="00FD647D"/>
    <w:rsid w:val="00FD71C6"/>
    <w:rsid w:val="00FD7264"/>
    <w:rsid w:val="00FD7605"/>
    <w:rsid w:val="00FD7913"/>
    <w:rsid w:val="00FE046B"/>
    <w:rsid w:val="00FE0788"/>
    <w:rsid w:val="00FE17D8"/>
    <w:rsid w:val="00FE24D6"/>
    <w:rsid w:val="00FE2870"/>
    <w:rsid w:val="00FE2C71"/>
    <w:rsid w:val="00FE2DDF"/>
    <w:rsid w:val="00FE3C42"/>
    <w:rsid w:val="00FE4365"/>
    <w:rsid w:val="00FE476B"/>
    <w:rsid w:val="00FE4E6E"/>
    <w:rsid w:val="00FE508C"/>
    <w:rsid w:val="00FE51E6"/>
    <w:rsid w:val="00FE52D3"/>
    <w:rsid w:val="00FE52E4"/>
    <w:rsid w:val="00FE56F5"/>
    <w:rsid w:val="00FE57F2"/>
    <w:rsid w:val="00FE5C36"/>
    <w:rsid w:val="00FE5CB6"/>
    <w:rsid w:val="00FE614E"/>
    <w:rsid w:val="00FE61C1"/>
    <w:rsid w:val="00FE694D"/>
    <w:rsid w:val="00FE6AA1"/>
    <w:rsid w:val="00FE77EE"/>
    <w:rsid w:val="00FE7C07"/>
    <w:rsid w:val="00FE7FE7"/>
    <w:rsid w:val="00FF0625"/>
    <w:rsid w:val="00FF155B"/>
    <w:rsid w:val="00FF2592"/>
    <w:rsid w:val="00FF27BC"/>
    <w:rsid w:val="00FF2D2B"/>
    <w:rsid w:val="00FF2DE7"/>
    <w:rsid w:val="00FF2E6A"/>
    <w:rsid w:val="00FF347F"/>
    <w:rsid w:val="00FF35AA"/>
    <w:rsid w:val="00FF3712"/>
    <w:rsid w:val="00FF37DA"/>
    <w:rsid w:val="00FF3E35"/>
    <w:rsid w:val="00FF4188"/>
    <w:rsid w:val="00FF4213"/>
    <w:rsid w:val="00FF49F6"/>
    <w:rsid w:val="00FF4AB7"/>
    <w:rsid w:val="00FF4C48"/>
    <w:rsid w:val="00FF5411"/>
    <w:rsid w:val="00FF5E29"/>
    <w:rsid w:val="00FF622D"/>
    <w:rsid w:val="00FF6345"/>
    <w:rsid w:val="00FF64EE"/>
    <w:rsid w:val="00FF6831"/>
    <w:rsid w:val="00FF7A81"/>
    <w:rsid w:val="011676E8"/>
    <w:rsid w:val="012373BD"/>
    <w:rsid w:val="01282E00"/>
    <w:rsid w:val="013C7350"/>
    <w:rsid w:val="01402876"/>
    <w:rsid w:val="014F0603"/>
    <w:rsid w:val="01576C0F"/>
    <w:rsid w:val="0166112C"/>
    <w:rsid w:val="0168533B"/>
    <w:rsid w:val="016C5E46"/>
    <w:rsid w:val="01736CC8"/>
    <w:rsid w:val="0179635E"/>
    <w:rsid w:val="017E1FCB"/>
    <w:rsid w:val="01856AF4"/>
    <w:rsid w:val="019274C7"/>
    <w:rsid w:val="01B82622"/>
    <w:rsid w:val="01DA6FF7"/>
    <w:rsid w:val="01E57DF0"/>
    <w:rsid w:val="01EE3EB8"/>
    <w:rsid w:val="01F354A8"/>
    <w:rsid w:val="020340EF"/>
    <w:rsid w:val="0205381A"/>
    <w:rsid w:val="020B7E8B"/>
    <w:rsid w:val="021602A8"/>
    <w:rsid w:val="02207F3F"/>
    <w:rsid w:val="022A13B4"/>
    <w:rsid w:val="022E2144"/>
    <w:rsid w:val="0230314E"/>
    <w:rsid w:val="02531E12"/>
    <w:rsid w:val="026458C0"/>
    <w:rsid w:val="02677D1E"/>
    <w:rsid w:val="02733D9A"/>
    <w:rsid w:val="027B6E24"/>
    <w:rsid w:val="027D13A9"/>
    <w:rsid w:val="027D22BB"/>
    <w:rsid w:val="027F01E8"/>
    <w:rsid w:val="02906DC8"/>
    <w:rsid w:val="02A3216A"/>
    <w:rsid w:val="02A40C4C"/>
    <w:rsid w:val="02B0523E"/>
    <w:rsid w:val="02C31AB3"/>
    <w:rsid w:val="02C37B7C"/>
    <w:rsid w:val="02CC4702"/>
    <w:rsid w:val="02D342A3"/>
    <w:rsid w:val="02D727E3"/>
    <w:rsid w:val="02DD22F2"/>
    <w:rsid w:val="02E83A51"/>
    <w:rsid w:val="02EB7F4C"/>
    <w:rsid w:val="02FB692A"/>
    <w:rsid w:val="030141B9"/>
    <w:rsid w:val="030A3940"/>
    <w:rsid w:val="030B517C"/>
    <w:rsid w:val="031965F1"/>
    <w:rsid w:val="031A5D72"/>
    <w:rsid w:val="03214F3F"/>
    <w:rsid w:val="03241EFB"/>
    <w:rsid w:val="0329171E"/>
    <w:rsid w:val="032E6F34"/>
    <w:rsid w:val="03322F2B"/>
    <w:rsid w:val="03457411"/>
    <w:rsid w:val="03494028"/>
    <w:rsid w:val="035913E6"/>
    <w:rsid w:val="037C0D2B"/>
    <w:rsid w:val="037E38D7"/>
    <w:rsid w:val="037E6148"/>
    <w:rsid w:val="038D0428"/>
    <w:rsid w:val="039602EC"/>
    <w:rsid w:val="039B284C"/>
    <w:rsid w:val="03A64F19"/>
    <w:rsid w:val="03A90742"/>
    <w:rsid w:val="03B16564"/>
    <w:rsid w:val="03B47908"/>
    <w:rsid w:val="03B47955"/>
    <w:rsid w:val="03CC28C8"/>
    <w:rsid w:val="03DC6843"/>
    <w:rsid w:val="03E904EE"/>
    <w:rsid w:val="03F10118"/>
    <w:rsid w:val="03FF4825"/>
    <w:rsid w:val="040A5396"/>
    <w:rsid w:val="040C1FBB"/>
    <w:rsid w:val="04141921"/>
    <w:rsid w:val="04203145"/>
    <w:rsid w:val="04303AC5"/>
    <w:rsid w:val="043A3962"/>
    <w:rsid w:val="043D5B63"/>
    <w:rsid w:val="04556D42"/>
    <w:rsid w:val="046F542C"/>
    <w:rsid w:val="04724657"/>
    <w:rsid w:val="04830E68"/>
    <w:rsid w:val="04AE6490"/>
    <w:rsid w:val="04B07C12"/>
    <w:rsid w:val="04B91CE3"/>
    <w:rsid w:val="04BB5589"/>
    <w:rsid w:val="04D270CC"/>
    <w:rsid w:val="04D41971"/>
    <w:rsid w:val="04DC6D0B"/>
    <w:rsid w:val="04E23A3E"/>
    <w:rsid w:val="04F6723B"/>
    <w:rsid w:val="04F86728"/>
    <w:rsid w:val="05111A98"/>
    <w:rsid w:val="051F08B3"/>
    <w:rsid w:val="052A4287"/>
    <w:rsid w:val="05376C33"/>
    <w:rsid w:val="054108B6"/>
    <w:rsid w:val="05592595"/>
    <w:rsid w:val="05642D5F"/>
    <w:rsid w:val="05692820"/>
    <w:rsid w:val="056D094B"/>
    <w:rsid w:val="05936729"/>
    <w:rsid w:val="05943759"/>
    <w:rsid w:val="059E02B0"/>
    <w:rsid w:val="05AE7598"/>
    <w:rsid w:val="05B56619"/>
    <w:rsid w:val="05BB5E4D"/>
    <w:rsid w:val="05C06541"/>
    <w:rsid w:val="05C61008"/>
    <w:rsid w:val="05C642DD"/>
    <w:rsid w:val="05CF5A05"/>
    <w:rsid w:val="05D67DF8"/>
    <w:rsid w:val="05EB19C3"/>
    <w:rsid w:val="05F13176"/>
    <w:rsid w:val="05F23169"/>
    <w:rsid w:val="05F62E47"/>
    <w:rsid w:val="060913BC"/>
    <w:rsid w:val="060F157E"/>
    <w:rsid w:val="061C508F"/>
    <w:rsid w:val="062A2478"/>
    <w:rsid w:val="062C2ED7"/>
    <w:rsid w:val="064545A5"/>
    <w:rsid w:val="064571B4"/>
    <w:rsid w:val="06501C5B"/>
    <w:rsid w:val="06502DE8"/>
    <w:rsid w:val="06515A5D"/>
    <w:rsid w:val="065370D7"/>
    <w:rsid w:val="06576324"/>
    <w:rsid w:val="06664167"/>
    <w:rsid w:val="066854F6"/>
    <w:rsid w:val="066D47AC"/>
    <w:rsid w:val="06A736E1"/>
    <w:rsid w:val="06C01745"/>
    <w:rsid w:val="06C133E4"/>
    <w:rsid w:val="06D27BA7"/>
    <w:rsid w:val="06D73A5B"/>
    <w:rsid w:val="06DB75AB"/>
    <w:rsid w:val="06EB1606"/>
    <w:rsid w:val="06F71696"/>
    <w:rsid w:val="07113911"/>
    <w:rsid w:val="071C20F5"/>
    <w:rsid w:val="071E3214"/>
    <w:rsid w:val="07241A5C"/>
    <w:rsid w:val="0730462C"/>
    <w:rsid w:val="073D184C"/>
    <w:rsid w:val="07426B0C"/>
    <w:rsid w:val="07442682"/>
    <w:rsid w:val="075035EA"/>
    <w:rsid w:val="07522079"/>
    <w:rsid w:val="0758404E"/>
    <w:rsid w:val="07611A94"/>
    <w:rsid w:val="07643AD3"/>
    <w:rsid w:val="076978F8"/>
    <w:rsid w:val="077C377D"/>
    <w:rsid w:val="077D3282"/>
    <w:rsid w:val="077D5ACA"/>
    <w:rsid w:val="078C31AA"/>
    <w:rsid w:val="079A3393"/>
    <w:rsid w:val="07AC1397"/>
    <w:rsid w:val="07AC6B09"/>
    <w:rsid w:val="07AE4D7B"/>
    <w:rsid w:val="07B6013F"/>
    <w:rsid w:val="07B770FF"/>
    <w:rsid w:val="07C53100"/>
    <w:rsid w:val="07DC75B1"/>
    <w:rsid w:val="07E34BB4"/>
    <w:rsid w:val="07EE7734"/>
    <w:rsid w:val="07FB5E99"/>
    <w:rsid w:val="0801243A"/>
    <w:rsid w:val="08014EEA"/>
    <w:rsid w:val="08084112"/>
    <w:rsid w:val="080A7360"/>
    <w:rsid w:val="081C0218"/>
    <w:rsid w:val="081E6595"/>
    <w:rsid w:val="08241FB7"/>
    <w:rsid w:val="082E0ADE"/>
    <w:rsid w:val="082E1656"/>
    <w:rsid w:val="08341859"/>
    <w:rsid w:val="083A22C4"/>
    <w:rsid w:val="083A40B8"/>
    <w:rsid w:val="083D58E3"/>
    <w:rsid w:val="084D1CE8"/>
    <w:rsid w:val="08542A9F"/>
    <w:rsid w:val="08631E24"/>
    <w:rsid w:val="08842693"/>
    <w:rsid w:val="088667CA"/>
    <w:rsid w:val="088C7F4F"/>
    <w:rsid w:val="088D0A3B"/>
    <w:rsid w:val="089368A0"/>
    <w:rsid w:val="08A0650D"/>
    <w:rsid w:val="08B9257A"/>
    <w:rsid w:val="08CD2136"/>
    <w:rsid w:val="08D21A15"/>
    <w:rsid w:val="08D72589"/>
    <w:rsid w:val="08D75079"/>
    <w:rsid w:val="08E61B74"/>
    <w:rsid w:val="08EF1CA4"/>
    <w:rsid w:val="08F1638A"/>
    <w:rsid w:val="08F5079F"/>
    <w:rsid w:val="08F96803"/>
    <w:rsid w:val="09054008"/>
    <w:rsid w:val="093210BD"/>
    <w:rsid w:val="0953205E"/>
    <w:rsid w:val="095D2355"/>
    <w:rsid w:val="095D441F"/>
    <w:rsid w:val="095E1764"/>
    <w:rsid w:val="09656A69"/>
    <w:rsid w:val="096E2C51"/>
    <w:rsid w:val="0977744B"/>
    <w:rsid w:val="097A1ECD"/>
    <w:rsid w:val="097B16CB"/>
    <w:rsid w:val="097C57A6"/>
    <w:rsid w:val="098F72C9"/>
    <w:rsid w:val="09944F30"/>
    <w:rsid w:val="099C65C3"/>
    <w:rsid w:val="09A040BB"/>
    <w:rsid w:val="09A9389E"/>
    <w:rsid w:val="09B70AB3"/>
    <w:rsid w:val="09B8629F"/>
    <w:rsid w:val="09B87973"/>
    <w:rsid w:val="09D020F8"/>
    <w:rsid w:val="09E75B72"/>
    <w:rsid w:val="09EF5135"/>
    <w:rsid w:val="09F14E56"/>
    <w:rsid w:val="09F260C8"/>
    <w:rsid w:val="09F572B4"/>
    <w:rsid w:val="09FB5237"/>
    <w:rsid w:val="0A1232F5"/>
    <w:rsid w:val="0A1D355E"/>
    <w:rsid w:val="0A22642C"/>
    <w:rsid w:val="0A311978"/>
    <w:rsid w:val="0A467019"/>
    <w:rsid w:val="0A4923B3"/>
    <w:rsid w:val="0A58775A"/>
    <w:rsid w:val="0A6361E3"/>
    <w:rsid w:val="0A770F04"/>
    <w:rsid w:val="0A80709B"/>
    <w:rsid w:val="0A830AAE"/>
    <w:rsid w:val="0A8668FB"/>
    <w:rsid w:val="0A8C17A4"/>
    <w:rsid w:val="0A8E122D"/>
    <w:rsid w:val="0A9E5A4B"/>
    <w:rsid w:val="0ABF586E"/>
    <w:rsid w:val="0AE147C8"/>
    <w:rsid w:val="0AE55EB4"/>
    <w:rsid w:val="0AF60152"/>
    <w:rsid w:val="0AFA655B"/>
    <w:rsid w:val="0B1C03A6"/>
    <w:rsid w:val="0B1E7EFE"/>
    <w:rsid w:val="0B2224A1"/>
    <w:rsid w:val="0B28260F"/>
    <w:rsid w:val="0B2B7F86"/>
    <w:rsid w:val="0B3A1ADD"/>
    <w:rsid w:val="0B453D44"/>
    <w:rsid w:val="0B4976CA"/>
    <w:rsid w:val="0B4A75F1"/>
    <w:rsid w:val="0B50356C"/>
    <w:rsid w:val="0B5106A0"/>
    <w:rsid w:val="0B533F9D"/>
    <w:rsid w:val="0B58427A"/>
    <w:rsid w:val="0B5D7F07"/>
    <w:rsid w:val="0B693D9A"/>
    <w:rsid w:val="0B7D6477"/>
    <w:rsid w:val="0B7E0DED"/>
    <w:rsid w:val="0B8A6B6A"/>
    <w:rsid w:val="0B8E3EF0"/>
    <w:rsid w:val="0BBD6F5C"/>
    <w:rsid w:val="0BC477E6"/>
    <w:rsid w:val="0BD929E0"/>
    <w:rsid w:val="0BDE3593"/>
    <w:rsid w:val="0BEB536A"/>
    <w:rsid w:val="0BF05D57"/>
    <w:rsid w:val="0BF40387"/>
    <w:rsid w:val="0BF4357D"/>
    <w:rsid w:val="0BFF4927"/>
    <w:rsid w:val="0C014CF7"/>
    <w:rsid w:val="0C0153A6"/>
    <w:rsid w:val="0C093F0C"/>
    <w:rsid w:val="0C095239"/>
    <w:rsid w:val="0C0E5835"/>
    <w:rsid w:val="0C114AE8"/>
    <w:rsid w:val="0C2373B8"/>
    <w:rsid w:val="0C357CEC"/>
    <w:rsid w:val="0C427013"/>
    <w:rsid w:val="0C46232C"/>
    <w:rsid w:val="0C5504E2"/>
    <w:rsid w:val="0C75136C"/>
    <w:rsid w:val="0C7A1CF2"/>
    <w:rsid w:val="0C7D0398"/>
    <w:rsid w:val="0C857B1D"/>
    <w:rsid w:val="0C8A2087"/>
    <w:rsid w:val="0C997713"/>
    <w:rsid w:val="0CB80CE3"/>
    <w:rsid w:val="0CC23577"/>
    <w:rsid w:val="0CD07F31"/>
    <w:rsid w:val="0CDA1756"/>
    <w:rsid w:val="0CE12DD4"/>
    <w:rsid w:val="0CE4261C"/>
    <w:rsid w:val="0D0132EF"/>
    <w:rsid w:val="0D0669B7"/>
    <w:rsid w:val="0D0B3ABC"/>
    <w:rsid w:val="0D105DC3"/>
    <w:rsid w:val="0D191FF9"/>
    <w:rsid w:val="0D2A4899"/>
    <w:rsid w:val="0D2C7046"/>
    <w:rsid w:val="0D3562FB"/>
    <w:rsid w:val="0D46082B"/>
    <w:rsid w:val="0D512832"/>
    <w:rsid w:val="0D607F60"/>
    <w:rsid w:val="0D6604CB"/>
    <w:rsid w:val="0D7C7897"/>
    <w:rsid w:val="0D8237DB"/>
    <w:rsid w:val="0D825252"/>
    <w:rsid w:val="0DA06BC3"/>
    <w:rsid w:val="0DA85304"/>
    <w:rsid w:val="0DAC2DAE"/>
    <w:rsid w:val="0DBB41C3"/>
    <w:rsid w:val="0DC0472B"/>
    <w:rsid w:val="0DC35910"/>
    <w:rsid w:val="0DCB562D"/>
    <w:rsid w:val="0DD53786"/>
    <w:rsid w:val="0DEE7EFC"/>
    <w:rsid w:val="0E090E64"/>
    <w:rsid w:val="0E195C3D"/>
    <w:rsid w:val="0E1A232D"/>
    <w:rsid w:val="0E292CC6"/>
    <w:rsid w:val="0E2A4499"/>
    <w:rsid w:val="0E4C080A"/>
    <w:rsid w:val="0E625D96"/>
    <w:rsid w:val="0E654C36"/>
    <w:rsid w:val="0E67488B"/>
    <w:rsid w:val="0E6800E8"/>
    <w:rsid w:val="0E6D426E"/>
    <w:rsid w:val="0E711E2F"/>
    <w:rsid w:val="0E7E32D1"/>
    <w:rsid w:val="0E8162DC"/>
    <w:rsid w:val="0E831DEE"/>
    <w:rsid w:val="0E876FBE"/>
    <w:rsid w:val="0E9933EA"/>
    <w:rsid w:val="0E9A044F"/>
    <w:rsid w:val="0EA17440"/>
    <w:rsid w:val="0EA321A4"/>
    <w:rsid w:val="0EA343AA"/>
    <w:rsid w:val="0EA36943"/>
    <w:rsid w:val="0EA6254A"/>
    <w:rsid w:val="0EAE0FD2"/>
    <w:rsid w:val="0EAE7898"/>
    <w:rsid w:val="0EB72B3A"/>
    <w:rsid w:val="0EE16FF4"/>
    <w:rsid w:val="0EE3074D"/>
    <w:rsid w:val="0EF00D65"/>
    <w:rsid w:val="0EF65B84"/>
    <w:rsid w:val="0EFA1BE9"/>
    <w:rsid w:val="0F0B21CB"/>
    <w:rsid w:val="0F0B4A6F"/>
    <w:rsid w:val="0F0C1352"/>
    <w:rsid w:val="0F1005A1"/>
    <w:rsid w:val="0F266A92"/>
    <w:rsid w:val="0F2F2509"/>
    <w:rsid w:val="0F3A58C9"/>
    <w:rsid w:val="0F4C61D4"/>
    <w:rsid w:val="0F561A59"/>
    <w:rsid w:val="0F5B5924"/>
    <w:rsid w:val="0F6708C7"/>
    <w:rsid w:val="0F7314F0"/>
    <w:rsid w:val="0F75000B"/>
    <w:rsid w:val="0F813957"/>
    <w:rsid w:val="0F8A241A"/>
    <w:rsid w:val="0F90314B"/>
    <w:rsid w:val="0F915C25"/>
    <w:rsid w:val="0F9A3234"/>
    <w:rsid w:val="0FA90000"/>
    <w:rsid w:val="0FAD21BD"/>
    <w:rsid w:val="0FAD4BC2"/>
    <w:rsid w:val="0FB15FD2"/>
    <w:rsid w:val="0FCB7FC7"/>
    <w:rsid w:val="0FDF2BE2"/>
    <w:rsid w:val="0FE0514E"/>
    <w:rsid w:val="0FE34D7B"/>
    <w:rsid w:val="0FFE3064"/>
    <w:rsid w:val="10056E93"/>
    <w:rsid w:val="10095AEF"/>
    <w:rsid w:val="101257EE"/>
    <w:rsid w:val="1013709D"/>
    <w:rsid w:val="101435BC"/>
    <w:rsid w:val="102446BF"/>
    <w:rsid w:val="102450D7"/>
    <w:rsid w:val="102A7A9C"/>
    <w:rsid w:val="1030663C"/>
    <w:rsid w:val="104A73F4"/>
    <w:rsid w:val="10536D8C"/>
    <w:rsid w:val="1063321C"/>
    <w:rsid w:val="10660490"/>
    <w:rsid w:val="106A7394"/>
    <w:rsid w:val="107D16E3"/>
    <w:rsid w:val="10903339"/>
    <w:rsid w:val="109C642C"/>
    <w:rsid w:val="10A0610A"/>
    <w:rsid w:val="10A421D3"/>
    <w:rsid w:val="10B4134D"/>
    <w:rsid w:val="10CA65EA"/>
    <w:rsid w:val="10CB3900"/>
    <w:rsid w:val="10D02076"/>
    <w:rsid w:val="10E106A4"/>
    <w:rsid w:val="10E53A72"/>
    <w:rsid w:val="11111875"/>
    <w:rsid w:val="11136A01"/>
    <w:rsid w:val="111501FB"/>
    <w:rsid w:val="111A57F7"/>
    <w:rsid w:val="11221DD1"/>
    <w:rsid w:val="112D284F"/>
    <w:rsid w:val="113E1A87"/>
    <w:rsid w:val="114C3260"/>
    <w:rsid w:val="1152063A"/>
    <w:rsid w:val="11563EFC"/>
    <w:rsid w:val="115D1042"/>
    <w:rsid w:val="117E1D52"/>
    <w:rsid w:val="117F2268"/>
    <w:rsid w:val="119216A1"/>
    <w:rsid w:val="119D1658"/>
    <w:rsid w:val="11CC2B75"/>
    <w:rsid w:val="11E026B2"/>
    <w:rsid w:val="11F033B2"/>
    <w:rsid w:val="11FC041A"/>
    <w:rsid w:val="1207724A"/>
    <w:rsid w:val="120C3B8D"/>
    <w:rsid w:val="12141A7B"/>
    <w:rsid w:val="12340B48"/>
    <w:rsid w:val="12351DBD"/>
    <w:rsid w:val="124657AF"/>
    <w:rsid w:val="125326EB"/>
    <w:rsid w:val="12575A49"/>
    <w:rsid w:val="1258594D"/>
    <w:rsid w:val="125C557E"/>
    <w:rsid w:val="1271137A"/>
    <w:rsid w:val="128A14D1"/>
    <w:rsid w:val="128C05D6"/>
    <w:rsid w:val="128D78E1"/>
    <w:rsid w:val="129F6E57"/>
    <w:rsid w:val="12A937B0"/>
    <w:rsid w:val="12AF3355"/>
    <w:rsid w:val="12C53FA9"/>
    <w:rsid w:val="12C60A34"/>
    <w:rsid w:val="12CB3D5E"/>
    <w:rsid w:val="12CC6F88"/>
    <w:rsid w:val="12CE3A40"/>
    <w:rsid w:val="12E66C83"/>
    <w:rsid w:val="12EE12FE"/>
    <w:rsid w:val="12F03851"/>
    <w:rsid w:val="12FE2BED"/>
    <w:rsid w:val="13094143"/>
    <w:rsid w:val="130C4392"/>
    <w:rsid w:val="130F5F95"/>
    <w:rsid w:val="131A566E"/>
    <w:rsid w:val="133867B0"/>
    <w:rsid w:val="13456446"/>
    <w:rsid w:val="13461EEF"/>
    <w:rsid w:val="134A092D"/>
    <w:rsid w:val="13541348"/>
    <w:rsid w:val="13557837"/>
    <w:rsid w:val="135842D6"/>
    <w:rsid w:val="135A2BEB"/>
    <w:rsid w:val="135F0B74"/>
    <w:rsid w:val="13600CF8"/>
    <w:rsid w:val="13645A9A"/>
    <w:rsid w:val="136B685F"/>
    <w:rsid w:val="136F4CAD"/>
    <w:rsid w:val="139139A2"/>
    <w:rsid w:val="13A43BC6"/>
    <w:rsid w:val="13B05080"/>
    <w:rsid w:val="13B47E38"/>
    <w:rsid w:val="13C85A26"/>
    <w:rsid w:val="13CF386C"/>
    <w:rsid w:val="13D746DC"/>
    <w:rsid w:val="13E14AC2"/>
    <w:rsid w:val="13E20785"/>
    <w:rsid w:val="13E232AB"/>
    <w:rsid w:val="13E40950"/>
    <w:rsid w:val="13FF7B04"/>
    <w:rsid w:val="14000BC8"/>
    <w:rsid w:val="1402109C"/>
    <w:rsid w:val="14186CF0"/>
    <w:rsid w:val="1419787E"/>
    <w:rsid w:val="14237579"/>
    <w:rsid w:val="142C6171"/>
    <w:rsid w:val="143212C6"/>
    <w:rsid w:val="144338A1"/>
    <w:rsid w:val="14453D8C"/>
    <w:rsid w:val="14455C08"/>
    <w:rsid w:val="144D56CA"/>
    <w:rsid w:val="145A018E"/>
    <w:rsid w:val="145B340D"/>
    <w:rsid w:val="14731CA1"/>
    <w:rsid w:val="147C7C25"/>
    <w:rsid w:val="14810958"/>
    <w:rsid w:val="14886D2C"/>
    <w:rsid w:val="14921C2C"/>
    <w:rsid w:val="14951112"/>
    <w:rsid w:val="14985B31"/>
    <w:rsid w:val="14A85D23"/>
    <w:rsid w:val="14B06F9F"/>
    <w:rsid w:val="14B12247"/>
    <w:rsid w:val="14C17CD8"/>
    <w:rsid w:val="14CC48F1"/>
    <w:rsid w:val="14CD3244"/>
    <w:rsid w:val="14EE7097"/>
    <w:rsid w:val="14FE674D"/>
    <w:rsid w:val="15017AA6"/>
    <w:rsid w:val="15030F9D"/>
    <w:rsid w:val="150C3EAB"/>
    <w:rsid w:val="150E03D2"/>
    <w:rsid w:val="154B6658"/>
    <w:rsid w:val="154D6DF3"/>
    <w:rsid w:val="15590E29"/>
    <w:rsid w:val="157B1D91"/>
    <w:rsid w:val="15806116"/>
    <w:rsid w:val="15810EC7"/>
    <w:rsid w:val="15962231"/>
    <w:rsid w:val="159661ED"/>
    <w:rsid w:val="15AD0C00"/>
    <w:rsid w:val="15B06ECC"/>
    <w:rsid w:val="15B4713F"/>
    <w:rsid w:val="15B94029"/>
    <w:rsid w:val="15BA49AF"/>
    <w:rsid w:val="15BC7221"/>
    <w:rsid w:val="15BF3E2B"/>
    <w:rsid w:val="15E52489"/>
    <w:rsid w:val="15F05961"/>
    <w:rsid w:val="15F077B8"/>
    <w:rsid w:val="15F52644"/>
    <w:rsid w:val="15F647AB"/>
    <w:rsid w:val="15FC013D"/>
    <w:rsid w:val="15FD7EE2"/>
    <w:rsid w:val="16046446"/>
    <w:rsid w:val="160A2816"/>
    <w:rsid w:val="160B230F"/>
    <w:rsid w:val="16213804"/>
    <w:rsid w:val="16404452"/>
    <w:rsid w:val="164F0906"/>
    <w:rsid w:val="165371F1"/>
    <w:rsid w:val="16546C6F"/>
    <w:rsid w:val="1659323E"/>
    <w:rsid w:val="1659694E"/>
    <w:rsid w:val="166D28AE"/>
    <w:rsid w:val="16742421"/>
    <w:rsid w:val="167C3A27"/>
    <w:rsid w:val="168D0BB3"/>
    <w:rsid w:val="16945C60"/>
    <w:rsid w:val="169B20E7"/>
    <w:rsid w:val="16A15FA3"/>
    <w:rsid w:val="16A317A4"/>
    <w:rsid w:val="16C233C0"/>
    <w:rsid w:val="16C937CA"/>
    <w:rsid w:val="16CE67E5"/>
    <w:rsid w:val="16CF5840"/>
    <w:rsid w:val="16D231F8"/>
    <w:rsid w:val="16D372D3"/>
    <w:rsid w:val="16D52901"/>
    <w:rsid w:val="16D84BE3"/>
    <w:rsid w:val="16D968A7"/>
    <w:rsid w:val="16DC5FA9"/>
    <w:rsid w:val="16E94287"/>
    <w:rsid w:val="16EC6968"/>
    <w:rsid w:val="16EE4B03"/>
    <w:rsid w:val="16F4595A"/>
    <w:rsid w:val="16FD548F"/>
    <w:rsid w:val="1709393B"/>
    <w:rsid w:val="170E0F86"/>
    <w:rsid w:val="17131949"/>
    <w:rsid w:val="1713318A"/>
    <w:rsid w:val="171A3910"/>
    <w:rsid w:val="171E3AC0"/>
    <w:rsid w:val="17246599"/>
    <w:rsid w:val="17250E16"/>
    <w:rsid w:val="17255ED4"/>
    <w:rsid w:val="17342751"/>
    <w:rsid w:val="17492D11"/>
    <w:rsid w:val="174B299A"/>
    <w:rsid w:val="174B54C9"/>
    <w:rsid w:val="175106FB"/>
    <w:rsid w:val="17541862"/>
    <w:rsid w:val="17626821"/>
    <w:rsid w:val="17811EB0"/>
    <w:rsid w:val="17982A79"/>
    <w:rsid w:val="17A24A49"/>
    <w:rsid w:val="17A94B1F"/>
    <w:rsid w:val="17B039FE"/>
    <w:rsid w:val="17B10E55"/>
    <w:rsid w:val="17BD71A9"/>
    <w:rsid w:val="17D15D3F"/>
    <w:rsid w:val="17DB3A84"/>
    <w:rsid w:val="17F23997"/>
    <w:rsid w:val="17F433EC"/>
    <w:rsid w:val="18032DD0"/>
    <w:rsid w:val="180C05E9"/>
    <w:rsid w:val="180D18AF"/>
    <w:rsid w:val="180E3F90"/>
    <w:rsid w:val="1818082E"/>
    <w:rsid w:val="181F576C"/>
    <w:rsid w:val="1821568A"/>
    <w:rsid w:val="183101F1"/>
    <w:rsid w:val="18347EC7"/>
    <w:rsid w:val="183619B0"/>
    <w:rsid w:val="18377A4E"/>
    <w:rsid w:val="18392906"/>
    <w:rsid w:val="184C1D78"/>
    <w:rsid w:val="185A3AD7"/>
    <w:rsid w:val="18610E24"/>
    <w:rsid w:val="18900CD3"/>
    <w:rsid w:val="189762F0"/>
    <w:rsid w:val="18AB605C"/>
    <w:rsid w:val="18BB1CCD"/>
    <w:rsid w:val="18C44520"/>
    <w:rsid w:val="18CB418A"/>
    <w:rsid w:val="18D24FB4"/>
    <w:rsid w:val="18D62EC5"/>
    <w:rsid w:val="18DC2353"/>
    <w:rsid w:val="18F61913"/>
    <w:rsid w:val="18FF662F"/>
    <w:rsid w:val="19071205"/>
    <w:rsid w:val="191806AC"/>
    <w:rsid w:val="19254C81"/>
    <w:rsid w:val="1927183B"/>
    <w:rsid w:val="193730D4"/>
    <w:rsid w:val="193B7507"/>
    <w:rsid w:val="193C7BCD"/>
    <w:rsid w:val="19425222"/>
    <w:rsid w:val="194D7252"/>
    <w:rsid w:val="19616CEA"/>
    <w:rsid w:val="19784368"/>
    <w:rsid w:val="19943F97"/>
    <w:rsid w:val="199C3CE6"/>
    <w:rsid w:val="19A47BDD"/>
    <w:rsid w:val="19B016C2"/>
    <w:rsid w:val="19C66055"/>
    <w:rsid w:val="19D940FC"/>
    <w:rsid w:val="19E13E92"/>
    <w:rsid w:val="19EA08C0"/>
    <w:rsid w:val="19FD6DA6"/>
    <w:rsid w:val="1A0E0DEB"/>
    <w:rsid w:val="1A1D3136"/>
    <w:rsid w:val="1A2D688A"/>
    <w:rsid w:val="1A4301DC"/>
    <w:rsid w:val="1A430D15"/>
    <w:rsid w:val="1A432C4C"/>
    <w:rsid w:val="1A4A3D21"/>
    <w:rsid w:val="1A4C26E7"/>
    <w:rsid w:val="1A640772"/>
    <w:rsid w:val="1A6B547C"/>
    <w:rsid w:val="1A7060B8"/>
    <w:rsid w:val="1A825E12"/>
    <w:rsid w:val="1A90274A"/>
    <w:rsid w:val="1A9367A0"/>
    <w:rsid w:val="1A99230A"/>
    <w:rsid w:val="1AA46589"/>
    <w:rsid w:val="1AAF5366"/>
    <w:rsid w:val="1AB339D7"/>
    <w:rsid w:val="1AB41DA8"/>
    <w:rsid w:val="1AB84C3A"/>
    <w:rsid w:val="1ABE031D"/>
    <w:rsid w:val="1AC56DA7"/>
    <w:rsid w:val="1ACC3362"/>
    <w:rsid w:val="1ACF3DC3"/>
    <w:rsid w:val="1AD20B3D"/>
    <w:rsid w:val="1ADC4F46"/>
    <w:rsid w:val="1AE953F2"/>
    <w:rsid w:val="1AF15442"/>
    <w:rsid w:val="1AF57EC6"/>
    <w:rsid w:val="1AFE3531"/>
    <w:rsid w:val="1B000D4C"/>
    <w:rsid w:val="1B106371"/>
    <w:rsid w:val="1B1B46B0"/>
    <w:rsid w:val="1B1D0F61"/>
    <w:rsid w:val="1B2250DE"/>
    <w:rsid w:val="1B3C607F"/>
    <w:rsid w:val="1B432958"/>
    <w:rsid w:val="1B4B016D"/>
    <w:rsid w:val="1B5879E1"/>
    <w:rsid w:val="1B5A7B44"/>
    <w:rsid w:val="1B6004C7"/>
    <w:rsid w:val="1B707459"/>
    <w:rsid w:val="1B7105D7"/>
    <w:rsid w:val="1B77643D"/>
    <w:rsid w:val="1B935077"/>
    <w:rsid w:val="1BA42A67"/>
    <w:rsid w:val="1BBC67A1"/>
    <w:rsid w:val="1BBD71E5"/>
    <w:rsid w:val="1BC07918"/>
    <w:rsid w:val="1BC35D72"/>
    <w:rsid w:val="1BCB5250"/>
    <w:rsid w:val="1BD15A74"/>
    <w:rsid w:val="1BDE210C"/>
    <w:rsid w:val="1BDF2770"/>
    <w:rsid w:val="1BDF7E78"/>
    <w:rsid w:val="1BE73F7D"/>
    <w:rsid w:val="1C00395A"/>
    <w:rsid w:val="1C011D69"/>
    <w:rsid w:val="1C0639F0"/>
    <w:rsid w:val="1C0C552D"/>
    <w:rsid w:val="1C0D7155"/>
    <w:rsid w:val="1C1A5845"/>
    <w:rsid w:val="1C226539"/>
    <w:rsid w:val="1C295BB7"/>
    <w:rsid w:val="1C303DCB"/>
    <w:rsid w:val="1C353E79"/>
    <w:rsid w:val="1C365AF0"/>
    <w:rsid w:val="1C437C5B"/>
    <w:rsid w:val="1C4875EA"/>
    <w:rsid w:val="1C4A17CE"/>
    <w:rsid w:val="1C4A24E5"/>
    <w:rsid w:val="1C4E2640"/>
    <w:rsid w:val="1C580736"/>
    <w:rsid w:val="1C5B352F"/>
    <w:rsid w:val="1C5B55F8"/>
    <w:rsid w:val="1C5C3252"/>
    <w:rsid w:val="1C5D4DAB"/>
    <w:rsid w:val="1C7131A0"/>
    <w:rsid w:val="1C721733"/>
    <w:rsid w:val="1C7578EC"/>
    <w:rsid w:val="1C8535FC"/>
    <w:rsid w:val="1C8A7DC2"/>
    <w:rsid w:val="1C9B0C95"/>
    <w:rsid w:val="1CA30372"/>
    <w:rsid w:val="1CA430FD"/>
    <w:rsid w:val="1CB608F4"/>
    <w:rsid w:val="1CB87114"/>
    <w:rsid w:val="1CB958A2"/>
    <w:rsid w:val="1CC10D9D"/>
    <w:rsid w:val="1CC50D81"/>
    <w:rsid w:val="1CC83F41"/>
    <w:rsid w:val="1CCB5955"/>
    <w:rsid w:val="1CCE66A5"/>
    <w:rsid w:val="1CD5246D"/>
    <w:rsid w:val="1CDC5519"/>
    <w:rsid w:val="1D096531"/>
    <w:rsid w:val="1D1304B1"/>
    <w:rsid w:val="1D137327"/>
    <w:rsid w:val="1D1415D3"/>
    <w:rsid w:val="1D1A6D20"/>
    <w:rsid w:val="1D252D31"/>
    <w:rsid w:val="1D282636"/>
    <w:rsid w:val="1D294914"/>
    <w:rsid w:val="1D380BF9"/>
    <w:rsid w:val="1D420570"/>
    <w:rsid w:val="1D5947B8"/>
    <w:rsid w:val="1D6152B3"/>
    <w:rsid w:val="1D615F4B"/>
    <w:rsid w:val="1D6171E4"/>
    <w:rsid w:val="1D626500"/>
    <w:rsid w:val="1D683BF1"/>
    <w:rsid w:val="1D733833"/>
    <w:rsid w:val="1D770D7A"/>
    <w:rsid w:val="1D7A25B7"/>
    <w:rsid w:val="1D897BA6"/>
    <w:rsid w:val="1D8F1DE4"/>
    <w:rsid w:val="1DA17B6B"/>
    <w:rsid w:val="1DA57775"/>
    <w:rsid w:val="1DAF0A84"/>
    <w:rsid w:val="1DBA2A5A"/>
    <w:rsid w:val="1DC35A86"/>
    <w:rsid w:val="1DC45461"/>
    <w:rsid w:val="1DCC3E78"/>
    <w:rsid w:val="1DE055FC"/>
    <w:rsid w:val="1DEC271B"/>
    <w:rsid w:val="1DEC4AFC"/>
    <w:rsid w:val="1DFB222B"/>
    <w:rsid w:val="1E034E77"/>
    <w:rsid w:val="1E05034A"/>
    <w:rsid w:val="1E285F81"/>
    <w:rsid w:val="1E3607E1"/>
    <w:rsid w:val="1E3A3D05"/>
    <w:rsid w:val="1E3C7BBE"/>
    <w:rsid w:val="1E523FC2"/>
    <w:rsid w:val="1E56288F"/>
    <w:rsid w:val="1E575702"/>
    <w:rsid w:val="1E637CF9"/>
    <w:rsid w:val="1E666CA3"/>
    <w:rsid w:val="1E706B21"/>
    <w:rsid w:val="1E7422E6"/>
    <w:rsid w:val="1E7741AE"/>
    <w:rsid w:val="1E7A7D16"/>
    <w:rsid w:val="1E887EE8"/>
    <w:rsid w:val="1E8F6BEA"/>
    <w:rsid w:val="1E912C8B"/>
    <w:rsid w:val="1E917F05"/>
    <w:rsid w:val="1E9413F3"/>
    <w:rsid w:val="1E9D3C72"/>
    <w:rsid w:val="1E9D43A9"/>
    <w:rsid w:val="1EB943FC"/>
    <w:rsid w:val="1EC0533E"/>
    <w:rsid w:val="1EC055DD"/>
    <w:rsid w:val="1EC47749"/>
    <w:rsid w:val="1ECF6D32"/>
    <w:rsid w:val="1ED37756"/>
    <w:rsid w:val="1EE30D9E"/>
    <w:rsid w:val="1EFF32A1"/>
    <w:rsid w:val="1F050A14"/>
    <w:rsid w:val="1F107879"/>
    <w:rsid w:val="1F197E8A"/>
    <w:rsid w:val="1F20619C"/>
    <w:rsid w:val="1F2630FE"/>
    <w:rsid w:val="1F264ABC"/>
    <w:rsid w:val="1F2A2CE2"/>
    <w:rsid w:val="1F2E136A"/>
    <w:rsid w:val="1F3B2F70"/>
    <w:rsid w:val="1F536C78"/>
    <w:rsid w:val="1F5629F9"/>
    <w:rsid w:val="1F82535E"/>
    <w:rsid w:val="1F8518EF"/>
    <w:rsid w:val="1F8E6A65"/>
    <w:rsid w:val="1F973759"/>
    <w:rsid w:val="1FAF51AF"/>
    <w:rsid w:val="1FB04DB6"/>
    <w:rsid w:val="1FBA6F24"/>
    <w:rsid w:val="1FC274B8"/>
    <w:rsid w:val="1FC70C57"/>
    <w:rsid w:val="1FCA4F8D"/>
    <w:rsid w:val="1FCB086E"/>
    <w:rsid w:val="1FD35DDB"/>
    <w:rsid w:val="1FDD5217"/>
    <w:rsid w:val="1FDE6C6E"/>
    <w:rsid w:val="1FEF2F73"/>
    <w:rsid w:val="1FF15DD9"/>
    <w:rsid w:val="1FF365C5"/>
    <w:rsid w:val="1FF93288"/>
    <w:rsid w:val="1FF96D50"/>
    <w:rsid w:val="200572C4"/>
    <w:rsid w:val="200F7075"/>
    <w:rsid w:val="201060D4"/>
    <w:rsid w:val="2013205F"/>
    <w:rsid w:val="20150FE6"/>
    <w:rsid w:val="201917E6"/>
    <w:rsid w:val="20214242"/>
    <w:rsid w:val="20292C07"/>
    <w:rsid w:val="20314E66"/>
    <w:rsid w:val="20332433"/>
    <w:rsid w:val="2034250D"/>
    <w:rsid w:val="2042732B"/>
    <w:rsid w:val="204623DC"/>
    <w:rsid w:val="204C5204"/>
    <w:rsid w:val="204D7ED7"/>
    <w:rsid w:val="20525DCF"/>
    <w:rsid w:val="205C66C9"/>
    <w:rsid w:val="20722022"/>
    <w:rsid w:val="207C50A3"/>
    <w:rsid w:val="209B2601"/>
    <w:rsid w:val="20A54A0E"/>
    <w:rsid w:val="20B26A8D"/>
    <w:rsid w:val="20C54443"/>
    <w:rsid w:val="20C75F83"/>
    <w:rsid w:val="20CA127D"/>
    <w:rsid w:val="20CC6F4D"/>
    <w:rsid w:val="20CF62FF"/>
    <w:rsid w:val="20D47721"/>
    <w:rsid w:val="20D55213"/>
    <w:rsid w:val="20E91406"/>
    <w:rsid w:val="21037449"/>
    <w:rsid w:val="21194B5C"/>
    <w:rsid w:val="212E3A6C"/>
    <w:rsid w:val="214305DC"/>
    <w:rsid w:val="214E273F"/>
    <w:rsid w:val="216440FC"/>
    <w:rsid w:val="21737F67"/>
    <w:rsid w:val="217C1B82"/>
    <w:rsid w:val="21895452"/>
    <w:rsid w:val="218E36B3"/>
    <w:rsid w:val="21BD5340"/>
    <w:rsid w:val="21C7612F"/>
    <w:rsid w:val="21CF671B"/>
    <w:rsid w:val="21D56BC4"/>
    <w:rsid w:val="21D95C93"/>
    <w:rsid w:val="21DE3F43"/>
    <w:rsid w:val="21E31A0E"/>
    <w:rsid w:val="21E82410"/>
    <w:rsid w:val="21EE2435"/>
    <w:rsid w:val="21F709FA"/>
    <w:rsid w:val="21F71F89"/>
    <w:rsid w:val="21F91E25"/>
    <w:rsid w:val="21FF6C65"/>
    <w:rsid w:val="22001667"/>
    <w:rsid w:val="220F0374"/>
    <w:rsid w:val="221F2D8A"/>
    <w:rsid w:val="2221684C"/>
    <w:rsid w:val="222B34E7"/>
    <w:rsid w:val="22407F62"/>
    <w:rsid w:val="22577224"/>
    <w:rsid w:val="22605168"/>
    <w:rsid w:val="22606D1F"/>
    <w:rsid w:val="22635770"/>
    <w:rsid w:val="226D6700"/>
    <w:rsid w:val="226E6446"/>
    <w:rsid w:val="227E2C6E"/>
    <w:rsid w:val="22A70BE2"/>
    <w:rsid w:val="22B90876"/>
    <w:rsid w:val="22BF1E4A"/>
    <w:rsid w:val="22C742D2"/>
    <w:rsid w:val="22C76048"/>
    <w:rsid w:val="22CE0028"/>
    <w:rsid w:val="22D96F3A"/>
    <w:rsid w:val="22ED2358"/>
    <w:rsid w:val="22ED5D9B"/>
    <w:rsid w:val="22F42F07"/>
    <w:rsid w:val="23083047"/>
    <w:rsid w:val="230B6DA2"/>
    <w:rsid w:val="23202CCE"/>
    <w:rsid w:val="232302A7"/>
    <w:rsid w:val="232A0B84"/>
    <w:rsid w:val="234F3621"/>
    <w:rsid w:val="2361595F"/>
    <w:rsid w:val="2372631B"/>
    <w:rsid w:val="237D444C"/>
    <w:rsid w:val="238B4A36"/>
    <w:rsid w:val="2393342A"/>
    <w:rsid w:val="23995F61"/>
    <w:rsid w:val="239F3EFF"/>
    <w:rsid w:val="23B0061D"/>
    <w:rsid w:val="23D82567"/>
    <w:rsid w:val="23DB4532"/>
    <w:rsid w:val="23DD1EB4"/>
    <w:rsid w:val="23DF2622"/>
    <w:rsid w:val="24034B20"/>
    <w:rsid w:val="24111A5D"/>
    <w:rsid w:val="24156070"/>
    <w:rsid w:val="241E215A"/>
    <w:rsid w:val="2434660C"/>
    <w:rsid w:val="243D264B"/>
    <w:rsid w:val="24436AB8"/>
    <w:rsid w:val="24485FB6"/>
    <w:rsid w:val="24545DDD"/>
    <w:rsid w:val="246B5A13"/>
    <w:rsid w:val="246F762D"/>
    <w:rsid w:val="2478495E"/>
    <w:rsid w:val="247B0930"/>
    <w:rsid w:val="2481619E"/>
    <w:rsid w:val="248D152A"/>
    <w:rsid w:val="248E76C6"/>
    <w:rsid w:val="24914621"/>
    <w:rsid w:val="249A1C63"/>
    <w:rsid w:val="24A163E9"/>
    <w:rsid w:val="24A221BF"/>
    <w:rsid w:val="24B3578B"/>
    <w:rsid w:val="24B74AC0"/>
    <w:rsid w:val="24BF186D"/>
    <w:rsid w:val="24C013E1"/>
    <w:rsid w:val="24CB29A1"/>
    <w:rsid w:val="24D02B3E"/>
    <w:rsid w:val="24DD4564"/>
    <w:rsid w:val="24EB2F34"/>
    <w:rsid w:val="24F30896"/>
    <w:rsid w:val="24FE19B5"/>
    <w:rsid w:val="251366D2"/>
    <w:rsid w:val="25164C9B"/>
    <w:rsid w:val="25171882"/>
    <w:rsid w:val="25180781"/>
    <w:rsid w:val="251C039A"/>
    <w:rsid w:val="25215ED3"/>
    <w:rsid w:val="25232475"/>
    <w:rsid w:val="25342A54"/>
    <w:rsid w:val="25366AE5"/>
    <w:rsid w:val="254D65BF"/>
    <w:rsid w:val="254F3FC7"/>
    <w:rsid w:val="255100CE"/>
    <w:rsid w:val="25641658"/>
    <w:rsid w:val="256C73AD"/>
    <w:rsid w:val="257F0B43"/>
    <w:rsid w:val="258271BE"/>
    <w:rsid w:val="2593734D"/>
    <w:rsid w:val="25A64DFF"/>
    <w:rsid w:val="25B91670"/>
    <w:rsid w:val="25C24F32"/>
    <w:rsid w:val="25C655B0"/>
    <w:rsid w:val="25D01716"/>
    <w:rsid w:val="25DF7CB0"/>
    <w:rsid w:val="25E456BC"/>
    <w:rsid w:val="25E46379"/>
    <w:rsid w:val="25E80B0B"/>
    <w:rsid w:val="25EB24F5"/>
    <w:rsid w:val="25F41717"/>
    <w:rsid w:val="25FA4192"/>
    <w:rsid w:val="26120E6A"/>
    <w:rsid w:val="26154E01"/>
    <w:rsid w:val="262010AE"/>
    <w:rsid w:val="26217D3A"/>
    <w:rsid w:val="265755EA"/>
    <w:rsid w:val="26620974"/>
    <w:rsid w:val="267F0990"/>
    <w:rsid w:val="268865D5"/>
    <w:rsid w:val="268C7352"/>
    <w:rsid w:val="268D6504"/>
    <w:rsid w:val="269030A9"/>
    <w:rsid w:val="26A63CAE"/>
    <w:rsid w:val="26A81D28"/>
    <w:rsid w:val="26A82156"/>
    <w:rsid w:val="26A970CF"/>
    <w:rsid w:val="26D44D36"/>
    <w:rsid w:val="27090CF3"/>
    <w:rsid w:val="27300B48"/>
    <w:rsid w:val="27354AA4"/>
    <w:rsid w:val="27362BA2"/>
    <w:rsid w:val="273B44FE"/>
    <w:rsid w:val="274378CA"/>
    <w:rsid w:val="27497868"/>
    <w:rsid w:val="275048E5"/>
    <w:rsid w:val="27536465"/>
    <w:rsid w:val="27553FBA"/>
    <w:rsid w:val="275669C1"/>
    <w:rsid w:val="27582A13"/>
    <w:rsid w:val="27590FE1"/>
    <w:rsid w:val="275A1EC5"/>
    <w:rsid w:val="275F38B8"/>
    <w:rsid w:val="276A437E"/>
    <w:rsid w:val="276F2E48"/>
    <w:rsid w:val="27921A92"/>
    <w:rsid w:val="279F2853"/>
    <w:rsid w:val="27AB0F58"/>
    <w:rsid w:val="27DA0D77"/>
    <w:rsid w:val="27FF04CA"/>
    <w:rsid w:val="28003B10"/>
    <w:rsid w:val="28037DEA"/>
    <w:rsid w:val="28181AC1"/>
    <w:rsid w:val="28192955"/>
    <w:rsid w:val="2827321D"/>
    <w:rsid w:val="2830453F"/>
    <w:rsid w:val="283540CA"/>
    <w:rsid w:val="283D5A5B"/>
    <w:rsid w:val="286D75BB"/>
    <w:rsid w:val="287D39B5"/>
    <w:rsid w:val="288102A4"/>
    <w:rsid w:val="28865BAC"/>
    <w:rsid w:val="289A49B2"/>
    <w:rsid w:val="289F7A82"/>
    <w:rsid w:val="28B65368"/>
    <w:rsid w:val="28BA55C7"/>
    <w:rsid w:val="28D35AB0"/>
    <w:rsid w:val="28E14643"/>
    <w:rsid w:val="28EB14B9"/>
    <w:rsid w:val="28F23C1C"/>
    <w:rsid w:val="28F40646"/>
    <w:rsid w:val="29067F95"/>
    <w:rsid w:val="29110485"/>
    <w:rsid w:val="29112D3F"/>
    <w:rsid w:val="291541D0"/>
    <w:rsid w:val="29193E66"/>
    <w:rsid w:val="291F1684"/>
    <w:rsid w:val="29286154"/>
    <w:rsid w:val="2941792A"/>
    <w:rsid w:val="294A6901"/>
    <w:rsid w:val="29691AFA"/>
    <w:rsid w:val="296C3095"/>
    <w:rsid w:val="297E728B"/>
    <w:rsid w:val="297F5269"/>
    <w:rsid w:val="298370CA"/>
    <w:rsid w:val="298538E1"/>
    <w:rsid w:val="29936BD9"/>
    <w:rsid w:val="299565F5"/>
    <w:rsid w:val="29B93A83"/>
    <w:rsid w:val="29BF4DF2"/>
    <w:rsid w:val="29CB3579"/>
    <w:rsid w:val="29CF2D1C"/>
    <w:rsid w:val="29D46C48"/>
    <w:rsid w:val="29D84782"/>
    <w:rsid w:val="29DA7C43"/>
    <w:rsid w:val="29E747B6"/>
    <w:rsid w:val="29F31F25"/>
    <w:rsid w:val="2A2B44CE"/>
    <w:rsid w:val="2A2B51AD"/>
    <w:rsid w:val="2A443B46"/>
    <w:rsid w:val="2A563812"/>
    <w:rsid w:val="2A5A6F0F"/>
    <w:rsid w:val="2A643CDC"/>
    <w:rsid w:val="2A6A0706"/>
    <w:rsid w:val="2A6B338D"/>
    <w:rsid w:val="2A6F4946"/>
    <w:rsid w:val="2A71037E"/>
    <w:rsid w:val="2A762EEF"/>
    <w:rsid w:val="2A7D2244"/>
    <w:rsid w:val="2A8F1A27"/>
    <w:rsid w:val="2A8F3288"/>
    <w:rsid w:val="2A974E4A"/>
    <w:rsid w:val="2AB75E70"/>
    <w:rsid w:val="2AD053C9"/>
    <w:rsid w:val="2AD84691"/>
    <w:rsid w:val="2B1F1A27"/>
    <w:rsid w:val="2B2657C5"/>
    <w:rsid w:val="2B2D3F38"/>
    <w:rsid w:val="2B3640BA"/>
    <w:rsid w:val="2B364D9C"/>
    <w:rsid w:val="2B425DC6"/>
    <w:rsid w:val="2B6C4A72"/>
    <w:rsid w:val="2B6F481F"/>
    <w:rsid w:val="2B85722F"/>
    <w:rsid w:val="2B8B6700"/>
    <w:rsid w:val="2BA420C9"/>
    <w:rsid w:val="2BA828D3"/>
    <w:rsid w:val="2BAA42CD"/>
    <w:rsid w:val="2BBA6190"/>
    <w:rsid w:val="2BCA5ED5"/>
    <w:rsid w:val="2BCA6734"/>
    <w:rsid w:val="2BE10417"/>
    <w:rsid w:val="2BE705EC"/>
    <w:rsid w:val="2BF87127"/>
    <w:rsid w:val="2C094CEF"/>
    <w:rsid w:val="2C187BF8"/>
    <w:rsid w:val="2C2655D7"/>
    <w:rsid w:val="2C2A2A7C"/>
    <w:rsid w:val="2C465F77"/>
    <w:rsid w:val="2C52761B"/>
    <w:rsid w:val="2C5F3E3D"/>
    <w:rsid w:val="2C631105"/>
    <w:rsid w:val="2C6A7833"/>
    <w:rsid w:val="2C780854"/>
    <w:rsid w:val="2C7815DB"/>
    <w:rsid w:val="2C7A6009"/>
    <w:rsid w:val="2C8679AA"/>
    <w:rsid w:val="2C8B6033"/>
    <w:rsid w:val="2C9172C8"/>
    <w:rsid w:val="2CA074DB"/>
    <w:rsid w:val="2CA42C3F"/>
    <w:rsid w:val="2CB7001A"/>
    <w:rsid w:val="2CB757AA"/>
    <w:rsid w:val="2CB81C48"/>
    <w:rsid w:val="2CC222DA"/>
    <w:rsid w:val="2CC55382"/>
    <w:rsid w:val="2CFF7459"/>
    <w:rsid w:val="2D0119D9"/>
    <w:rsid w:val="2D0455CA"/>
    <w:rsid w:val="2D0A23B6"/>
    <w:rsid w:val="2D0D00AE"/>
    <w:rsid w:val="2D0F144C"/>
    <w:rsid w:val="2D11148A"/>
    <w:rsid w:val="2D11591B"/>
    <w:rsid w:val="2D1637FA"/>
    <w:rsid w:val="2D284261"/>
    <w:rsid w:val="2D30035B"/>
    <w:rsid w:val="2D315C55"/>
    <w:rsid w:val="2D4367A7"/>
    <w:rsid w:val="2D5071AE"/>
    <w:rsid w:val="2D5741BF"/>
    <w:rsid w:val="2D617317"/>
    <w:rsid w:val="2D623EF2"/>
    <w:rsid w:val="2D707AC9"/>
    <w:rsid w:val="2D7D7B45"/>
    <w:rsid w:val="2D8A7781"/>
    <w:rsid w:val="2D9D6CE5"/>
    <w:rsid w:val="2DA64776"/>
    <w:rsid w:val="2DA9773A"/>
    <w:rsid w:val="2DAA09D0"/>
    <w:rsid w:val="2DAA1A44"/>
    <w:rsid w:val="2DAC5693"/>
    <w:rsid w:val="2DBE0BF9"/>
    <w:rsid w:val="2DC4766F"/>
    <w:rsid w:val="2DC80957"/>
    <w:rsid w:val="2DCC77BF"/>
    <w:rsid w:val="2DE97B55"/>
    <w:rsid w:val="2DF87D97"/>
    <w:rsid w:val="2E0D528C"/>
    <w:rsid w:val="2E10382D"/>
    <w:rsid w:val="2E194054"/>
    <w:rsid w:val="2E3F276F"/>
    <w:rsid w:val="2E4350D8"/>
    <w:rsid w:val="2E494899"/>
    <w:rsid w:val="2E5059E7"/>
    <w:rsid w:val="2E57577B"/>
    <w:rsid w:val="2E597D71"/>
    <w:rsid w:val="2E5D7E7C"/>
    <w:rsid w:val="2E682014"/>
    <w:rsid w:val="2E6D47CE"/>
    <w:rsid w:val="2E7D418F"/>
    <w:rsid w:val="2E8077DF"/>
    <w:rsid w:val="2EA811BA"/>
    <w:rsid w:val="2EBA49D4"/>
    <w:rsid w:val="2EBB63F1"/>
    <w:rsid w:val="2EBE7D75"/>
    <w:rsid w:val="2EC96848"/>
    <w:rsid w:val="2ECA29AE"/>
    <w:rsid w:val="2ECC04C7"/>
    <w:rsid w:val="2ED24C32"/>
    <w:rsid w:val="2EEA028D"/>
    <w:rsid w:val="2EEA1BDE"/>
    <w:rsid w:val="2EEC673C"/>
    <w:rsid w:val="2EF55695"/>
    <w:rsid w:val="2EF82264"/>
    <w:rsid w:val="2F1223C5"/>
    <w:rsid w:val="2F17484F"/>
    <w:rsid w:val="2F1C027D"/>
    <w:rsid w:val="2F1E389F"/>
    <w:rsid w:val="2F2F68EA"/>
    <w:rsid w:val="2F325F3F"/>
    <w:rsid w:val="2F347CC1"/>
    <w:rsid w:val="2F370240"/>
    <w:rsid w:val="2F3C3482"/>
    <w:rsid w:val="2F405567"/>
    <w:rsid w:val="2F654D78"/>
    <w:rsid w:val="2F7E331B"/>
    <w:rsid w:val="2FAC3637"/>
    <w:rsid w:val="2FB775E0"/>
    <w:rsid w:val="2FC16044"/>
    <w:rsid w:val="2FD83F92"/>
    <w:rsid w:val="2FE20CC2"/>
    <w:rsid w:val="2FE85C33"/>
    <w:rsid w:val="2FEA75C2"/>
    <w:rsid w:val="2FFC6819"/>
    <w:rsid w:val="300024E6"/>
    <w:rsid w:val="30071337"/>
    <w:rsid w:val="302628F1"/>
    <w:rsid w:val="3026722D"/>
    <w:rsid w:val="30306F0B"/>
    <w:rsid w:val="30405576"/>
    <w:rsid w:val="3042005D"/>
    <w:rsid w:val="30442214"/>
    <w:rsid w:val="305608D2"/>
    <w:rsid w:val="30563384"/>
    <w:rsid w:val="30617191"/>
    <w:rsid w:val="30635AF5"/>
    <w:rsid w:val="306C02AD"/>
    <w:rsid w:val="308A37DB"/>
    <w:rsid w:val="308B2F92"/>
    <w:rsid w:val="308F3A3F"/>
    <w:rsid w:val="30937EBF"/>
    <w:rsid w:val="30A06C92"/>
    <w:rsid w:val="30AC09D8"/>
    <w:rsid w:val="30B33CEB"/>
    <w:rsid w:val="30BA68C8"/>
    <w:rsid w:val="30D45205"/>
    <w:rsid w:val="30D728A9"/>
    <w:rsid w:val="30DB0D8F"/>
    <w:rsid w:val="310E1EBE"/>
    <w:rsid w:val="31232D66"/>
    <w:rsid w:val="31244C67"/>
    <w:rsid w:val="31251F69"/>
    <w:rsid w:val="31384A03"/>
    <w:rsid w:val="313D66E4"/>
    <w:rsid w:val="314D674A"/>
    <w:rsid w:val="3150464C"/>
    <w:rsid w:val="3165160D"/>
    <w:rsid w:val="318F653B"/>
    <w:rsid w:val="3195143E"/>
    <w:rsid w:val="3195187F"/>
    <w:rsid w:val="319C43F3"/>
    <w:rsid w:val="31A406D4"/>
    <w:rsid w:val="31A87B30"/>
    <w:rsid w:val="31C15422"/>
    <w:rsid w:val="31C56DA3"/>
    <w:rsid w:val="31E807E1"/>
    <w:rsid w:val="31E973EA"/>
    <w:rsid w:val="31F443F3"/>
    <w:rsid w:val="31F451DB"/>
    <w:rsid w:val="32010644"/>
    <w:rsid w:val="32076B48"/>
    <w:rsid w:val="32141B8B"/>
    <w:rsid w:val="32173587"/>
    <w:rsid w:val="322335C4"/>
    <w:rsid w:val="322D2A15"/>
    <w:rsid w:val="32426C0F"/>
    <w:rsid w:val="32433DFA"/>
    <w:rsid w:val="32456CD7"/>
    <w:rsid w:val="325C12F1"/>
    <w:rsid w:val="326310EF"/>
    <w:rsid w:val="326D07B1"/>
    <w:rsid w:val="32706DD4"/>
    <w:rsid w:val="3271503B"/>
    <w:rsid w:val="327A5F3D"/>
    <w:rsid w:val="327B005D"/>
    <w:rsid w:val="327C702E"/>
    <w:rsid w:val="32852981"/>
    <w:rsid w:val="32912FAF"/>
    <w:rsid w:val="32960938"/>
    <w:rsid w:val="32987CAF"/>
    <w:rsid w:val="32BA4CAD"/>
    <w:rsid w:val="32E65630"/>
    <w:rsid w:val="32F41F9D"/>
    <w:rsid w:val="330105FA"/>
    <w:rsid w:val="33050BA4"/>
    <w:rsid w:val="33126B81"/>
    <w:rsid w:val="331E5EC6"/>
    <w:rsid w:val="333022B1"/>
    <w:rsid w:val="333A272F"/>
    <w:rsid w:val="335A4C67"/>
    <w:rsid w:val="3367780A"/>
    <w:rsid w:val="336D3147"/>
    <w:rsid w:val="337A7508"/>
    <w:rsid w:val="339863A7"/>
    <w:rsid w:val="339D576D"/>
    <w:rsid w:val="33B73AD6"/>
    <w:rsid w:val="33B90014"/>
    <w:rsid w:val="33BF1E19"/>
    <w:rsid w:val="33C100FE"/>
    <w:rsid w:val="33D25CC7"/>
    <w:rsid w:val="33D64F76"/>
    <w:rsid w:val="33DC0D73"/>
    <w:rsid w:val="33E200EC"/>
    <w:rsid w:val="33EA73D1"/>
    <w:rsid w:val="33EB6C3B"/>
    <w:rsid w:val="34045251"/>
    <w:rsid w:val="34071DAB"/>
    <w:rsid w:val="34153C56"/>
    <w:rsid w:val="34173399"/>
    <w:rsid w:val="341E5482"/>
    <w:rsid w:val="342A50F7"/>
    <w:rsid w:val="342F279F"/>
    <w:rsid w:val="343E34A9"/>
    <w:rsid w:val="34476F74"/>
    <w:rsid w:val="345C49DB"/>
    <w:rsid w:val="34622F53"/>
    <w:rsid w:val="34762861"/>
    <w:rsid w:val="347F6A57"/>
    <w:rsid w:val="34832B18"/>
    <w:rsid w:val="348E642F"/>
    <w:rsid w:val="3490673C"/>
    <w:rsid w:val="3497593B"/>
    <w:rsid w:val="34A112C3"/>
    <w:rsid w:val="34A74A4A"/>
    <w:rsid w:val="34A93024"/>
    <w:rsid w:val="34AA3B2D"/>
    <w:rsid w:val="34B14251"/>
    <w:rsid w:val="34B52335"/>
    <w:rsid w:val="34B96B6D"/>
    <w:rsid w:val="34BA7FA8"/>
    <w:rsid w:val="34CD3EA4"/>
    <w:rsid w:val="34CD64F8"/>
    <w:rsid w:val="34DC61C8"/>
    <w:rsid w:val="34E02EAD"/>
    <w:rsid w:val="34E264B3"/>
    <w:rsid w:val="34F13BCD"/>
    <w:rsid w:val="34FE1051"/>
    <w:rsid w:val="34FE614F"/>
    <w:rsid w:val="3500702E"/>
    <w:rsid w:val="3524476F"/>
    <w:rsid w:val="35327CFE"/>
    <w:rsid w:val="353352E8"/>
    <w:rsid w:val="353C17A3"/>
    <w:rsid w:val="354176CE"/>
    <w:rsid w:val="35425726"/>
    <w:rsid w:val="35681075"/>
    <w:rsid w:val="35863D2D"/>
    <w:rsid w:val="35865FEA"/>
    <w:rsid w:val="358975D7"/>
    <w:rsid w:val="358D32B7"/>
    <w:rsid w:val="359D6649"/>
    <w:rsid w:val="35A00C95"/>
    <w:rsid w:val="35C8077D"/>
    <w:rsid w:val="35CB5E21"/>
    <w:rsid w:val="35CF6668"/>
    <w:rsid w:val="35DF3AC5"/>
    <w:rsid w:val="35FA0135"/>
    <w:rsid w:val="360F7E84"/>
    <w:rsid w:val="36162FA3"/>
    <w:rsid w:val="361B08BA"/>
    <w:rsid w:val="361E6AC3"/>
    <w:rsid w:val="361F3914"/>
    <w:rsid w:val="36360856"/>
    <w:rsid w:val="36401F81"/>
    <w:rsid w:val="36416EFB"/>
    <w:rsid w:val="364819A3"/>
    <w:rsid w:val="364A4652"/>
    <w:rsid w:val="364A5BDE"/>
    <w:rsid w:val="36531810"/>
    <w:rsid w:val="36624AF2"/>
    <w:rsid w:val="367D3343"/>
    <w:rsid w:val="367E0079"/>
    <w:rsid w:val="36821645"/>
    <w:rsid w:val="36933F0B"/>
    <w:rsid w:val="369C6402"/>
    <w:rsid w:val="36A07834"/>
    <w:rsid w:val="36A42A3D"/>
    <w:rsid w:val="36A67614"/>
    <w:rsid w:val="36AA300B"/>
    <w:rsid w:val="36B652C0"/>
    <w:rsid w:val="36CA2111"/>
    <w:rsid w:val="36D44AA6"/>
    <w:rsid w:val="36D5762C"/>
    <w:rsid w:val="36D9345C"/>
    <w:rsid w:val="36E94477"/>
    <w:rsid w:val="36EF1598"/>
    <w:rsid w:val="36F8440E"/>
    <w:rsid w:val="373B52C4"/>
    <w:rsid w:val="374145C0"/>
    <w:rsid w:val="374578AD"/>
    <w:rsid w:val="375A4F22"/>
    <w:rsid w:val="375A7BE7"/>
    <w:rsid w:val="377370AE"/>
    <w:rsid w:val="37764E28"/>
    <w:rsid w:val="377763C6"/>
    <w:rsid w:val="3778251E"/>
    <w:rsid w:val="378229A0"/>
    <w:rsid w:val="378B1E7E"/>
    <w:rsid w:val="379816B9"/>
    <w:rsid w:val="379819FE"/>
    <w:rsid w:val="379F1FFF"/>
    <w:rsid w:val="37A408AA"/>
    <w:rsid w:val="37AC31E0"/>
    <w:rsid w:val="37B068F6"/>
    <w:rsid w:val="37B7094A"/>
    <w:rsid w:val="37B76838"/>
    <w:rsid w:val="37CA7A7D"/>
    <w:rsid w:val="37D44C78"/>
    <w:rsid w:val="37D66FF1"/>
    <w:rsid w:val="37E73F29"/>
    <w:rsid w:val="37FE02C9"/>
    <w:rsid w:val="38101D17"/>
    <w:rsid w:val="38197A98"/>
    <w:rsid w:val="3824186D"/>
    <w:rsid w:val="38267BC4"/>
    <w:rsid w:val="382F04F1"/>
    <w:rsid w:val="383E15C1"/>
    <w:rsid w:val="384309B8"/>
    <w:rsid w:val="384466BC"/>
    <w:rsid w:val="38467F34"/>
    <w:rsid w:val="3850049D"/>
    <w:rsid w:val="38570D5C"/>
    <w:rsid w:val="38642699"/>
    <w:rsid w:val="386573BE"/>
    <w:rsid w:val="38690A83"/>
    <w:rsid w:val="386A6EDD"/>
    <w:rsid w:val="386F2241"/>
    <w:rsid w:val="38972480"/>
    <w:rsid w:val="38984E74"/>
    <w:rsid w:val="389C5878"/>
    <w:rsid w:val="38AC145B"/>
    <w:rsid w:val="38B34CFD"/>
    <w:rsid w:val="38C00A6F"/>
    <w:rsid w:val="38CC52F5"/>
    <w:rsid w:val="38CE2FAA"/>
    <w:rsid w:val="38D153DF"/>
    <w:rsid w:val="38D74693"/>
    <w:rsid w:val="38D81085"/>
    <w:rsid w:val="38D87513"/>
    <w:rsid w:val="38E70894"/>
    <w:rsid w:val="3903165E"/>
    <w:rsid w:val="390854E5"/>
    <w:rsid w:val="391C49AD"/>
    <w:rsid w:val="391F7142"/>
    <w:rsid w:val="393A13C3"/>
    <w:rsid w:val="3957059F"/>
    <w:rsid w:val="3957458F"/>
    <w:rsid w:val="395B5B8D"/>
    <w:rsid w:val="395C3D4E"/>
    <w:rsid w:val="396D263D"/>
    <w:rsid w:val="39830FFE"/>
    <w:rsid w:val="398A787F"/>
    <w:rsid w:val="39983E36"/>
    <w:rsid w:val="39A92ABE"/>
    <w:rsid w:val="39AA1DDF"/>
    <w:rsid w:val="39B51382"/>
    <w:rsid w:val="39BB2C9A"/>
    <w:rsid w:val="39BD3A89"/>
    <w:rsid w:val="39C07FA1"/>
    <w:rsid w:val="39C21047"/>
    <w:rsid w:val="39C62649"/>
    <w:rsid w:val="39D93647"/>
    <w:rsid w:val="39E9094B"/>
    <w:rsid w:val="39EB149A"/>
    <w:rsid w:val="39F029AA"/>
    <w:rsid w:val="39FF0A9F"/>
    <w:rsid w:val="3A0270C1"/>
    <w:rsid w:val="3A0D0F36"/>
    <w:rsid w:val="3A1D11B4"/>
    <w:rsid w:val="3A306FBE"/>
    <w:rsid w:val="3A4A05A4"/>
    <w:rsid w:val="3A5A14DA"/>
    <w:rsid w:val="3A6B6912"/>
    <w:rsid w:val="3A8A7D03"/>
    <w:rsid w:val="3A913716"/>
    <w:rsid w:val="3A922568"/>
    <w:rsid w:val="3A92334C"/>
    <w:rsid w:val="3A9A4174"/>
    <w:rsid w:val="3AA544CC"/>
    <w:rsid w:val="3AA8138C"/>
    <w:rsid w:val="3AB8681E"/>
    <w:rsid w:val="3AC975B4"/>
    <w:rsid w:val="3ACB417D"/>
    <w:rsid w:val="3AD26B3E"/>
    <w:rsid w:val="3AD433C6"/>
    <w:rsid w:val="3AE107D0"/>
    <w:rsid w:val="3AEE7161"/>
    <w:rsid w:val="3B03675F"/>
    <w:rsid w:val="3B166E8A"/>
    <w:rsid w:val="3B19493D"/>
    <w:rsid w:val="3B223FE3"/>
    <w:rsid w:val="3B2A05C0"/>
    <w:rsid w:val="3B2F6DE1"/>
    <w:rsid w:val="3B3605A7"/>
    <w:rsid w:val="3B385842"/>
    <w:rsid w:val="3B4303C2"/>
    <w:rsid w:val="3B431D89"/>
    <w:rsid w:val="3B443C44"/>
    <w:rsid w:val="3B476887"/>
    <w:rsid w:val="3B511883"/>
    <w:rsid w:val="3B8573A3"/>
    <w:rsid w:val="3B8D5655"/>
    <w:rsid w:val="3B913384"/>
    <w:rsid w:val="3B927084"/>
    <w:rsid w:val="3BAF2DBE"/>
    <w:rsid w:val="3BB10FFE"/>
    <w:rsid w:val="3BB22DA0"/>
    <w:rsid w:val="3BCD27F0"/>
    <w:rsid w:val="3BD5515B"/>
    <w:rsid w:val="3BDC5DF5"/>
    <w:rsid w:val="3BE31DA5"/>
    <w:rsid w:val="3BEA70A2"/>
    <w:rsid w:val="3BEB64A8"/>
    <w:rsid w:val="3C041329"/>
    <w:rsid w:val="3C1A725B"/>
    <w:rsid w:val="3C25419C"/>
    <w:rsid w:val="3C3520BE"/>
    <w:rsid w:val="3C3A3D19"/>
    <w:rsid w:val="3C467EB5"/>
    <w:rsid w:val="3C4877EC"/>
    <w:rsid w:val="3C4F5FDE"/>
    <w:rsid w:val="3C5057DE"/>
    <w:rsid w:val="3C541972"/>
    <w:rsid w:val="3C5B1A0F"/>
    <w:rsid w:val="3C6006EA"/>
    <w:rsid w:val="3C787CBC"/>
    <w:rsid w:val="3C7E5AE1"/>
    <w:rsid w:val="3C8958B3"/>
    <w:rsid w:val="3C8959DC"/>
    <w:rsid w:val="3C8C0004"/>
    <w:rsid w:val="3CA60038"/>
    <w:rsid w:val="3CB26752"/>
    <w:rsid w:val="3CCD541E"/>
    <w:rsid w:val="3CCE7713"/>
    <w:rsid w:val="3CD34FEA"/>
    <w:rsid w:val="3CD47A8E"/>
    <w:rsid w:val="3CE26703"/>
    <w:rsid w:val="3CE767DA"/>
    <w:rsid w:val="3CEA4CEC"/>
    <w:rsid w:val="3CEE00EF"/>
    <w:rsid w:val="3D062DE0"/>
    <w:rsid w:val="3D087C30"/>
    <w:rsid w:val="3D0A6275"/>
    <w:rsid w:val="3D1E4E8F"/>
    <w:rsid w:val="3D1F2406"/>
    <w:rsid w:val="3D2C7E4B"/>
    <w:rsid w:val="3D2E3C14"/>
    <w:rsid w:val="3D330A35"/>
    <w:rsid w:val="3D347609"/>
    <w:rsid w:val="3D353013"/>
    <w:rsid w:val="3D440AF7"/>
    <w:rsid w:val="3D462659"/>
    <w:rsid w:val="3D514453"/>
    <w:rsid w:val="3D5D60EB"/>
    <w:rsid w:val="3D756E35"/>
    <w:rsid w:val="3D76464A"/>
    <w:rsid w:val="3D780CD1"/>
    <w:rsid w:val="3D78624F"/>
    <w:rsid w:val="3D80130E"/>
    <w:rsid w:val="3D8544B2"/>
    <w:rsid w:val="3DA33E00"/>
    <w:rsid w:val="3DB97662"/>
    <w:rsid w:val="3DCF2E4D"/>
    <w:rsid w:val="3DD03ED5"/>
    <w:rsid w:val="3DD93AC4"/>
    <w:rsid w:val="3DDD1E0E"/>
    <w:rsid w:val="3DF4639D"/>
    <w:rsid w:val="3DFD25DD"/>
    <w:rsid w:val="3E023F43"/>
    <w:rsid w:val="3E0334F6"/>
    <w:rsid w:val="3E04571E"/>
    <w:rsid w:val="3E1B44D5"/>
    <w:rsid w:val="3E1F0DAD"/>
    <w:rsid w:val="3E323043"/>
    <w:rsid w:val="3E387808"/>
    <w:rsid w:val="3E397454"/>
    <w:rsid w:val="3E42435B"/>
    <w:rsid w:val="3E4E61C4"/>
    <w:rsid w:val="3E6D484D"/>
    <w:rsid w:val="3E6F36F5"/>
    <w:rsid w:val="3E704363"/>
    <w:rsid w:val="3E8C2EBD"/>
    <w:rsid w:val="3E9A01B7"/>
    <w:rsid w:val="3E9F7BED"/>
    <w:rsid w:val="3EA70823"/>
    <w:rsid w:val="3EB1278F"/>
    <w:rsid w:val="3EB27642"/>
    <w:rsid w:val="3EC50AA3"/>
    <w:rsid w:val="3EC82F54"/>
    <w:rsid w:val="3ECA567D"/>
    <w:rsid w:val="3EDA0D5A"/>
    <w:rsid w:val="3EE10015"/>
    <w:rsid w:val="3EE72BEF"/>
    <w:rsid w:val="3F015B59"/>
    <w:rsid w:val="3F0A5309"/>
    <w:rsid w:val="3F0C2356"/>
    <w:rsid w:val="3F2925F1"/>
    <w:rsid w:val="3F2A466A"/>
    <w:rsid w:val="3F3B4EF0"/>
    <w:rsid w:val="3F40334D"/>
    <w:rsid w:val="3F4A3EFE"/>
    <w:rsid w:val="3F5B4744"/>
    <w:rsid w:val="3F5F72D9"/>
    <w:rsid w:val="3F750D73"/>
    <w:rsid w:val="3F7C539D"/>
    <w:rsid w:val="3F853E54"/>
    <w:rsid w:val="3F8C4C59"/>
    <w:rsid w:val="3F930E03"/>
    <w:rsid w:val="3F9904AC"/>
    <w:rsid w:val="3F9A432E"/>
    <w:rsid w:val="3FA25B38"/>
    <w:rsid w:val="3FA25BCE"/>
    <w:rsid w:val="3FA81A5A"/>
    <w:rsid w:val="3FB42C39"/>
    <w:rsid w:val="3FB654F7"/>
    <w:rsid w:val="3FBC75C2"/>
    <w:rsid w:val="3FCA3968"/>
    <w:rsid w:val="3FCB52B9"/>
    <w:rsid w:val="3FCF1002"/>
    <w:rsid w:val="3FD11F10"/>
    <w:rsid w:val="3FD811F2"/>
    <w:rsid w:val="3FD968F1"/>
    <w:rsid w:val="3FDD6C27"/>
    <w:rsid w:val="3FE451D1"/>
    <w:rsid w:val="3FE863C0"/>
    <w:rsid w:val="40041CBD"/>
    <w:rsid w:val="4005356A"/>
    <w:rsid w:val="400A6EB6"/>
    <w:rsid w:val="401B2CC8"/>
    <w:rsid w:val="40371808"/>
    <w:rsid w:val="40570692"/>
    <w:rsid w:val="40736A47"/>
    <w:rsid w:val="40741C80"/>
    <w:rsid w:val="40753F32"/>
    <w:rsid w:val="4080519A"/>
    <w:rsid w:val="4088635C"/>
    <w:rsid w:val="40A34951"/>
    <w:rsid w:val="40AE115B"/>
    <w:rsid w:val="40AE6664"/>
    <w:rsid w:val="40BF2558"/>
    <w:rsid w:val="40C82680"/>
    <w:rsid w:val="40D26ADE"/>
    <w:rsid w:val="40DC7983"/>
    <w:rsid w:val="40EC3872"/>
    <w:rsid w:val="40F670DB"/>
    <w:rsid w:val="40FF3EBD"/>
    <w:rsid w:val="412B3510"/>
    <w:rsid w:val="414164EA"/>
    <w:rsid w:val="41561906"/>
    <w:rsid w:val="416853E8"/>
    <w:rsid w:val="4172271C"/>
    <w:rsid w:val="41735B6C"/>
    <w:rsid w:val="41776FC0"/>
    <w:rsid w:val="4180798D"/>
    <w:rsid w:val="41850BD0"/>
    <w:rsid w:val="41854FB6"/>
    <w:rsid w:val="418C2ECB"/>
    <w:rsid w:val="41CE433C"/>
    <w:rsid w:val="41D63010"/>
    <w:rsid w:val="41F0553B"/>
    <w:rsid w:val="41F76490"/>
    <w:rsid w:val="42047BDC"/>
    <w:rsid w:val="4213537A"/>
    <w:rsid w:val="421C0C74"/>
    <w:rsid w:val="421C35BE"/>
    <w:rsid w:val="422F0330"/>
    <w:rsid w:val="42353D27"/>
    <w:rsid w:val="423D0FE5"/>
    <w:rsid w:val="423F4ECA"/>
    <w:rsid w:val="424A287F"/>
    <w:rsid w:val="4259375E"/>
    <w:rsid w:val="425C7750"/>
    <w:rsid w:val="425E6C4A"/>
    <w:rsid w:val="4267285C"/>
    <w:rsid w:val="426A1724"/>
    <w:rsid w:val="42785109"/>
    <w:rsid w:val="427C263A"/>
    <w:rsid w:val="429941A2"/>
    <w:rsid w:val="42996637"/>
    <w:rsid w:val="429C375F"/>
    <w:rsid w:val="42A17CD3"/>
    <w:rsid w:val="42A243CC"/>
    <w:rsid w:val="42A86FE0"/>
    <w:rsid w:val="42A96A51"/>
    <w:rsid w:val="42D158F6"/>
    <w:rsid w:val="42D82C3B"/>
    <w:rsid w:val="42EA73ED"/>
    <w:rsid w:val="43097038"/>
    <w:rsid w:val="43110618"/>
    <w:rsid w:val="431B2953"/>
    <w:rsid w:val="43201E42"/>
    <w:rsid w:val="43405081"/>
    <w:rsid w:val="43415AF3"/>
    <w:rsid w:val="4361601C"/>
    <w:rsid w:val="43725E01"/>
    <w:rsid w:val="437F750E"/>
    <w:rsid w:val="43832CC6"/>
    <w:rsid w:val="43AC0193"/>
    <w:rsid w:val="43B963F4"/>
    <w:rsid w:val="43BA27AB"/>
    <w:rsid w:val="43CA22BF"/>
    <w:rsid w:val="43CA39B9"/>
    <w:rsid w:val="43D04A5E"/>
    <w:rsid w:val="43D22EE4"/>
    <w:rsid w:val="43DA354C"/>
    <w:rsid w:val="43E64796"/>
    <w:rsid w:val="43ED6914"/>
    <w:rsid w:val="43FC3900"/>
    <w:rsid w:val="43FF73C0"/>
    <w:rsid w:val="44081F7F"/>
    <w:rsid w:val="44097D62"/>
    <w:rsid w:val="440E0DFE"/>
    <w:rsid w:val="44284560"/>
    <w:rsid w:val="443113B0"/>
    <w:rsid w:val="443F1C67"/>
    <w:rsid w:val="44470182"/>
    <w:rsid w:val="444B2322"/>
    <w:rsid w:val="445662F0"/>
    <w:rsid w:val="4463626B"/>
    <w:rsid w:val="44733D9E"/>
    <w:rsid w:val="448142D3"/>
    <w:rsid w:val="44A73F76"/>
    <w:rsid w:val="44A923C8"/>
    <w:rsid w:val="44AA6DC7"/>
    <w:rsid w:val="44AE7C4C"/>
    <w:rsid w:val="44B23078"/>
    <w:rsid w:val="44B23439"/>
    <w:rsid w:val="44B663DC"/>
    <w:rsid w:val="44C971D8"/>
    <w:rsid w:val="44CE72C2"/>
    <w:rsid w:val="44D4760B"/>
    <w:rsid w:val="44D607A7"/>
    <w:rsid w:val="44D83D82"/>
    <w:rsid w:val="44D92CEC"/>
    <w:rsid w:val="44DB1FF4"/>
    <w:rsid w:val="44E6233A"/>
    <w:rsid w:val="44EC2C68"/>
    <w:rsid w:val="44FE4C46"/>
    <w:rsid w:val="45002E5B"/>
    <w:rsid w:val="4504792F"/>
    <w:rsid w:val="45096F16"/>
    <w:rsid w:val="45234B41"/>
    <w:rsid w:val="452635CA"/>
    <w:rsid w:val="453829ED"/>
    <w:rsid w:val="453D15EC"/>
    <w:rsid w:val="454507A4"/>
    <w:rsid w:val="4549165D"/>
    <w:rsid w:val="454C2AA5"/>
    <w:rsid w:val="45562C21"/>
    <w:rsid w:val="455D3554"/>
    <w:rsid w:val="455F115C"/>
    <w:rsid w:val="457441C5"/>
    <w:rsid w:val="457F1B64"/>
    <w:rsid w:val="45850288"/>
    <w:rsid w:val="458A32DF"/>
    <w:rsid w:val="458F104D"/>
    <w:rsid w:val="45B31390"/>
    <w:rsid w:val="45B32B0A"/>
    <w:rsid w:val="45BA41B7"/>
    <w:rsid w:val="45BF32C2"/>
    <w:rsid w:val="45C31449"/>
    <w:rsid w:val="45C5003F"/>
    <w:rsid w:val="45C64E96"/>
    <w:rsid w:val="45D87B89"/>
    <w:rsid w:val="45DD2E7F"/>
    <w:rsid w:val="45E96F9E"/>
    <w:rsid w:val="45EE0C59"/>
    <w:rsid w:val="46040C8B"/>
    <w:rsid w:val="4605607E"/>
    <w:rsid w:val="460B2F86"/>
    <w:rsid w:val="46166C8D"/>
    <w:rsid w:val="46180E5D"/>
    <w:rsid w:val="46222339"/>
    <w:rsid w:val="464937E4"/>
    <w:rsid w:val="464F7199"/>
    <w:rsid w:val="465179B4"/>
    <w:rsid w:val="46622EAF"/>
    <w:rsid w:val="46661654"/>
    <w:rsid w:val="466633D1"/>
    <w:rsid w:val="4672722F"/>
    <w:rsid w:val="467511DB"/>
    <w:rsid w:val="46771D19"/>
    <w:rsid w:val="468A0D3D"/>
    <w:rsid w:val="46912760"/>
    <w:rsid w:val="469528B6"/>
    <w:rsid w:val="46981BCA"/>
    <w:rsid w:val="469E60D9"/>
    <w:rsid w:val="46AF0A86"/>
    <w:rsid w:val="46B71A26"/>
    <w:rsid w:val="46C945C9"/>
    <w:rsid w:val="46CD59E9"/>
    <w:rsid w:val="46CD7FB3"/>
    <w:rsid w:val="46D331A4"/>
    <w:rsid w:val="46D72614"/>
    <w:rsid w:val="46ED532B"/>
    <w:rsid w:val="46FF112C"/>
    <w:rsid w:val="4706192B"/>
    <w:rsid w:val="470B40BD"/>
    <w:rsid w:val="471527AF"/>
    <w:rsid w:val="473408DC"/>
    <w:rsid w:val="473F7E1B"/>
    <w:rsid w:val="47404A6F"/>
    <w:rsid w:val="47474AB0"/>
    <w:rsid w:val="47540D4B"/>
    <w:rsid w:val="475B36B2"/>
    <w:rsid w:val="47604616"/>
    <w:rsid w:val="47657DFD"/>
    <w:rsid w:val="477822FB"/>
    <w:rsid w:val="477917B7"/>
    <w:rsid w:val="4782058C"/>
    <w:rsid w:val="478D2F66"/>
    <w:rsid w:val="47BC5E5D"/>
    <w:rsid w:val="47CD2C15"/>
    <w:rsid w:val="47D7177E"/>
    <w:rsid w:val="47DC090A"/>
    <w:rsid w:val="47EA2647"/>
    <w:rsid w:val="47F7616E"/>
    <w:rsid w:val="47F954F4"/>
    <w:rsid w:val="48062E40"/>
    <w:rsid w:val="4806664E"/>
    <w:rsid w:val="4807061C"/>
    <w:rsid w:val="48133445"/>
    <w:rsid w:val="48233895"/>
    <w:rsid w:val="48312C48"/>
    <w:rsid w:val="483A5814"/>
    <w:rsid w:val="48493516"/>
    <w:rsid w:val="484A0549"/>
    <w:rsid w:val="486F5038"/>
    <w:rsid w:val="48735631"/>
    <w:rsid w:val="487C5F4C"/>
    <w:rsid w:val="4889665F"/>
    <w:rsid w:val="488B0C12"/>
    <w:rsid w:val="488E0774"/>
    <w:rsid w:val="488E6D2C"/>
    <w:rsid w:val="489204D9"/>
    <w:rsid w:val="48991F24"/>
    <w:rsid w:val="489E380F"/>
    <w:rsid w:val="48AD33C2"/>
    <w:rsid w:val="48AE4394"/>
    <w:rsid w:val="48BA499D"/>
    <w:rsid w:val="48BF4347"/>
    <w:rsid w:val="48C724B4"/>
    <w:rsid w:val="48CB23D2"/>
    <w:rsid w:val="48D956A9"/>
    <w:rsid w:val="48DA5C0E"/>
    <w:rsid w:val="48E025F4"/>
    <w:rsid w:val="48EC0D61"/>
    <w:rsid w:val="48EE193D"/>
    <w:rsid w:val="48EF63EE"/>
    <w:rsid w:val="48F61E5C"/>
    <w:rsid w:val="48FC45B0"/>
    <w:rsid w:val="49063698"/>
    <w:rsid w:val="49066010"/>
    <w:rsid w:val="49071CB3"/>
    <w:rsid w:val="49075C49"/>
    <w:rsid w:val="492101C7"/>
    <w:rsid w:val="493C0A35"/>
    <w:rsid w:val="49492262"/>
    <w:rsid w:val="49677BC0"/>
    <w:rsid w:val="49797A4B"/>
    <w:rsid w:val="497E2A6B"/>
    <w:rsid w:val="498F1CDD"/>
    <w:rsid w:val="49A102CC"/>
    <w:rsid w:val="49B0176B"/>
    <w:rsid w:val="49B9206D"/>
    <w:rsid w:val="49C20199"/>
    <w:rsid w:val="49CC3A51"/>
    <w:rsid w:val="49D04CCD"/>
    <w:rsid w:val="49D545A3"/>
    <w:rsid w:val="49DC1ECA"/>
    <w:rsid w:val="49DC640D"/>
    <w:rsid w:val="49DF582A"/>
    <w:rsid w:val="49FC3B47"/>
    <w:rsid w:val="49FE34D4"/>
    <w:rsid w:val="4A001AC1"/>
    <w:rsid w:val="4A015C72"/>
    <w:rsid w:val="4A061E8C"/>
    <w:rsid w:val="4A0D4F13"/>
    <w:rsid w:val="4A17541E"/>
    <w:rsid w:val="4A1A5BFB"/>
    <w:rsid w:val="4A255EAB"/>
    <w:rsid w:val="4A3C3DFC"/>
    <w:rsid w:val="4A3C65E2"/>
    <w:rsid w:val="4A4A0D21"/>
    <w:rsid w:val="4A54349B"/>
    <w:rsid w:val="4A56221A"/>
    <w:rsid w:val="4A591C63"/>
    <w:rsid w:val="4A5D6A70"/>
    <w:rsid w:val="4A6077E9"/>
    <w:rsid w:val="4A674761"/>
    <w:rsid w:val="4A675A17"/>
    <w:rsid w:val="4A686CF5"/>
    <w:rsid w:val="4A6E3D79"/>
    <w:rsid w:val="4A70731F"/>
    <w:rsid w:val="4A963CED"/>
    <w:rsid w:val="4ACA2AB2"/>
    <w:rsid w:val="4AD10B9D"/>
    <w:rsid w:val="4AE9553A"/>
    <w:rsid w:val="4AEC2EB7"/>
    <w:rsid w:val="4AF050EC"/>
    <w:rsid w:val="4AF85DC4"/>
    <w:rsid w:val="4AFA4E48"/>
    <w:rsid w:val="4AFB020E"/>
    <w:rsid w:val="4AFC1D2F"/>
    <w:rsid w:val="4B0617EB"/>
    <w:rsid w:val="4B0D4A00"/>
    <w:rsid w:val="4B0E0CCE"/>
    <w:rsid w:val="4B112DA0"/>
    <w:rsid w:val="4B145870"/>
    <w:rsid w:val="4B1821A6"/>
    <w:rsid w:val="4B187724"/>
    <w:rsid w:val="4B1A7134"/>
    <w:rsid w:val="4B201139"/>
    <w:rsid w:val="4B25067B"/>
    <w:rsid w:val="4B2C0232"/>
    <w:rsid w:val="4B2C7EDA"/>
    <w:rsid w:val="4B2D559A"/>
    <w:rsid w:val="4B376A65"/>
    <w:rsid w:val="4B446C9A"/>
    <w:rsid w:val="4B455431"/>
    <w:rsid w:val="4B48765C"/>
    <w:rsid w:val="4B494640"/>
    <w:rsid w:val="4B4F7DBB"/>
    <w:rsid w:val="4B541B10"/>
    <w:rsid w:val="4B57590C"/>
    <w:rsid w:val="4B594002"/>
    <w:rsid w:val="4B5B3DBE"/>
    <w:rsid w:val="4B620CE1"/>
    <w:rsid w:val="4B646F98"/>
    <w:rsid w:val="4B804EEB"/>
    <w:rsid w:val="4B865088"/>
    <w:rsid w:val="4B971953"/>
    <w:rsid w:val="4B9D1B60"/>
    <w:rsid w:val="4BA70C57"/>
    <w:rsid w:val="4BBA6724"/>
    <w:rsid w:val="4BBB0A80"/>
    <w:rsid w:val="4BC75E89"/>
    <w:rsid w:val="4BCB08B5"/>
    <w:rsid w:val="4BD75DB2"/>
    <w:rsid w:val="4BDC5D9A"/>
    <w:rsid w:val="4BDF7599"/>
    <w:rsid w:val="4BE37DB6"/>
    <w:rsid w:val="4BE703A1"/>
    <w:rsid w:val="4C036BE1"/>
    <w:rsid w:val="4C085064"/>
    <w:rsid w:val="4C0E52D7"/>
    <w:rsid w:val="4C1E76FA"/>
    <w:rsid w:val="4C210217"/>
    <w:rsid w:val="4C252B58"/>
    <w:rsid w:val="4C273018"/>
    <w:rsid w:val="4C2F21BB"/>
    <w:rsid w:val="4C497486"/>
    <w:rsid w:val="4C54700E"/>
    <w:rsid w:val="4C5D5289"/>
    <w:rsid w:val="4C5F6607"/>
    <w:rsid w:val="4C6E47C3"/>
    <w:rsid w:val="4C777186"/>
    <w:rsid w:val="4C860FFA"/>
    <w:rsid w:val="4C966883"/>
    <w:rsid w:val="4CA33015"/>
    <w:rsid w:val="4CA53650"/>
    <w:rsid w:val="4CAB1A25"/>
    <w:rsid w:val="4CBC4345"/>
    <w:rsid w:val="4CBF0129"/>
    <w:rsid w:val="4CC276C6"/>
    <w:rsid w:val="4CC95AF6"/>
    <w:rsid w:val="4CDA0EAD"/>
    <w:rsid w:val="4CF2068C"/>
    <w:rsid w:val="4CF91660"/>
    <w:rsid w:val="4D011D5B"/>
    <w:rsid w:val="4D017217"/>
    <w:rsid w:val="4D0201E7"/>
    <w:rsid w:val="4D0D5B72"/>
    <w:rsid w:val="4D10474F"/>
    <w:rsid w:val="4D1D44D0"/>
    <w:rsid w:val="4D293168"/>
    <w:rsid w:val="4D2C5A44"/>
    <w:rsid w:val="4D305DB5"/>
    <w:rsid w:val="4D4A1454"/>
    <w:rsid w:val="4D5160B5"/>
    <w:rsid w:val="4D546FB8"/>
    <w:rsid w:val="4D566720"/>
    <w:rsid w:val="4D5F5225"/>
    <w:rsid w:val="4D700AEB"/>
    <w:rsid w:val="4D7C1B96"/>
    <w:rsid w:val="4D9874B1"/>
    <w:rsid w:val="4DB738BA"/>
    <w:rsid w:val="4DBD78E9"/>
    <w:rsid w:val="4DC42343"/>
    <w:rsid w:val="4DD73472"/>
    <w:rsid w:val="4DDC58A3"/>
    <w:rsid w:val="4DE20501"/>
    <w:rsid w:val="4DE85967"/>
    <w:rsid w:val="4DEF6B7F"/>
    <w:rsid w:val="4E0A01ED"/>
    <w:rsid w:val="4E14389F"/>
    <w:rsid w:val="4E150E29"/>
    <w:rsid w:val="4E167CDD"/>
    <w:rsid w:val="4E190641"/>
    <w:rsid w:val="4E1A0956"/>
    <w:rsid w:val="4E1B13CC"/>
    <w:rsid w:val="4E266E51"/>
    <w:rsid w:val="4E3835B4"/>
    <w:rsid w:val="4E45677F"/>
    <w:rsid w:val="4E6123AC"/>
    <w:rsid w:val="4E645E07"/>
    <w:rsid w:val="4E676969"/>
    <w:rsid w:val="4E6B360F"/>
    <w:rsid w:val="4E7E551B"/>
    <w:rsid w:val="4E88432F"/>
    <w:rsid w:val="4E8D13AF"/>
    <w:rsid w:val="4E8E642E"/>
    <w:rsid w:val="4EAE7943"/>
    <w:rsid w:val="4EB04276"/>
    <w:rsid w:val="4EBA5F5A"/>
    <w:rsid w:val="4ECD25ED"/>
    <w:rsid w:val="4ED41BFE"/>
    <w:rsid w:val="4ED6776C"/>
    <w:rsid w:val="4EE5009B"/>
    <w:rsid w:val="4EE72D33"/>
    <w:rsid w:val="4EE75D3A"/>
    <w:rsid w:val="4F1A6CDE"/>
    <w:rsid w:val="4F1C2AAC"/>
    <w:rsid w:val="4F1C6F95"/>
    <w:rsid w:val="4F271780"/>
    <w:rsid w:val="4F2E15B4"/>
    <w:rsid w:val="4F35006D"/>
    <w:rsid w:val="4F3A5F89"/>
    <w:rsid w:val="4F3A6A6A"/>
    <w:rsid w:val="4F45767E"/>
    <w:rsid w:val="4F4C62CE"/>
    <w:rsid w:val="4F5349A2"/>
    <w:rsid w:val="4F5415F5"/>
    <w:rsid w:val="4F551E60"/>
    <w:rsid w:val="4F5D4C1A"/>
    <w:rsid w:val="4F664FB1"/>
    <w:rsid w:val="4F690B8E"/>
    <w:rsid w:val="4F8B128A"/>
    <w:rsid w:val="4F9215DF"/>
    <w:rsid w:val="4F981BB4"/>
    <w:rsid w:val="4FAB2FA2"/>
    <w:rsid w:val="4FAB5FA6"/>
    <w:rsid w:val="4FAD1304"/>
    <w:rsid w:val="4FB257B4"/>
    <w:rsid w:val="4FB513D2"/>
    <w:rsid w:val="4FD1540C"/>
    <w:rsid w:val="4FDE2C3B"/>
    <w:rsid w:val="4FEE74A8"/>
    <w:rsid w:val="4FF739E5"/>
    <w:rsid w:val="4FF75E83"/>
    <w:rsid w:val="5000258B"/>
    <w:rsid w:val="500E3C28"/>
    <w:rsid w:val="501A54F9"/>
    <w:rsid w:val="502D5133"/>
    <w:rsid w:val="504D7158"/>
    <w:rsid w:val="505B377C"/>
    <w:rsid w:val="50602741"/>
    <w:rsid w:val="50612015"/>
    <w:rsid w:val="50794D9C"/>
    <w:rsid w:val="507B3B7D"/>
    <w:rsid w:val="50832609"/>
    <w:rsid w:val="50833BF4"/>
    <w:rsid w:val="50835915"/>
    <w:rsid w:val="508D247A"/>
    <w:rsid w:val="50957343"/>
    <w:rsid w:val="509E1031"/>
    <w:rsid w:val="50B2650F"/>
    <w:rsid w:val="50B30740"/>
    <w:rsid w:val="50BE5161"/>
    <w:rsid w:val="50C02F36"/>
    <w:rsid w:val="50C30CE9"/>
    <w:rsid w:val="50C6798C"/>
    <w:rsid w:val="50D32325"/>
    <w:rsid w:val="50E97F87"/>
    <w:rsid w:val="50EC665C"/>
    <w:rsid w:val="51084512"/>
    <w:rsid w:val="51093ED3"/>
    <w:rsid w:val="510A76C6"/>
    <w:rsid w:val="5110066B"/>
    <w:rsid w:val="51202F37"/>
    <w:rsid w:val="51265271"/>
    <w:rsid w:val="5129005C"/>
    <w:rsid w:val="51383FC9"/>
    <w:rsid w:val="513D1DA7"/>
    <w:rsid w:val="5149655E"/>
    <w:rsid w:val="514F6D3A"/>
    <w:rsid w:val="515A5E86"/>
    <w:rsid w:val="51826C48"/>
    <w:rsid w:val="51921529"/>
    <w:rsid w:val="51935AB4"/>
    <w:rsid w:val="51946C90"/>
    <w:rsid w:val="51B279FD"/>
    <w:rsid w:val="51B34C57"/>
    <w:rsid w:val="51C4229E"/>
    <w:rsid w:val="51C532A1"/>
    <w:rsid w:val="51C625B1"/>
    <w:rsid w:val="51D02064"/>
    <w:rsid w:val="51D674A7"/>
    <w:rsid w:val="51D979CF"/>
    <w:rsid w:val="51E12B31"/>
    <w:rsid w:val="51E73820"/>
    <w:rsid w:val="51ED417E"/>
    <w:rsid w:val="51F62DBA"/>
    <w:rsid w:val="521147D2"/>
    <w:rsid w:val="521D00C0"/>
    <w:rsid w:val="522628B5"/>
    <w:rsid w:val="523E1A65"/>
    <w:rsid w:val="523F0110"/>
    <w:rsid w:val="52621104"/>
    <w:rsid w:val="526F7AB6"/>
    <w:rsid w:val="527346A8"/>
    <w:rsid w:val="52846E5B"/>
    <w:rsid w:val="52944D49"/>
    <w:rsid w:val="529772C1"/>
    <w:rsid w:val="5298299A"/>
    <w:rsid w:val="52A15A22"/>
    <w:rsid w:val="52A76EDC"/>
    <w:rsid w:val="52AF4D24"/>
    <w:rsid w:val="52B37E09"/>
    <w:rsid w:val="52BA57E3"/>
    <w:rsid w:val="52BC3512"/>
    <w:rsid w:val="52CC3053"/>
    <w:rsid w:val="52D06148"/>
    <w:rsid w:val="52E41A7F"/>
    <w:rsid w:val="52F855A6"/>
    <w:rsid w:val="52F873EF"/>
    <w:rsid w:val="52FD1D6B"/>
    <w:rsid w:val="52FF7DBD"/>
    <w:rsid w:val="53084802"/>
    <w:rsid w:val="531759C1"/>
    <w:rsid w:val="53423287"/>
    <w:rsid w:val="535035A9"/>
    <w:rsid w:val="53536140"/>
    <w:rsid w:val="535841E1"/>
    <w:rsid w:val="535D5DC7"/>
    <w:rsid w:val="5366318A"/>
    <w:rsid w:val="536C0B84"/>
    <w:rsid w:val="53767EEB"/>
    <w:rsid w:val="53783FE0"/>
    <w:rsid w:val="538A77FB"/>
    <w:rsid w:val="53962EC3"/>
    <w:rsid w:val="539A287D"/>
    <w:rsid w:val="53A91809"/>
    <w:rsid w:val="53AE288B"/>
    <w:rsid w:val="53CA176C"/>
    <w:rsid w:val="53EA61FC"/>
    <w:rsid w:val="53EF797E"/>
    <w:rsid w:val="53F40999"/>
    <w:rsid w:val="53F42709"/>
    <w:rsid w:val="53FE61DE"/>
    <w:rsid w:val="53FF74FC"/>
    <w:rsid w:val="54011DF2"/>
    <w:rsid w:val="54027A73"/>
    <w:rsid w:val="54106E9A"/>
    <w:rsid w:val="54146B4D"/>
    <w:rsid w:val="541825E3"/>
    <w:rsid w:val="542016FA"/>
    <w:rsid w:val="542A6AEF"/>
    <w:rsid w:val="544546E9"/>
    <w:rsid w:val="54513FE1"/>
    <w:rsid w:val="545A3C87"/>
    <w:rsid w:val="546155D4"/>
    <w:rsid w:val="546B23CF"/>
    <w:rsid w:val="547908DC"/>
    <w:rsid w:val="5483042F"/>
    <w:rsid w:val="54847AB9"/>
    <w:rsid w:val="548A400A"/>
    <w:rsid w:val="548B1A7A"/>
    <w:rsid w:val="548B434E"/>
    <w:rsid w:val="549E33CA"/>
    <w:rsid w:val="549F5130"/>
    <w:rsid w:val="54AF5E1C"/>
    <w:rsid w:val="54B02C1F"/>
    <w:rsid w:val="54B41CAE"/>
    <w:rsid w:val="54B64D9D"/>
    <w:rsid w:val="54B7037E"/>
    <w:rsid w:val="54C55568"/>
    <w:rsid w:val="54C6700C"/>
    <w:rsid w:val="54D40FD5"/>
    <w:rsid w:val="54DE4F57"/>
    <w:rsid w:val="54E31735"/>
    <w:rsid w:val="54E357EA"/>
    <w:rsid w:val="54E53B62"/>
    <w:rsid w:val="54E862F0"/>
    <w:rsid w:val="54F27F4A"/>
    <w:rsid w:val="54F87A79"/>
    <w:rsid w:val="550D1DF9"/>
    <w:rsid w:val="551867F2"/>
    <w:rsid w:val="55186FDA"/>
    <w:rsid w:val="551C677C"/>
    <w:rsid w:val="5521148F"/>
    <w:rsid w:val="55314B58"/>
    <w:rsid w:val="55396C4D"/>
    <w:rsid w:val="553D6FF1"/>
    <w:rsid w:val="55425F49"/>
    <w:rsid w:val="554B1351"/>
    <w:rsid w:val="554F441D"/>
    <w:rsid w:val="55535D88"/>
    <w:rsid w:val="556234B7"/>
    <w:rsid w:val="55691CA6"/>
    <w:rsid w:val="55820E76"/>
    <w:rsid w:val="558344B3"/>
    <w:rsid w:val="55850C6D"/>
    <w:rsid w:val="55C5501D"/>
    <w:rsid w:val="55C8207C"/>
    <w:rsid w:val="55C96529"/>
    <w:rsid w:val="55D722CA"/>
    <w:rsid w:val="55D95A47"/>
    <w:rsid w:val="55E50CA0"/>
    <w:rsid w:val="55EE3013"/>
    <w:rsid w:val="55F82C8B"/>
    <w:rsid w:val="55FA3F36"/>
    <w:rsid w:val="56030361"/>
    <w:rsid w:val="56200302"/>
    <w:rsid w:val="56313E17"/>
    <w:rsid w:val="56462A2C"/>
    <w:rsid w:val="564A6451"/>
    <w:rsid w:val="565577FC"/>
    <w:rsid w:val="56651787"/>
    <w:rsid w:val="567A2641"/>
    <w:rsid w:val="56802DAC"/>
    <w:rsid w:val="56833753"/>
    <w:rsid w:val="56980221"/>
    <w:rsid w:val="56A15134"/>
    <w:rsid w:val="56A448D7"/>
    <w:rsid w:val="56AB18B9"/>
    <w:rsid w:val="56AB1F6C"/>
    <w:rsid w:val="56BF4954"/>
    <w:rsid w:val="56C321E0"/>
    <w:rsid w:val="56C35FBD"/>
    <w:rsid w:val="56CC496C"/>
    <w:rsid w:val="56DD49B4"/>
    <w:rsid w:val="56DF4BDF"/>
    <w:rsid w:val="56E70F62"/>
    <w:rsid w:val="57002FDF"/>
    <w:rsid w:val="572C6AFE"/>
    <w:rsid w:val="572D7BD5"/>
    <w:rsid w:val="57365337"/>
    <w:rsid w:val="57385950"/>
    <w:rsid w:val="574D6D24"/>
    <w:rsid w:val="57523734"/>
    <w:rsid w:val="575D4EFA"/>
    <w:rsid w:val="5766797F"/>
    <w:rsid w:val="5769011E"/>
    <w:rsid w:val="577C49A6"/>
    <w:rsid w:val="5783017C"/>
    <w:rsid w:val="5785303C"/>
    <w:rsid w:val="57A401B6"/>
    <w:rsid w:val="57AC3D02"/>
    <w:rsid w:val="57C23B02"/>
    <w:rsid w:val="57C65CA6"/>
    <w:rsid w:val="57CD65F6"/>
    <w:rsid w:val="57CE244E"/>
    <w:rsid w:val="57E737AD"/>
    <w:rsid w:val="57EA0B04"/>
    <w:rsid w:val="58015432"/>
    <w:rsid w:val="580C37F2"/>
    <w:rsid w:val="580C7069"/>
    <w:rsid w:val="581B26C5"/>
    <w:rsid w:val="583E3C99"/>
    <w:rsid w:val="583F73BC"/>
    <w:rsid w:val="58412D00"/>
    <w:rsid w:val="584503ED"/>
    <w:rsid w:val="58467928"/>
    <w:rsid w:val="58525497"/>
    <w:rsid w:val="585869A1"/>
    <w:rsid w:val="58590504"/>
    <w:rsid w:val="586416A7"/>
    <w:rsid w:val="58926202"/>
    <w:rsid w:val="5893596A"/>
    <w:rsid w:val="589F297C"/>
    <w:rsid w:val="58A46E4B"/>
    <w:rsid w:val="58AD3690"/>
    <w:rsid w:val="58B31036"/>
    <w:rsid w:val="58D36980"/>
    <w:rsid w:val="58D56D62"/>
    <w:rsid w:val="58D61299"/>
    <w:rsid w:val="58E1225D"/>
    <w:rsid w:val="58F75190"/>
    <w:rsid w:val="58F82E31"/>
    <w:rsid w:val="58F86E29"/>
    <w:rsid w:val="58F9489C"/>
    <w:rsid w:val="590433CE"/>
    <w:rsid w:val="590B6F23"/>
    <w:rsid w:val="591E55AF"/>
    <w:rsid w:val="592A2C20"/>
    <w:rsid w:val="592A4D9D"/>
    <w:rsid w:val="592A5408"/>
    <w:rsid w:val="592B313B"/>
    <w:rsid w:val="594042AB"/>
    <w:rsid w:val="594A548B"/>
    <w:rsid w:val="595401A1"/>
    <w:rsid w:val="596D4C35"/>
    <w:rsid w:val="597B7565"/>
    <w:rsid w:val="599E5387"/>
    <w:rsid w:val="59A27C0D"/>
    <w:rsid w:val="59A97573"/>
    <w:rsid w:val="59B85168"/>
    <w:rsid w:val="59CE43F9"/>
    <w:rsid w:val="59DA55F9"/>
    <w:rsid w:val="59EC5F4D"/>
    <w:rsid w:val="59FB5942"/>
    <w:rsid w:val="59FB790E"/>
    <w:rsid w:val="59FD2600"/>
    <w:rsid w:val="5A027E34"/>
    <w:rsid w:val="5A0929A9"/>
    <w:rsid w:val="5A0D1518"/>
    <w:rsid w:val="5A296A00"/>
    <w:rsid w:val="5A31207D"/>
    <w:rsid w:val="5A332818"/>
    <w:rsid w:val="5A4A6328"/>
    <w:rsid w:val="5A4D3169"/>
    <w:rsid w:val="5A4F1C01"/>
    <w:rsid w:val="5A5207D0"/>
    <w:rsid w:val="5A613E93"/>
    <w:rsid w:val="5A630FCF"/>
    <w:rsid w:val="5A675838"/>
    <w:rsid w:val="5A6D3C1C"/>
    <w:rsid w:val="5A7736F3"/>
    <w:rsid w:val="5A7775C6"/>
    <w:rsid w:val="5A7E5843"/>
    <w:rsid w:val="5A9877A4"/>
    <w:rsid w:val="5A9C41E2"/>
    <w:rsid w:val="5AA86517"/>
    <w:rsid w:val="5AB14499"/>
    <w:rsid w:val="5ABA61AC"/>
    <w:rsid w:val="5ABF0430"/>
    <w:rsid w:val="5ABF4881"/>
    <w:rsid w:val="5AD8055C"/>
    <w:rsid w:val="5AE46DA5"/>
    <w:rsid w:val="5AE61C36"/>
    <w:rsid w:val="5AEB36ED"/>
    <w:rsid w:val="5AEF4188"/>
    <w:rsid w:val="5AF4280D"/>
    <w:rsid w:val="5AF4420F"/>
    <w:rsid w:val="5B0A358B"/>
    <w:rsid w:val="5B145426"/>
    <w:rsid w:val="5B2B6E9B"/>
    <w:rsid w:val="5B34217F"/>
    <w:rsid w:val="5B406020"/>
    <w:rsid w:val="5B432EA4"/>
    <w:rsid w:val="5B4A3E40"/>
    <w:rsid w:val="5B4A434D"/>
    <w:rsid w:val="5B4B3370"/>
    <w:rsid w:val="5B4E4DED"/>
    <w:rsid w:val="5B525B5A"/>
    <w:rsid w:val="5B5E6F60"/>
    <w:rsid w:val="5B654C01"/>
    <w:rsid w:val="5B68741F"/>
    <w:rsid w:val="5B6B53A5"/>
    <w:rsid w:val="5B7326CC"/>
    <w:rsid w:val="5B8C601D"/>
    <w:rsid w:val="5B910D11"/>
    <w:rsid w:val="5B9139FD"/>
    <w:rsid w:val="5B92286A"/>
    <w:rsid w:val="5B983E44"/>
    <w:rsid w:val="5B9E2F6E"/>
    <w:rsid w:val="5B9E7120"/>
    <w:rsid w:val="5B9F18FE"/>
    <w:rsid w:val="5BA63B51"/>
    <w:rsid w:val="5BA9662A"/>
    <w:rsid w:val="5BB33576"/>
    <w:rsid w:val="5BC02D44"/>
    <w:rsid w:val="5BEB252E"/>
    <w:rsid w:val="5BEE3689"/>
    <w:rsid w:val="5BEF0D20"/>
    <w:rsid w:val="5C067E6A"/>
    <w:rsid w:val="5C1635C2"/>
    <w:rsid w:val="5C284925"/>
    <w:rsid w:val="5C3E7A9D"/>
    <w:rsid w:val="5C615FE0"/>
    <w:rsid w:val="5C6C73C7"/>
    <w:rsid w:val="5C7101A7"/>
    <w:rsid w:val="5C7A7A66"/>
    <w:rsid w:val="5C896C3B"/>
    <w:rsid w:val="5C8E3A19"/>
    <w:rsid w:val="5C923266"/>
    <w:rsid w:val="5C9A4A21"/>
    <w:rsid w:val="5CC121AF"/>
    <w:rsid w:val="5CC14AE8"/>
    <w:rsid w:val="5CC97841"/>
    <w:rsid w:val="5CD052E0"/>
    <w:rsid w:val="5CDB6F70"/>
    <w:rsid w:val="5D077E88"/>
    <w:rsid w:val="5D0D210C"/>
    <w:rsid w:val="5D0D53AD"/>
    <w:rsid w:val="5D0E55C7"/>
    <w:rsid w:val="5D224D33"/>
    <w:rsid w:val="5D2C1469"/>
    <w:rsid w:val="5D3918E0"/>
    <w:rsid w:val="5D4321F7"/>
    <w:rsid w:val="5D472861"/>
    <w:rsid w:val="5D4A493F"/>
    <w:rsid w:val="5D4F7EB8"/>
    <w:rsid w:val="5D506A5A"/>
    <w:rsid w:val="5D5D293A"/>
    <w:rsid w:val="5D6A4818"/>
    <w:rsid w:val="5D6B22EF"/>
    <w:rsid w:val="5D817C0F"/>
    <w:rsid w:val="5D993E7B"/>
    <w:rsid w:val="5DBE37E2"/>
    <w:rsid w:val="5DC51DBF"/>
    <w:rsid w:val="5DD62B5A"/>
    <w:rsid w:val="5DD951C4"/>
    <w:rsid w:val="5DDA1A1B"/>
    <w:rsid w:val="5DE24C39"/>
    <w:rsid w:val="5DEA1D70"/>
    <w:rsid w:val="5DF56DC5"/>
    <w:rsid w:val="5DF87E43"/>
    <w:rsid w:val="5DFB4DAC"/>
    <w:rsid w:val="5E1303E4"/>
    <w:rsid w:val="5E165FDB"/>
    <w:rsid w:val="5E1A6701"/>
    <w:rsid w:val="5E1E790A"/>
    <w:rsid w:val="5E273E77"/>
    <w:rsid w:val="5E3E02AD"/>
    <w:rsid w:val="5E6A41EF"/>
    <w:rsid w:val="5E76317B"/>
    <w:rsid w:val="5E88417C"/>
    <w:rsid w:val="5E8D19D7"/>
    <w:rsid w:val="5E97622F"/>
    <w:rsid w:val="5EA7284B"/>
    <w:rsid w:val="5EB24CE0"/>
    <w:rsid w:val="5EB53427"/>
    <w:rsid w:val="5EBB297D"/>
    <w:rsid w:val="5ED6415C"/>
    <w:rsid w:val="5EDA31BC"/>
    <w:rsid w:val="5EE12A2A"/>
    <w:rsid w:val="5EF225B4"/>
    <w:rsid w:val="5EF22D6A"/>
    <w:rsid w:val="5EF728C0"/>
    <w:rsid w:val="5EFF2D73"/>
    <w:rsid w:val="5F0159B7"/>
    <w:rsid w:val="5F0F0E22"/>
    <w:rsid w:val="5F105D10"/>
    <w:rsid w:val="5F186217"/>
    <w:rsid w:val="5F1A7E09"/>
    <w:rsid w:val="5F217A3F"/>
    <w:rsid w:val="5F355D27"/>
    <w:rsid w:val="5F3919EC"/>
    <w:rsid w:val="5F3D08C0"/>
    <w:rsid w:val="5F3F27E6"/>
    <w:rsid w:val="5F471386"/>
    <w:rsid w:val="5F57700D"/>
    <w:rsid w:val="5F5907F6"/>
    <w:rsid w:val="5F65369A"/>
    <w:rsid w:val="5F682086"/>
    <w:rsid w:val="5F69769C"/>
    <w:rsid w:val="5F720BE5"/>
    <w:rsid w:val="5F763F4E"/>
    <w:rsid w:val="5F783179"/>
    <w:rsid w:val="5F894C8E"/>
    <w:rsid w:val="5F8C349E"/>
    <w:rsid w:val="5F935B29"/>
    <w:rsid w:val="5F9443D7"/>
    <w:rsid w:val="5F9E1B9A"/>
    <w:rsid w:val="5FA11BB4"/>
    <w:rsid w:val="5FA537DF"/>
    <w:rsid w:val="5FB048D3"/>
    <w:rsid w:val="5FB0524F"/>
    <w:rsid w:val="5FBA258E"/>
    <w:rsid w:val="5FC10D10"/>
    <w:rsid w:val="5FD32EA4"/>
    <w:rsid w:val="5FD65916"/>
    <w:rsid w:val="5FEC252A"/>
    <w:rsid w:val="60042685"/>
    <w:rsid w:val="6018098D"/>
    <w:rsid w:val="601E5C35"/>
    <w:rsid w:val="602526D1"/>
    <w:rsid w:val="602A51A3"/>
    <w:rsid w:val="602E76AC"/>
    <w:rsid w:val="603B742E"/>
    <w:rsid w:val="604A7AF0"/>
    <w:rsid w:val="604D0FD9"/>
    <w:rsid w:val="604D30E7"/>
    <w:rsid w:val="60505385"/>
    <w:rsid w:val="605227B8"/>
    <w:rsid w:val="60531894"/>
    <w:rsid w:val="60611D64"/>
    <w:rsid w:val="6064071E"/>
    <w:rsid w:val="60663B5F"/>
    <w:rsid w:val="60677DE4"/>
    <w:rsid w:val="6068193E"/>
    <w:rsid w:val="606D502D"/>
    <w:rsid w:val="60771CFA"/>
    <w:rsid w:val="607F2627"/>
    <w:rsid w:val="60923840"/>
    <w:rsid w:val="609D73DA"/>
    <w:rsid w:val="609F274E"/>
    <w:rsid w:val="60A1322F"/>
    <w:rsid w:val="60A1746E"/>
    <w:rsid w:val="60BA45E0"/>
    <w:rsid w:val="60C2375B"/>
    <w:rsid w:val="60C26BF4"/>
    <w:rsid w:val="60C71BFF"/>
    <w:rsid w:val="60CC58D3"/>
    <w:rsid w:val="60D76898"/>
    <w:rsid w:val="60E115F8"/>
    <w:rsid w:val="60E81A14"/>
    <w:rsid w:val="60FD7E48"/>
    <w:rsid w:val="61081604"/>
    <w:rsid w:val="610C2D46"/>
    <w:rsid w:val="61106208"/>
    <w:rsid w:val="61137C0E"/>
    <w:rsid w:val="611A62EB"/>
    <w:rsid w:val="611E5174"/>
    <w:rsid w:val="612C7321"/>
    <w:rsid w:val="612E6BCC"/>
    <w:rsid w:val="61386F8F"/>
    <w:rsid w:val="614B760E"/>
    <w:rsid w:val="614F3568"/>
    <w:rsid w:val="61505D3E"/>
    <w:rsid w:val="61587CD7"/>
    <w:rsid w:val="615E05AC"/>
    <w:rsid w:val="61641EC0"/>
    <w:rsid w:val="61651BEC"/>
    <w:rsid w:val="61807666"/>
    <w:rsid w:val="61872A10"/>
    <w:rsid w:val="61A01C1B"/>
    <w:rsid w:val="61A33979"/>
    <w:rsid w:val="61A87BCB"/>
    <w:rsid w:val="61AF69B2"/>
    <w:rsid w:val="61B35883"/>
    <w:rsid w:val="61BB5972"/>
    <w:rsid w:val="61BC0DC8"/>
    <w:rsid w:val="61BC34FB"/>
    <w:rsid w:val="61BE5A6D"/>
    <w:rsid w:val="61C3522A"/>
    <w:rsid w:val="61C4721F"/>
    <w:rsid w:val="61C846E3"/>
    <w:rsid w:val="61CB4705"/>
    <w:rsid w:val="61EE5C5C"/>
    <w:rsid w:val="61F978A1"/>
    <w:rsid w:val="62071BAD"/>
    <w:rsid w:val="62155CF7"/>
    <w:rsid w:val="62161196"/>
    <w:rsid w:val="62293CDC"/>
    <w:rsid w:val="622F6043"/>
    <w:rsid w:val="623178EF"/>
    <w:rsid w:val="62397800"/>
    <w:rsid w:val="623D7D81"/>
    <w:rsid w:val="62510660"/>
    <w:rsid w:val="62524877"/>
    <w:rsid w:val="625970B4"/>
    <w:rsid w:val="625E08B7"/>
    <w:rsid w:val="62656D9E"/>
    <w:rsid w:val="62663D19"/>
    <w:rsid w:val="62673442"/>
    <w:rsid w:val="626805EE"/>
    <w:rsid w:val="62813669"/>
    <w:rsid w:val="6284707E"/>
    <w:rsid w:val="62867C3A"/>
    <w:rsid w:val="62885321"/>
    <w:rsid w:val="629F09A5"/>
    <w:rsid w:val="62A079D3"/>
    <w:rsid w:val="62A54EC8"/>
    <w:rsid w:val="62AF054B"/>
    <w:rsid w:val="62BA1D09"/>
    <w:rsid w:val="62BD73B4"/>
    <w:rsid w:val="62C84D5E"/>
    <w:rsid w:val="62CE6710"/>
    <w:rsid w:val="62D1450A"/>
    <w:rsid w:val="62DD59E8"/>
    <w:rsid w:val="62DF7D15"/>
    <w:rsid w:val="62E2605C"/>
    <w:rsid w:val="62E50169"/>
    <w:rsid w:val="62F14183"/>
    <w:rsid w:val="62F95903"/>
    <w:rsid w:val="63013889"/>
    <w:rsid w:val="630F267F"/>
    <w:rsid w:val="6330079B"/>
    <w:rsid w:val="63373B21"/>
    <w:rsid w:val="63384F0A"/>
    <w:rsid w:val="63411CDB"/>
    <w:rsid w:val="63427C1B"/>
    <w:rsid w:val="636910BB"/>
    <w:rsid w:val="637C0DC8"/>
    <w:rsid w:val="639B0FFF"/>
    <w:rsid w:val="639E211A"/>
    <w:rsid w:val="639E6740"/>
    <w:rsid w:val="63C90F84"/>
    <w:rsid w:val="63D869E6"/>
    <w:rsid w:val="63DD280E"/>
    <w:rsid w:val="63EC5A66"/>
    <w:rsid w:val="63FA3A73"/>
    <w:rsid w:val="640B249A"/>
    <w:rsid w:val="64214C0D"/>
    <w:rsid w:val="642F6F4C"/>
    <w:rsid w:val="644B3B69"/>
    <w:rsid w:val="644F083B"/>
    <w:rsid w:val="648C0B7E"/>
    <w:rsid w:val="648C5680"/>
    <w:rsid w:val="64A51060"/>
    <w:rsid w:val="64A61BDC"/>
    <w:rsid w:val="64B554C3"/>
    <w:rsid w:val="64BC77D6"/>
    <w:rsid w:val="64CA44D2"/>
    <w:rsid w:val="64DB7EBF"/>
    <w:rsid w:val="64E054CC"/>
    <w:rsid w:val="64E4015B"/>
    <w:rsid w:val="64F131EC"/>
    <w:rsid w:val="65032817"/>
    <w:rsid w:val="65106137"/>
    <w:rsid w:val="651E2871"/>
    <w:rsid w:val="652E3CEA"/>
    <w:rsid w:val="6536470C"/>
    <w:rsid w:val="653A16D5"/>
    <w:rsid w:val="65450706"/>
    <w:rsid w:val="65481F00"/>
    <w:rsid w:val="655A596F"/>
    <w:rsid w:val="656464C7"/>
    <w:rsid w:val="656B72D1"/>
    <w:rsid w:val="65775273"/>
    <w:rsid w:val="65866C72"/>
    <w:rsid w:val="658748BB"/>
    <w:rsid w:val="65875EE7"/>
    <w:rsid w:val="658D522E"/>
    <w:rsid w:val="65AC7906"/>
    <w:rsid w:val="65BE0599"/>
    <w:rsid w:val="65D15A5E"/>
    <w:rsid w:val="65D376E8"/>
    <w:rsid w:val="65DF46D5"/>
    <w:rsid w:val="65E3275F"/>
    <w:rsid w:val="65F3165E"/>
    <w:rsid w:val="65FF69CE"/>
    <w:rsid w:val="660254AC"/>
    <w:rsid w:val="660612FA"/>
    <w:rsid w:val="660A273B"/>
    <w:rsid w:val="661141AA"/>
    <w:rsid w:val="661A3DB0"/>
    <w:rsid w:val="66270341"/>
    <w:rsid w:val="662B0F4B"/>
    <w:rsid w:val="66354BCF"/>
    <w:rsid w:val="66404518"/>
    <w:rsid w:val="66491492"/>
    <w:rsid w:val="664B7CBC"/>
    <w:rsid w:val="664C16AF"/>
    <w:rsid w:val="66525F7F"/>
    <w:rsid w:val="668036C9"/>
    <w:rsid w:val="668471CE"/>
    <w:rsid w:val="668F6B40"/>
    <w:rsid w:val="66B40076"/>
    <w:rsid w:val="66B94A40"/>
    <w:rsid w:val="66BB64A7"/>
    <w:rsid w:val="66C120EC"/>
    <w:rsid w:val="66C72685"/>
    <w:rsid w:val="66CC24D2"/>
    <w:rsid w:val="66D96802"/>
    <w:rsid w:val="66EA2FAD"/>
    <w:rsid w:val="66F76E06"/>
    <w:rsid w:val="66FC3B5E"/>
    <w:rsid w:val="67062086"/>
    <w:rsid w:val="670738FB"/>
    <w:rsid w:val="670918A1"/>
    <w:rsid w:val="670964C9"/>
    <w:rsid w:val="67133656"/>
    <w:rsid w:val="673243F0"/>
    <w:rsid w:val="67386C34"/>
    <w:rsid w:val="673E0DFE"/>
    <w:rsid w:val="67416C5E"/>
    <w:rsid w:val="674318F6"/>
    <w:rsid w:val="674469AE"/>
    <w:rsid w:val="67500492"/>
    <w:rsid w:val="676905DE"/>
    <w:rsid w:val="677B09A2"/>
    <w:rsid w:val="679B1051"/>
    <w:rsid w:val="679E7ED0"/>
    <w:rsid w:val="67A65F55"/>
    <w:rsid w:val="67A803D1"/>
    <w:rsid w:val="67AF167C"/>
    <w:rsid w:val="67C13D4B"/>
    <w:rsid w:val="67D37AB8"/>
    <w:rsid w:val="67DD09AC"/>
    <w:rsid w:val="67E6552F"/>
    <w:rsid w:val="67E6790D"/>
    <w:rsid w:val="67EA3A9B"/>
    <w:rsid w:val="67EB6BCB"/>
    <w:rsid w:val="67EC6E27"/>
    <w:rsid w:val="67F162D2"/>
    <w:rsid w:val="67F16CCA"/>
    <w:rsid w:val="67F33274"/>
    <w:rsid w:val="67F51EB4"/>
    <w:rsid w:val="68251A08"/>
    <w:rsid w:val="6839655F"/>
    <w:rsid w:val="683B6910"/>
    <w:rsid w:val="6850772B"/>
    <w:rsid w:val="685C2E97"/>
    <w:rsid w:val="686144F3"/>
    <w:rsid w:val="68656705"/>
    <w:rsid w:val="686C3328"/>
    <w:rsid w:val="686C486C"/>
    <w:rsid w:val="686D1896"/>
    <w:rsid w:val="688569B3"/>
    <w:rsid w:val="689119E2"/>
    <w:rsid w:val="689F2CC9"/>
    <w:rsid w:val="68A46888"/>
    <w:rsid w:val="68A87226"/>
    <w:rsid w:val="68AE3FAA"/>
    <w:rsid w:val="68AF1687"/>
    <w:rsid w:val="68B1191F"/>
    <w:rsid w:val="68C43879"/>
    <w:rsid w:val="68C50217"/>
    <w:rsid w:val="68CB60A7"/>
    <w:rsid w:val="68CB693E"/>
    <w:rsid w:val="68D2018D"/>
    <w:rsid w:val="68D37B09"/>
    <w:rsid w:val="68D66445"/>
    <w:rsid w:val="68E72802"/>
    <w:rsid w:val="68ED3109"/>
    <w:rsid w:val="68EE50AF"/>
    <w:rsid w:val="68F74792"/>
    <w:rsid w:val="68F90875"/>
    <w:rsid w:val="69006BF7"/>
    <w:rsid w:val="69037E0C"/>
    <w:rsid w:val="691D1EFF"/>
    <w:rsid w:val="691E39E2"/>
    <w:rsid w:val="69301162"/>
    <w:rsid w:val="693B65A6"/>
    <w:rsid w:val="69421ECE"/>
    <w:rsid w:val="69423FEF"/>
    <w:rsid w:val="694C4696"/>
    <w:rsid w:val="695F31BF"/>
    <w:rsid w:val="69734BB7"/>
    <w:rsid w:val="69793EFC"/>
    <w:rsid w:val="697A6EA7"/>
    <w:rsid w:val="697C6CCB"/>
    <w:rsid w:val="698A0427"/>
    <w:rsid w:val="69A72394"/>
    <w:rsid w:val="69A753EB"/>
    <w:rsid w:val="69A93815"/>
    <w:rsid w:val="69AD65C5"/>
    <w:rsid w:val="69AD6CC3"/>
    <w:rsid w:val="69B802C8"/>
    <w:rsid w:val="69B97ACF"/>
    <w:rsid w:val="69BD102A"/>
    <w:rsid w:val="69BD7E5E"/>
    <w:rsid w:val="69C01754"/>
    <w:rsid w:val="69CF2473"/>
    <w:rsid w:val="69D631A2"/>
    <w:rsid w:val="69EB3427"/>
    <w:rsid w:val="6A02108F"/>
    <w:rsid w:val="6A0D1C73"/>
    <w:rsid w:val="6A133F2B"/>
    <w:rsid w:val="6A1556FD"/>
    <w:rsid w:val="6A230251"/>
    <w:rsid w:val="6A294FA0"/>
    <w:rsid w:val="6A4610D5"/>
    <w:rsid w:val="6A5075CF"/>
    <w:rsid w:val="6A5B6B34"/>
    <w:rsid w:val="6A76668F"/>
    <w:rsid w:val="6A767706"/>
    <w:rsid w:val="6A7C07E7"/>
    <w:rsid w:val="6A881955"/>
    <w:rsid w:val="6A920AF9"/>
    <w:rsid w:val="6A9911C6"/>
    <w:rsid w:val="6AA12251"/>
    <w:rsid w:val="6AAB0767"/>
    <w:rsid w:val="6AB10B26"/>
    <w:rsid w:val="6ABE48D1"/>
    <w:rsid w:val="6AC845A5"/>
    <w:rsid w:val="6AD3599B"/>
    <w:rsid w:val="6AD369D3"/>
    <w:rsid w:val="6AD84F23"/>
    <w:rsid w:val="6AE83AB1"/>
    <w:rsid w:val="6AF0036B"/>
    <w:rsid w:val="6B102E2B"/>
    <w:rsid w:val="6B237F61"/>
    <w:rsid w:val="6B2570FF"/>
    <w:rsid w:val="6B2656C5"/>
    <w:rsid w:val="6B4E47B2"/>
    <w:rsid w:val="6B551C68"/>
    <w:rsid w:val="6B5B4B39"/>
    <w:rsid w:val="6B622A53"/>
    <w:rsid w:val="6B6A0419"/>
    <w:rsid w:val="6B6A396C"/>
    <w:rsid w:val="6B877A94"/>
    <w:rsid w:val="6B8C55B7"/>
    <w:rsid w:val="6B8D1008"/>
    <w:rsid w:val="6B926A90"/>
    <w:rsid w:val="6BA03DE2"/>
    <w:rsid w:val="6BA14111"/>
    <w:rsid w:val="6BAB70FD"/>
    <w:rsid w:val="6BAC5608"/>
    <w:rsid w:val="6BAD7C71"/>
    <w:rsid w:val="6BAE4717"/>
    <w:rsid w:val="6BB14AD5"/>
    <w:rsid w:val="6BBA4B45"/>
    <w:rsid w:val="6BC07A67"/>
    <w:rsid w:val="6BCF40E6"/>
    <w:rsid w:val="6BDB1877"/>
    <w:rsid w:val="6BE65A38"/>
    <w:rsid w:val="6BED1AF6"/>
    <w:rsid w:val="6BFC5840"/>
    <w:rsid w:val="6C0433C1"/>
    <w:rsid w:val="6C1A7019"/>
    <w:rsid w:val="6C226A1C"/>
    <w:rsid w:val="6C26245D"/>
    <w:rsid w:val="6C284102"/>
    <w:rsid w:val="6C310A02"/>
    <w:rsid w:val="6C332AED"/>
    <w:rsid w:val="6C3D572F"/>
    <w:rsid w:val="6C421746"/>
    <w:rsid w:val="6C4C5DCD"/>
    <w:rsid w:val="6C5E7104"/>
    <w:rsid w:val="6C610B48"/>
    <w:rsid w:val="6C7C1EF6"/>
    <w:rsid w:val="6C864D64"/>
    <w:rsid w:val="6C95044E"/>
    <w:rsid w:val="6CB94CCF"/>
    <w:rsid w:val="6CD079D3"/>
    <w:rsid w:val="6CD170F6"/>
    <w:rsid w:val="6CD36EDE"/>
    <w:rsid w:val="6CD97E09"/>
    <w:rsid w:val="6CDB05EC"/>
    <w:rsid w:val="6CE20327"/>
    <w:rsid w:val="6D174B56"/>
    <w:rsid w:val="6D2B45FA"/>
    <w:rsid w:val="6D2D5C12"/>
    <w:rsid w:val="6D3834B0"/>
    <w:rsid w:val="6D410FCF"/>
    <w:rsid w:val="6D5D0F35"/>
    <w:rsid w:val="6D60246E"/>
    <w:rsid w:val="6D602AC6"/>
    <w:rsid w:val="6D631AD5"/>
    <w:rsid w:val="6D6D7183"/>
    <w:rsid w:val="6D791033"/>
    <w:rsid w:val="6D7C565D"/>
    <w:rsid w:val="6D897E40"/>
    <w:rsid w:val="6D8C254D"/>
    <w:rsid w:val="6D955B52"/>
    <w:rsid w:val="6D9A3987"/>
    <w:rsid w:val="6D9C5D69"/>
    <w:rsid w:val="6DA179C3"/>
    <w:rsid w:val="6DA872FA"/>
    <w:rsid w:val="6DAF55DC"/>
    <w:rsid w:val="6DBA5938"/>
    <w:rsid w:val="6DBC5A4C"/>
    <w:rsid w:val="6DBF303A"/>
    <w:rsid w:val="6DDB19F2"/>
    <w:rsid w:val="6DDE2522"/>
    <w:rsid w:val="6DE834CB"/>
    <w:rsid w:val="6DF217D1"/>
    <w:rsid w:val="6DF40010"/>
    <w:rsid w:val="6E046F73"/>
    <w:rsid w:val="6E1559BF"/>
    <w:rsid w:val="6E17211A"/>
    <w:rsid w:val="6E201308"/>
    <w:rsid w:val="6E2050DD"/>
    <w:rsid w:val="6E2466C4"/>
    <w:rsid w:val="6E27665A"/>
    <w:rsid w:val="6E287223"/>
    <w:rsid w:val="6E3E389C"/>
    <w:rsid w:val="6E623AAD"/>
    <w:rsid w:val="6E6B267D"/>
    <w:rsid w:val="6E797204"/>
    <w:rsid w:val="6E8278E4"/>
    <w:rsid w:val="6E8830A3"/>
    <w:rsid w:val="6E8D068D"/>
    <w:rsid w:val="6E8D3154"/>
    <w:rsid w:val="6E901BDB"/>
    <w:rsid w:val="6E983D93"/>
    <w:rsid w:val="6EAC6A37"/>
    <w:rsid w:val="6EB809F8"/>
    <w:rsid w:val="6EBA1DA8"/>
    <w:rsid w:val="6EC921B1"/>
    <w:rsid w:val="6EF4496A"/>
    <w:rsid w:val="6EFF722E"/>
    <w:rsid w:val="6F07632B"/>
    <w:rsid w:val="6F3A1D34"/>
    <w:rsid w:val="6F3B20C1"/>
    <w:rsid w:val="6F400F6A"/>
    <w:rsid w:val="6F402D84"/>
    <w:rsid w:val="6F4609A4"/>
    <w:rsid w:val="6F477AB8"/>
    <w:rsid w:val="6F496080"/>
    <w:rsid w:val="6F4C2A6D"/>
    <w:rsid w:val="6F4C3A3C"/>
    <w:rsid w:val="6F4F33B8"/>
    <w:rsid w:val="6F5A0A47"/>
    <w:rsid w:val="6F5C37A2"/>
    <w:rsid w:val="6F687CB2"/>
    <w:rsid w:val="6F740742"/>
    <w:rsid w:val="6F797EFC"/>
    <w:rsid w:val="6F807637"/>
    <w:rsid w:val="6F914ED0"/>
    <w:rsid w:val="6F9A7710"/>
    <w:rsid w:val="6F9F103B"/>
    <w:rsid w:val="6FCD4D52"/>
    <w:rsid w:val="6FE824AE"/>
    <w:rsid w:val="700151D7"/>
    <w:rsid w:val="7005715B"/>
    <w:rsid w:val="700B54D6"/>
    <w:rsid w:val="7025288B"/>
    <w:rsid w:val="70262439"/>
    <w:rsid w:val="703149CE"/>
    <w:rsid w:val="70362E4A"/>
    <w:rsid w:val="703667DB"/>
    <w:rsid w:val="703C4F01"/>
    <w:rsid w:val="705106FD"/>
    <w:rsid w:val="70510AE9"/>
    <w:rsid w:val="7053666E"/>
    <w:rsid w:val="705576A9"/>
    <w:rsid w:val="70615123"/>
    <w:rsid w:val="706638F2"/>
    <w:rsid w:val="707C1369"/>
    <w:rsid w:val="70847AAC"/>
    <w:rsid w:val="708E2506"/>
    <w:rsid w:val="7090473A"/>
    <w:rsid w:val="70963D64"/>
    <w:rsid w:val="70991C49"/>
    <w:rsid w:val="70A241C5"/>
    <w:rsid w:val="70A91B16"/>
    <w:rsid w:val="70AD7FD1"/>
    <w:rsid w:val="70CC228A"/>
    <w:rsid w:val="70D67D87"/>
    <w:rsid w:val="70DB52AC"/>
    <w:rsid w:val="70EC5416"/>
    <w:rsid w:val="710F22CD"/>
    <w:rsid w:val="711040FB"/>
    <w:rsid w:val="7111729C"/>
    <w:rsid w:val="712F2A00"/>
    <w:rsid w:val="71316B3D"/>
    <w:rsid w:val="71333BD1"/>
    <w:rsid w:val="71435342"/>
    <w:rsid w:val="7145162C"/>
    <w:rsid w:val="71456858"/>
    <w:rsid w:val="714836F5"/>
    <w:rsid w:val="71685666"/>
    <w:rsid w:val="716F49CE"/>
    <w:rsid w:val="717A61E0"/>
    <w:rsid w:val="71832E82"/>
    <w:rsid w:val="71866D69"/>
    <w:rsid w:val="718C09DE"/>
    <w:rsid w:val="71925084"/>
    <w:rsid w:val="71AA30C6"/>
    <w:rsid w:val="71AD3172"/>
    <w:rsid w:val="71AF28E9"/>
    <w:rsid w:val="71BD0DEE"/>
    <w:rsid w:val="71C4498F"/>
    <w:rsid w:val="71D223AA"/>
    <w:rsid w:val="71D33ADA"/>
    <w:rsid w:val="71D64A43"/>
    <w:rsid w:val="71D91521"/>
    <w:rsid w:val="71DB1CC1"/>
    <w:rsid w:val="71E8139E"/>
    <w:rsid w:val="71F935C9"/>
    <w:rsid w:val="720842CD"/>
    <w:rsid w:val="720C6667"/>
    <w:rsid w:val="72140B8F"/>
    <w:rsid w:val="72253797"/>
    <w:rsid w:val="724D1C7B"/>
    <w:rsid w:val="725C1766"/>
    <w:rsid w:val="725C34EC"/>
    <w:rsid w:val="726B58B0"/>
    <w:rsid w:val="728D766A"/>
    <w:rsid w:val="7294795C"/>
    <w:rsid w:val="7298017E"/>
    <w:rsid w:val="72B03428"/>
    <w:rsid w:val="72B07105"/>
    <w:rsid w:val="72C077C9"/>
    <w:rsid w:val="72D35105"/>
    <w:rsid w:val="72D425BB"/>
    <w:rsid w:val="72EA0BEA"/>
    <w:rsid w:val="72F24D1C"/>
    <w:rsid w:val="72FE4C7C"/>
    <w:rsid w:val="730B0AC5"/>
    <w:rsid w:val="731D6077"/>
    <w:rsid w:val="731E523C"/>
    <w:rsid w:val="731F111B"/>
    <w:rsid w:val="732B7393"/>
    <w:rsid w:val="732E2C99"/>
    <w:rsid w:val="73392577"/>
    <w:rsid w:val="733C11B2"/>
    <w:rsid w:val="733F40D4"/>
    <w:rsid w:val="734F15B3"/>
    <w:rsid w:val="73547FD5"/>
    <w:rsid w:val="73566F39"/>
    <w:rsid w:val="73670A8A"/>
    <w:rsid w:val="737D40A6"/>
    <w:rsid w:val="73815A59"/>
    <w:rsid w:val="738D7814"/>
    <w:rsid w:val="73AC0CDB"/>
    <w:rsid w:val="73B05084"/>
    <w:rsid w:val="73C16ABB"/>
    <w:rsid w:val="73C7102F"/>
    <w:rsid w:val="73E841CD"/>
    <w:rsid w:val="73FC75FB"/>
    <w:rsid w:val="74047459"/>
    <w:rsid w:val="74064DD4"/>
    <w:rsid w:val="740B744F"/>
    <w:rsid w:val="740E13EA"/>
    <w:rsid w:val="742630A0"/>
    <w:rsid w:val="742641FD"/>
    <w:rsid w:val="7429614B"/>
    <w:rsid w:val="743830A2"/>
    <w:rsid w:val="744E6C3C"/>
    <w:rsid w:val="744F6206"/>
    <w:rsid w:val="745B4204"/>
    <w:rsid w:val="745D6977"/>
    <w:rsid w:val="745F7CA1"/>
    <w:rsid w:val="74657C57"/>
    <w:rsid w:val="747116B2"/>
    <w:rsid w:val="74875ABC"/>
    <w:rsid w:val="74914269"/>
    <w:rsid w:val="74962FC5"/>
    <w:rsid w:val="74997041"/>
    <w:rsid w:val="749B63F9"/>
    <w:rsid w:val="749D4E29"/>
    <w:rsid w:val="74AB120F"/>
    <w:rsid w:val="74C86FB9"/>
    <w:rsid w:val="74D5661F"/>
    <w:rsid w:val="74EC1EEE"/>
    <w:rsid w:val="74EE5CCC"/>
    <w:rsid w:val="74F10ABD"/>
    <w:rsid w:val="74F56774"/>
    <w:rsid w:val="75007CF4"/>
    <w:rsid w:val="75024E6A"/>
    <w:rsid w:val="751B1EAF"/>
    <w:rsid w:val="75272DFE"/>
    <w:rsid w:val="75327DBE"/>
    <w:rsid w:val="753920BA"/>
    <w:rsid w:val="753A07AB"/>
    <w:rsid w:val="753A7126"/>
    <w:rsid w:val="75495B44"/>
    <w:rsid w:val="75532C63"/>
    <w:rsid w:val="755D6A01"/>
    <w:rsid w:val="75654C44"/>
    <w:rsid w:val="756C7E1C"/>
    <w:rsid w:val="75866F2E"/>
    <w:rsid w:val="75867E84"/>
    <w:rsid w:val="75977F1D"/>
    <w:rsid w:val="75A947C3"/>
    <w:rsid w:val="75CF34E0"/>
    <w:rsid w:val="75D63FBE"/>
    <w:rsid w:val="75D74E55"/>
    <w:rsid w:val="75DC7F00"/>
    <w:rsid w:val="75E0206A"/>
    <w:rsid w:val="75F42B5E"/>
    <w:rsid w:val="75F45335"/>
    <w:rsid w:val="75F94869"/>
    <w:rsid w:val="75FB3043"/>
    <w:rsid w:val="760B203B"/>
    <w:rsid w:val="760D5FE4"/>
    <w:rsid w:val="76143488"/>
    <w:rsid w:val="762248B0"/>
    <w:rsid w:val="76301861"/>
    <w:rsid w:val="76391DB9"/>
    <w:rsid w:val="763C70A2"/>
    <w:rsid w:val="763E7A93"/>
    <w:rsid w:val="76457D7A"/>
    <w:rsid w:val="764B0AE5"/>
    <w:rsid w:val="765345E4"/>
    <w:rsid w:val="76543E8F"/>
    <w:rsid w:val="765500CF"/>
    <w:rsid w:val="765B2394"/>
    <w:rsid w:val="766A2610"/>
    <w:rsid w:val="767C67A3"/>
    <w:rsid w:val="76842242"/>
    <w:rsid w:val="768B223C"/>
    <w:rsid w:val="768D118D"/>
    <w:rsid w:val="76927845"/>
    <w:rsid w:val="76A5006E"/>
    <w:rsid w:val="76A8712C"/>
    <w:rsid w:val="76C87328"/>
    <w:rsid w:val="76D5084D"/>
    <w:rsid w:val="76E4690B"/>
    <w:rsid w:val="76E4758C"/>
    <w:rsid w:val="76F96A4F"/>
    <w:rsid w:val="77345A88"/>
    <w:rsid w:val="77371735"/>
    <w:rsid w:val="774612BB"/>
    <w:rsid w:val="774B3CAC"/>
    <w:rsid w:val="7760286D"/>
    <w:rsid w:val="77745CD3"/>
    <w:rsid w:val="77804100"/>
    <w:rsid w:val="7785024E"/>
    <w:rsid w:val="778844F1"/>
    <w:rsid w:val="779C2BC0"/>
    <w:rsid w:val="779E4D9B"/>
    <w:rsid w:val="77AA33E7"/>
    <w:rsid w:val="77AE0656"/>
    <w:rsid w:val="77B203D2"/>
    <w:rsid w:val="77B728B0"/>
    <w:rsid w:val="77BC0403"/>
    <w:rsid w:val="77D04834"/>
    <w:rsid w:val="77D1462A"/>
    <w:rsid w:val="77DC3EB9"/>
    <w:rsid w:val="77DD5BF6"/>
    <w:rsid w:val="77E77532"/>
    <w:rsid w:val="77E81E72"/>
    <w:rsid w:val="77FF0D52"/>
    <w:rsid w:val="78080D89"/>
    <w:rsid w:val="781A53DB"/>
    <w:rsid w:val="781C0503"/>
    <w:rsid w:val="782738B2"/>
    <w:rsid w:val="782A348C"/>
    <w:rsid w:val="783602D1"/>
    <w:rsid w:val="784F74CC"/>
    <w:rsid w:val="78682657"/>
    <w:rsid w:val="78704745"/>
    <w:rsid w:val="78772C7E"/>
    <w:rsid w:val="78774E10"/>
    <w:rsid w:val="788C2D30"/>
    <w:rsid w:val="788E7521"/>
    <w:rsid w:val="789058A7"/>
    <w:rsid w:val="78921283"/>
    <w:rsid w:val="789E770E"/>
    <w:rsid w:val="78B74907"/>
    <w:rsid w:val="78B9739A"/>
    <w:rsid w:val="78CC2334"/>
    <w:rsid w:val="78E15645"/>
    <w:rsid w:val="78E75C1E"/>
    <w:rsid w:val="78ED142E"/>
    <w:rsid w:val="790F6A05"/>
    <w:rsid w:val="79161860"/>
    <w:rsid w:val="7918520B"/>
    <w:rsid w:val="791C4473"/>
    <w:rsid w:val="792124CA"/>
    <w:rsid w:val="79220F88"/>
    <w:rsid w:val="792501ED"/>
    <w:rsid w:val="792832EC"/>
    <w:rsid w:val="792E1935"/>
    <w:rsid w:val="79324F8E"/>
    <w:rsid w:val="793B7138"/>
    <w:rsid w:val="794F4547"/>
    <w:rsid w:val="795103B9"/>
    <w:rsid w:val="79562538"/>
    <w:rsid w:val="7959678A"/>
    <w:rsid w:val="79625433"/>
    <w:rsid w:val="796816AC"/>
    <w:rsid w:val="79707745"/>
    <w:rsid w:val="79732DB1"/>
    <w:rsid w:val="797C56F4"/>
    <w:rsid w:val="797F4C79"/>
    <w:rsid w:val="798F4D62"/>
    <w:rsid w:val="799C5992"/>
    <w:rsid w:val="799D5D7E"/>
    <w:rsid w:val="79A25593"/>
    <w:rsid w:val="79AC0F44"/>
    <w:rsid w:val="79AE1024"/>
    <w:rsid w:val="79CC10DE"/>
    <w:rsid w:val="79CC2B96"/>
    <w:rsid w:val="79DA1984"/>
    <w:rsid w:val="79DE7265"/>
    <w:rsid w:val="79DF3CFF"/>
    <w:rsid w:val="79E54DE2"/>
    <w:rsid w:val="79E665E0"/>
    <w:rsid w:val="79EE66DC"/>
    <w:rsid w:val="79F87619"/>
    <w:rsid w:val="7A0059FB"/>
    <w:rsid w:val="7A0B60A6"/>
    <w:rsid w:val="7A18098C"/>
    <w:rsid w:val="7A1E01BD"/>
    <w:rsid w:val="7A2D7369"/>
    <w:rsid w:val="7A2F4159"/>
    <w:rsid w:val="7A311A63"/>
    <w:rsid w:val="7A465D7A"/>
    <w:rsid w:val="7A5A2A72"/>
    <w:rsid w:val="7A7334F9"/>
    <w:rsid w:val="7A7938FF"/>
    <w:rsid w:val="7A8D75D7"/>
    <w:rsid w:val="7A923994"/>
    <w:rsid w:val="7AA87F22"/>
    <w:rsid w:val="7AB65754"/>
    <w:rsid w:val="7ABE0554"/>
    <w:rsid w:val="7ADB4271"/>
    <w:rsid w:val="7ADE7296"/>
    <w:rsid w:val="7AE121CC"/>
    <w:rsid w:val="7AEE04FE"/>
    <w:rsid w:val="7AF9218F"/>
    <w:rsid w:val="7AFA2DE8"/>
    <w:rsid w:val="7B124A3E"/>
    <w:rsid w:val="7B243F03"/>
    <w:rsid w:val="7B260299"/>
    <w:rsid w:val="7B36665F"/>
    <w:rsid w:val="7B3E2076"/>
    <w:rsid w:val="7B4172DD"/>
    <w:rsid w:val="7B535E2C"/>
    <w:rsid w:val="7B572ACD"/>
    <w:rsid w:val="7B6D5AD0"/>
    <w:rsid w:val="7B752F3D"/>
    <w:rsid w:val="7B8C5E39"/>
    <w:rsid w:val="7B8E02AB"/>
    <w:rsid w:val="7B8F38B4"/>
    <w:rsid w:val="7B9F5AC0"/>
    <w:rsid w:val="7BA2772D"/>
    <w:rsid w:val="7BAA7AE7"/>
    <w:rsid w:val="7BB05C48"/>
    <w:rsid w:val="7BB729DE"/>
    <w:rsid w:val="7BBA2ABC"/>
    <w:rsid w:val="7BC30B6A"/>
    <w:rsid w:val="7BCA58B9"/>
    <w:rsid w:val="7BD62F51"/>
    <w:rsid w:val="7BD77B58"/>
    <w:rsid w:val="7BE368B7"/>
    <w:rsid w:val="7BF4054C"/>
    <w:rsid w:val="7BFC552E"/>
    <w:rsid w:val="7BFE1A78"/>
    <w:rsid w:val="7C011F6C"/>
    <w:rsid w:val="7C0A30C9"/>
    <w:rsid w:val="7C154897"/>
    <w:rsid w:val="7C181CF2"/>
    <w:rsid w:val="7C291E70"/>
    <w:rsid w:val="7C2D1680"/>
    <w:rsid w:val="7C315FF3"/>
    <w:rsid w:val="7C4C120F"/>
    <w:rsid w:val="7C4D3FE0"/>
    <w:rsid w:val="7C4E0FF4"/>
    <w:rsid w:val="7C526106"/>
    <w:rsid w:val="7C6C2344"/>
    <w:rsid w:val="7C6E3808"/>
    <w:rsid w:val="7C79142C"/>
    <w:rsid w:val="7C826F12"/>
    <w:rsid w:val="7C9248AE"/>
    <w:rsid w:val="7C9E5FF7"/>
    <w:rsid w:val="7CA84B32"/>
    <w:rsid w:val="7CAE2AFE"/>
    <w:rsid w:val="7CAF6B51"/>
    <w:rsid w:val="7CBB78B0"/>
    <w:rsid w:val="7CBC6302"/>
    <w:rsid w:val="7CC14CC2"/>
    <w:rsid w:val="7CC80D1A"/>
    <w:rsid w:val="7CD11E8E"/>
    <w:rsid w:val="7CD17F0E"/>
    <w:rsid w:val="7CDA05A3"/>
    <w:rsid w:val="7CE22572"/>
    <w:rsid w:val="7CEC5677"/>
    <w:rsid w:val="7CF57DB7"/>
    <w:rsid w:val="7CFB00FB"/>
    <w:rsid w:val="7D005250"/>
    <w:rsid w:val="7D1C797B"/>
    <w:rsid w:val="7D2B39CA"/>
    <w:rsid w:val="7D530C79"/>
    <w:rsid w:val="7D57317F"/>
    <w:rsid w:val="7D746C2B"/>
    <w:rsid w:val="7D77281B"/>
    <w:rsid w:val="7D87580C"/>
    <w:rsid w:val="7D8815EB"/>
    <w:rsid w:val="7D8866B5"/>
    <w:rsid w:val="7D8D58B0"/>
    <w:rsid w:val="7D994D29"/>
    <w:rsid w:val="7D996E9D"/>
    <w:rsid w:val="7DA11D4E"/>
    <w:rsid w:val="7DAD4086"/>
    <w:rsid w:val="7DAE3D07"/>
    <w:rsid w:val="7DB2170D"/>
    <w:rsid w:val="7DB33E02"/>
    <w:rsid w:val="7DBA0294"/>
    <w:rsid w:val="7DC23678"/>
    <w:rsid w:val="7DCF21B4"/>
    <w:rsid w:val="7DCF5A0D"/>
    <w:rsid w:val="7DD11E10"/>
    <w:rsid w:val="7DD60843"/>
    <w:rsid w:val="7DE04773"/>
    <w:rsid w:val="7DE15865"/>
    <w:rsid w:val="7DEB56C4"/>
    <w:rsid w:val="7DF377C9"/>
    <w:rsid w:val="7E13451A"/>
    <w:rsid w:val="7E152E7F"/>
    <w:rsid w:val="7E1A21BC"/>
    <w:rsid w:val="7E20075E"/>
    <w:rsid w:val="7E353C82"/>
    <w:rsid w:val="7E39260C"/>
    <w:rsid w:val="7E3A2ACD"/>
    <w:rsid w:val="7E576549"/>
    <w:rsid w:val="7E637421"/>
    <w:rsid w:val="7E6E6544"/>
    <w:rsid w:val="7E7356CB"/>
    <w:rsid w:val="7E8909A4"/>
    <w:rsid w:val="7E8F3C3F"/>
    <w:rsid w:val="7E9B10E5"/>
    <w:rsid w:val="7EA03DF9"/>
    <w:rsid w:val="7EA8005E"/>
    <w:rsid w:val="7EC34282"/>
    <w:rsid w:val="7ECB0331"/>
    <w:rsid w:val="7ED6727C"/>
    <w:rsid w:val="7EE173B1"/>
    <w:rsid w:val="7EE2004D"/>
    <w:rsid w:val="7EE31815"/>
    <w:rsid w:val="7EF07D11"/>
    <w:rsid w:val="7EF71D27"/>
    <w:rsid w:val="7F091B3D"/>
    <w:rsid w:val="7F0B7457"/>
    <w:rsid w:val="7F1361E5"/>
    <w:rsid w:val="7F2149FA"/>
    <w:rsid w:val="7F214AC5"/>
    <w:rsid w:val="7F2B24F1"/>
    <w:rsid w:val="7F39420D"/>
    <w:rsid w:val="7F462358"/>
    <w:rsid w:val="7F556D42"/>
    <w:rsid w:val="7F5B65A2"/>
    <w:rsid w:val="7F6268D8"/>
    <w:rsid w:val="7F6B245E"/>
    <w:rsid w:val="7F725050"/>
    <w:rsid w:val="7F7736B0"/>
    <w:rsid w:val="7F7C7FEF"/>
    <w:rsid w:val="7F804A76"/>
    <w:rsid w:val="7F8E6A13"/>
    <w:rsid w:val="7F996A13"/>
    <w:rsid w:val="7FAE1FA6"/>
    <w:rsid w:val="7FB1383A"/>
    <w:rsid w:val="7FB71CEE"/>
    <w:rsid w:val="7FCE18FC"/>
    <w:rsid w:val="7FD258EC"/>
    <w:rsid w:val="7FFE04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直线 1299"/>
        <o:r id="V:Rule2" type="connector" idref="#直接连接符 1"/>
        <o:r id="V:Rule3" type="connector" idref="#直接连接符 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name="index 2"/>
    <w:lsdException w:qFormat="1" w:unhideWhenUsed="0" w:uiPriority="0" w:name="index 3"/>
    <w:lsdException w:qFormat="1" w:unhideWhenUsed="0" w:uiPriority="0" w:semiHidden="0" w:name="index 4"/>
    <w:lsdException w:qFormat="1" w:uiPriority="99" w:semiHidden="0"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nhideWhenUsed="0" w:uiPriority="0" w:semiHidden="0"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uiPriority="99" w:name="List Continue 3"/>
    <w:lsdException w:uiPriority="99"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99" w:semiHidden="0"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nhideWhenUsed="0" w:uiPriority="99" w:semiHidden="0" w:name="Body Text 2"/>
    <w:lsdException w:qFormat="1"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99" w:semiHidden="0" w:name="Plain Text"/>
    <w:lsdException w:qFormat="1" w:unhideWhenUsed="0" w:uiPriority="0" w:semiHidden="0"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nhideWhenUsed="0" w:uiPriority="99" w:semiHidden="0" w:name="annotation subject"/>
    <w:lsdException w:qFormat="1" w:unhideWhenUsed="0" w:uiPriority="0" w:semiHidden="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qFormat="1" w:unhideWhenUsed="0" w:uiPriority="0" w:semiHidden="0" w:name="Table Grid 7"/>
    <w:lsdException w:uiPriority="99" w:name="Table Grid 8"/>
    <w:lsdException w:uiPriority="99" w:name="Table List 1"/>
    <w:lsdException w:uiPriority="99" w:name="Table List 2"/>
    <w:lsdException w:uiPriority="99" w:name="Table List 3"/>
    <w:lsdException w:uiPriority="99" w:name="Table List 4"/>
    <w:lsdException w:qFormat="1" w:unhideWhenUsed="0" w:uiPriority="0" w:semiHidden="0"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imes New Roman" w:hAnsi="Times New Roman" w:eastAsia="宋体" w:cs="Times New Roman"/>
      <w:kern w:val="2"/>
      <w:sz w:val="24"/>
      <w:szCs w:val="21"/>
      <w:lang w:val="en-US" w:eastAsia="zh-CN" w:bidi="ar-SA"/>
    </w:rPr>
  </w:style>
  <w:style w:type="paragraph" w:styleId="6">
    <w:name w:val="heading 1"/>
    <w:basedOn w:val="1"/>
    <w:next w:val="1"/>
    <w:link w:val="94"/>
    <w:qFormat/>
    <w:uiPriority w:val="9"/>
    <w:pPr>
      <w:keepNext/>
      <w:keepLines/>
      <w:jc w:val="center"/>
      <w:outlineLvl w:val="0"/>
    </w:pPr>
    <w:rPr>
      <w:rFonts w:ascii="Arial" w:hAnsi="Arial"/>
      <w:b/>
      <w:bCs/>
      <w:kern w:val="44"/>
      <w:sz w:val="28"/>
      <w:szCs w:val="44"/>
    </w:rPr>
  </w:style>
  <w:style w:type="paragraph" w:styleId="7">
    <w:name w:val="heading 2"/>
    <w:basedOn w:val="1"/>
    <w:next w:val="1"/>
    <w:link w:val="95"/>
    <w:qFormat/>
    <w:uiPriority w:val="9"/>
    <w:pPr>
      <w:keepNext/>
      <w:keepLines/>
      <w:spacing w:beforeLines="50" w:afterLines="50" w:line="600" w:lineRule="exact"/>
      <w:outlineLvl w:val="1"/>
    </w:pPr>
    <w:rPr>
      <w:rFonts w:ascii="黑体" w:eastAsia="黑体"/>
      <w:b/>
      <w:bCs/>
      <w:sz w:val="30"/>
      <w:szCs w:val="32"/>
    </w:rPr>
  </w:style>
  <w:style w:type="paragraph" w:styleId="8">
    <w:name w:val="heading 3"/>
    <w:basedOn w:val="1"/>
    <w:next w:val="1"/>
    <w:link w:val="96"/>
    <w:qFormat/>
    <w:uiPriority w:val="99"/>
    <w:pPr>
      <w:keepNext/>
      <w:keepLines/>
      <w:spacing w:beforeLines="50" w:afterLines="50" w:line="500" w:lineRule="exact"/>
      <w:outlineLvl w:val="2"/>
    </w:pPr>
    <w:rPr>
      <w:b/>
      <w:bCs/>
      <w:sz w:val="28"/>
      <w:szCs w:val="32"/>
    </w:rPr>
  </w:style>
  <w:style w:type="paragraph" w:styleId="9">
    <w:name w:val="heading 4"/>
    <w:basedOn w:val="1"/>
    <w:next w:val="1"/>
    <w:link w:val="97"/>
    <w:qFormat/>
    <w:uiPriority w:val="99"/>
    <w:pPr>
      <w:outlineLvl w:val="3"/>
    </w:pPr>
    <w:rPr>
      <w:b/>
      <w:szCs w:val="20"/>
    </w:rPr>
  </w:style>
  <w:style w:type="paragraph" w:styleId="10">
    <w:name w:val="heading 5"/>
    <w:basedOn w:val="1"/>
    <w:next w:val="1"/>
    <w:link w:val="98"/>
    <w:qFormat/>
    <w:uiPriority w:val="99"/>
    <w:pPr>
      <w:keepNext/>
      <w:keepLines/>
      <w:outlineLvl w:val="4"/>
    </w:pPr>
    <w:rPr>
      <w:b/>
      <w:bCs/>
      <w:kern w:val="0"/>
      <w:szCs w:val="28"/>
    </w:rPr>
  </w:style>
  <w:style w:type="paragraph" w:styleId="11">
    <w:name w:val="heading 6"/>
    <w:basedOn w:val="12"/>
    <w:next w:val="13"/>
    <w:link w:val="100"/>
    <w:qFormat/>
    <w:uiPriority w:val="99"/>
    <w:pPr>
      <w:keepNext/>
      <w:keepLines/>
      <w:spacing w:before="240" w:after="64" w:line="320" w:lineRule="atLeast"/>
      <w:outlineLvl w:val="5"/>
    </w:pPr>
    <w:rPr>
      <w:rFonts w:ascii="Cambria" w:hAnsi="Cambria"/>
      <w:b/>
      <w:bCs/>
      <w:kern w:val="0"/>
      <w:sz w:val="24"/>
      <w:szCs w:val="24"/>
    </w:rPr>
  </w:style>
  <w:style w:type="paragraph" w:styleId="14">
    <w:name w:val="heading 7"/>
    <w:basedOn w:val="1"/>
    <w:next w:val="1"/>
    <w:link w:val="102"/>
    <w:qFormat/>
    <w:uiPriority w:val="9"/>
    <w:pPr>
      <w:keepNext/>
      <w:keepLines/>
      <w:spacing w:before="240" w:after="64" w:line="320" w:lineRule="atLeast"/>
      <w:textAlignment w:val="baseline"/>
      <w:outlineLvl w:val="6"/>
    </w:pPr>
    <w:rPr>
      <w:b/>
      <w:kern w:val="0"/>
      <w:szCs w:val="20"/>
    </w:rPr>
  </w:style>
  <w:style w:type="paragraph" w:styleId="15">
    <w:name w:val="heading 8"/>
    <w:basedOn w:val="1"/>
    <w:next w:val="1"/>
    <w:link w:val="103"/>
    <w:qFormat/>
    <w:uiPriority w:val="9"/>
    <w:pPr>
      <w:keepNext/>
      <w:keepLines/>
      <w:spacing w:before="240" w:after="64" w:line="320" w:lineRule="atLeast"/>
      <w:textAlignment w:val="baseline"/>
      <w:outlineLvl w:val="7"/>
    </w:pPr>
    <w:rPr>
      <w:rFonts w:ascii="Arial" w:hAnsi="Arial" w:eastAsia="黑体"/>
      <w:kern w:val="0"/>
      <w:szCs w:val="20"/>
    </w:rPr>
  </w:style>
  <w:style w:type="paragraph" w:styleId="16">
    <w:name w:val="heading 9"/>
    <w:basedOn w:val="1"/>
    <w:next w:val="1"/>
    <w:link w:val="104"/>
    <w:qFormat/>
    <w:uiPriority w:val="9"/>
    <w:pPr>
      <w:keepNext/>
      <w:keepLines/>
      <w:spacing w:before="240" w:after="64" w:line="320" w:lineRule="atLeast"/>
      <w:textAlignment w:val="baseline"/>
      <w:outlineLvl w:val="8"/>
    </w:pPr>
    <w:rPr>
      <w:rFonts w:ascii="Arial" w:hAnsi="Arial" w:eastAsia="黑体"/>
      <w:kern w:val="0"/>
      <w:sz w:val="20"/>
      <w:szCs w:val="20"/>
    </w:rPr>
  </w:style>
  <w:style w:type="character" w:default="1" w:styleId="81">
    <w:name w:val="Default Paragraph Font"/>
    <w:semiHidden/>
    <w:unhideWhenUsed/>
    <w:qFormat/>
    <w:uiPriority w:val="1"/>
  </w:style>
  <w:style w:type="table" w:default="1" w:styleId="7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92"/>
    <w:qFormat/>
    <w:uiPriority w:val="99"/>
    <w:pPr>
      <w:spacing w:after="120" w:line="240" w:lineRule="auto"/>
      <w:ind w:left="420" w:leftChars="200" w:firstLine="420" w:firstLineChars="200"/>
    </w:pPr>
    <w:rPr>
      <w:rFonts w:ascii="宋体" w:hAnsi="宋体" w:eastAsia="宋体" w:cs="宋体"/>
      <w:snapToGrid/>
      <w:sz w:val="21"/>
      <w:szCs w:val="24"/>
    </w:rPr>
  </w:style>
  <w:style w:type="paragraph" w:styleId="3">
    <w:name w:val="Body Text Indent"/>
    <w:basedOn w:val="1"/>
    <w:next w:val="4"/>
    <w:link w:val="91"/>
    <w:qFormat/>
    <w:uiPriority w:val="99"/>
    <w:pPr>
      <w:ind w:firstLine="480"/>
    </w:pPr>
    <w:rPr>
      <w:rFonts w:ascii="楷体_GB2312" w:eastAsia="楷体_GB2312"/>
      <w:snapToGrid w:val="0"/>
      <w:kern w:val="0"/>
      <w:sz w:val="28"/>
      <w:szCs w:val="20"/>
    </w:rPr>
  </w:style>
  <w:style w:type="paragraph" w:customStyle="1" w:styleId="4">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5">
    <w:name w:val="macro"/>
    <w:link w:val="93"/>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customStyle="1" w:styleId="12">
    <w:name w:val="表格"/>
    <w:basedOn w:val="1"/>
    <w:next w:val="1"/>
    <w:link w:val="99"/>
    <w:qFormat/>
    <w:uiPriority w:val="0"/>
    <w:pPr>
      <w:spacing w:line="360" w:lineRule="exact"/>
      <w:jc w:val="center"/>
      <w:textAlignment w:val="center"/>
    </w:pPr>
    <w:rPr>
      <w:sz w:val="20"/>
      <w:szCs w:val="20"/>
    </w:rPr>
  </w:style>
  <w:style w:type="paragraph" w:styleId="13">
    <w:name w:val="Normal Indent"/>
    <w:basedOn w:val="1"/>
    <w:next w:val="1"/>
    <w:link w:val="101"/>
    <w:qFormat/>
    <w:uiPriority w:val="0"/>
    <w:pPr>
      <w:spacing w:line="240" w:lineRule="auto"/>
      <w:ind w:firstLine="420"/>
    </w:pPr>
    <w:rPr>
      <w:sz w:val="20"/>
      <w:szCs w:val="20"/>
    </w:rPr>
  </w:style>
  <w:style w:type="paragraph" w:styleId="17">
    <w:name w:val="List 3"/>
    <w:basedOn w:val="1"/>
    <w:next w:val="1"/>
    <w:qFormat/>
    <w:uiPriority w:val="0"/>
    <w:pPr>
      <w:spacing w:line="240" w:lineRule="auto"/>
      <w:ind w:left="100" w:leftChars="400" w:hanging="200" w:hangingChars="200"/>
      <w:contextualSpacing/>
    </w:pPr>
    <w:rPr>
      <w:sz w:val="21"/>
      <w:szCs w:val="24"/>
    </w:rPr>
  </w:style>
  <w:style w:type="paragraph" w:styleId="18">
    <w:name w:val="toc 7"/>
    <w:basedOn w:val="1"/>
    <w:next w:val="1"/>
    <w:qFormat/>
    <w:uiPriority w:val="39"/>
    <w:pPr>
      <w:ind w:left="1440"/>
    </w:pPr>
    <w:rPr>
      <w:sz w:val="18"/>
      <w:szCs w:val="18"/>
    </w:rPr>
  </w:style>
  <w:style w:type="paragraph" w:styleId="19">
    <w:name w:val="Note Heading"/>
    <w:basedOn w:val="1"/>
    <w:next w:val="1"/>
    <w:link w:val="105"/>
    <w:qFormat/>
    <w:uiPriority w:val="0"/>
    <w:pPr>
      <w:spacing w:line="240" w:lineRule="auto"/>
      <w:jc w:val="center"/>
    </w:pPr>
    <w:rPr>
      <w:sz w:val="20"/>
      <w:szCs w:val="24"/>
    </w:rPr>
  </w:style>
  <w:style w:type="paragraph" w:styleId="20">
    <w:name w:val="E-mail Signature"/>
    <w:basedOn w:val="1"/>
    <w:link w:val="106"/>
    <w:qFormat/>
    <w:uiPriority w:val="0"/>
    <w:pPr>
      <w:spacing w:line="440" w:lineRule="exact"/>
      <w:ind w:firstLine="200" w:firstLineChars="200"/>
      <w:jc w:val="both"/>
    </w:pPr>
    <w:rPr>
      <w:kern w:val="0"/>
      <w:lang w:eastAsia="en-US" w:bidi="en-US"/>
    </w:rPr>
  </w:style>
  <w:style w:type="paragraph" w:styleId="21">
    <w:name w:val="List Number"/>
    <w:basedOn w:val="1"/>
    <w:qFormat/>
    <w:uiPriority w:val="0"/>
    <w:pPr>
      <w:tabs>
        <w:tab w:val="left" w:pos="360"/>
        <w:tab w:val="left" w:pos="1033"/>
        <w:tab w:val="left" w:pos="5340"/>
        <w:tab w:val="left" w:pos="6653"/>
      </w:tabs>
      <w:spacing w:line="240" w:lineRule="auto"/>
    </w:pPr>
    <w:rPr>
      <w:rFonts w:ascii="宋体" w:hAnsi="宋体"/>
      <w:sz w:val="21"/>
      <w:szCs w:val="24"/>
    </w:rPr>
  </w:style>
  <w:style w:type="paragraph" w:styleId="22">
    <w:name w:val="caption"/>
    <w:basedOn w:val="1"/>
    <w:next w:val="1"/>
    <w:link w:val="107"/>
    <w:qFormat/>
    <w:uiPriority w:val="0"/>
    <w:pPr>
      <w:spacing w:before="120" w:line="480" w:lineRule="exact"/>
      <w:textAlignment w:val="baseline"/>
    </w:pPr>
    <w:rPr>
      <w:rFonts w:ascii="Arial" w:hAnsi="Arial" w:eastAsia="黑体"/>
      <w:b/>
      <w:bCs/>
      <w:color w:val="000000"/>
      <w:kern w:val="0"/>
      <w:sz w:val="28"/>
      <w:szCs w:val="28"/>
    </w:rPr>
  </w:style>
  <w:style w:type="paragraph" w:styleId="23">
    <w:name w:val="index 5"/>
    <w:basedOn w:val="1"/>
    <w:next w:val="1"/>
    <w:unhideWhenUsed/>
    <w:qFormat/>
    <w:uiPriority w:val="99"/>
    <w:pPr>
      <w:ind w:left="800" w:leftChars="800"/>
    </w:pPr>
    <w:rPr>
      <w:sz w:val="28"/>
      <w:szCs w:val="24"/>
    </w:rPr>
  </w:style>
  <w:style w:type="paragraph" w:styleId="24">
    <w:name w:val="List Bullet"/>
    <w:basedOn w:val="1"/>
    <w:qFormat/>
    <w:uiPriority w:val="0"/>
    <w:pPr>
      <w:tabs>
        <w:tab w:val="left" w:pos="360"/>
      </w:tabs>
      <w:spacing w:line="360" w:lineRule="atLeast"/>
      <w:ind w:left="360" w:hanging="360"/>
      <w:textAlignment w:val="baseline"/>
    </w:pPr>
    <w:rPr>
      <w:kern w:val="0"/>
      <w:sz w:val="28"/>
      <w:szCs w:val="20"/>
    </w:rPr>
  </w:style>
  <w:style w:type="paragraph" w:styleId="25">
    <w:name w:val="Document Map"/>
    <w:basedOn w:val="1"/>
    <w:link w:val="108"/>
    <w:unhideWhenUsed/>
    <w:qFormat/>
    <w:uiPriority w:val="99"/>
    <w:rPr>
      <w:rFonts w:ascii="宋体"/>
      <w:sz w:val="18"/>
      <w:szCs w:val="18"/>
    </w:rPr>
  </w:style>
  <w:style w:type="paragraph" w:styleId="26">
    <w:name w:val="toa heading"/>
    <w:basedOn w:val="1"/>
    <w:next w:val="1"/>
    <w:qFormat/>
    <w:uiPriority w:val="0"/>
    <w:pPr>
      <w:spacing w:before="120" w:line="240" w:lineRule="auto"/>
    </w:pPr>
    <w:rPr>
      <w:rFonts w:ascii="Arial" w:hAnsi="Arial" w:cs="Arial"/>
      <w:szCs w:val="24"/>
    </w:rPr>
  </w:style>
  <w:style w:type="paragraph" w:styleId="27">
    <w:name w:val="annotation text"/>
    <w:basedOn w:val="1"/>
    <w:link w:val="109"/>
    <w:qFormat/>
    <w:uiPriority w:val="0"/>
    <w:rPr>
      <w:b/>
      <w:kern w:val="0"/>
      <w:szCs w:val="20"/>
    </w:rPr>
  </w:style>
  <w:style w:type="paragraph" w:styleId="28">
    <w:name w:val="Salutation"/>
    <w:basedOn w:val="1"/>
    <w:next w:val="1"/>
    <w:link w:val="110"/>
    <w:qFormat/>
    <w:uiPriority w:val="99"/>
    <w:pPr>
      <w:spacing w:line="240" w:lineRule="auto"/>
    </w:pPr>
    <w:rPr>
      <w:szCs w:val="20"/>
    </w:rPr>
  </w:style>
  <w:style w:type="paragraph" w:styleId="29">
    <w:name w:val="Body Text 3"/>
    <w:basedOn w:val="1"/>
    <w:link w:val="111"/>
    <w:unhideWhenUsed/>
    <w:qFormat/>
    <w:uiPriority w:val="99"/>
    <w:pPr>
      <w:spacing w:after="120" w:line="240" w:lineRule="auto"/>
    </w:pPr>
    <w:rPr>
      <w:rFonts w:ascii="Calibri" w:hAnsi="Calibri"/>
      <w:sz w:val="16"/>
      <w:szCs w:val="16"/>
    </w:rPr>
  </w:style>
  <w:style w:type="paragraph" w:styleId="30">
    <w:name w:val="List Bullet 3"/>
    <w:basedOn w:val="1"/>
    <w:qFormat/>
    <w:uiPriority w:val="0"/>
    <w:pPr>
      <w:tabs>
        <w:tab w:val="left" w:pos="1200"/>
      </w:tabs>
      <w:spacing w:before="50" w:line="500" w:lineRule="exact"/>
      <w:ind w:left="1200" w:hanging="360"/>
    </w:pPr>
    <w:rPr>
      <w:spacing w:val="6"/>
      <w:sz w:val="28"/>
      <w:szCs w:val="28"/>
    </w:rPr>
  </w:style>
  <w:style w:type="paragraph" w:styleId="31">
    <w:name w:val="Body Text"/>
    <w:basedOn w:val="1"/>
    <w:next w:val="1"/>
    <w:link w:val="112"/>
    <w:qFormat/>
    <w:uiPriority w:val="99"/>
    <w:pPr>
      <w:spacing w:after="120"/>
    </w:pPr>
    <w:rPr>
      <w:kern w:val="0"/>
      <w:szCs w:val="20"/>
    </w:rPr>
  </w:style>
  <w:style w:type="paragraph" w:styleId="32">
    <w:name w:val="List 2"/>
    <w:basedOn w:val="1"/>
    <w:qFormat/>
    <w:uiPriority w:val="0"/>
    <w:pPr>
      <w:spacing w:line="240" w:lineRule="auto"/>
      <w:ind w:left="100" w:leftChars="200" w:hanging="200" w:hangingChars="200"/>
    </w:pPr>
    <w:rPr>
      <w:sz w:val="21"/>
      <w:szCs w:val="20"/>
    </w:rPr>
  </w:style>
  <w:style w:type="paragraph" w:styleId="33">
    <w:name w:val="List Continue"/>
    <w:basedOn w:val="1"/>
    <w:qFormat/>
    <w:uiPriority w:val="0"/>
    <w:pPr>
      <w:spacing w:after="120" w:line="440" w:lineRule="exact"/>
      <w:ind w:left="420" w:leftChars="200" w:firstLine="200" w:firstLineChars="200"/>
      <w:jc w:val="both"/>
    </w:pPr>
    <w:rPr>
      <w:kern w:val="0"/>
      <w:lang w:eastAsia="en-US" w:bidi="en-US"/>
    </w:rPr>
  </w:style>
  <w:style w:type="paragraph" w:styleId="34">
    <w:name w:val="Block Text"/>
    <w:basedOn w:val="1"/>
    <w:link w:val="113"/>
    <w:qFormat/>
    <w:uiPriority w:val="0"/>
    <w:pPr>
      <w:ind w:left="720" w:right="-334" w:hanging="720"/>
    </w:pPr>
    <w:rPr>
      <w:szCs w:val="20"/>
    </w:rPr>
  </w:style>
  <w:style w:type="paragraph" w:styleId="35">
    <w:name w:val="List Bullet 2"/>
    <w:basedOn w:val="1"/>
    <w:qFormat/>
    <w:uiPriority w:val="0"/>
    <w:pPr>
      <w:spacing w:line="240" w:lineRule="auto"/>
      <w:jc w:val="center"/>
    </w:pPr>
    <w:rPr>
      <w:sz w:val="22"/>
    </w:rPr>
  </w:style>
  <w:style w:type="paragraph" w:styleId="36">
    <w:name w:val="index 4"/>
    <w:basedOn w:val="1"/>
    <w:next w:val="1"/>
    <w:qFormat/>
    <w:uiPriority w:val="0"/>
    <w:pPr>
      <w:spacing w:line="240" w:lineRule="auto"/>
      <w:ind w:left="600" w:leftChars="600"/>
    </w:pPr>
    <w:rPr>
      <w:sz w:val="21"/>
      <w:szCs w:val="20"/>
    </w:rPr>
  </w:style>
  <w:style w:type="paragraph" w:styleId="37">
    <w:name w:val="toc 5"/>
    <w:basedOn w:val="1"/>
    <w:next w:val="1"/>
    <w:qFormat/>
    <w:uiPriority w:val="39"/>
    <w:pPr>
      <w:ind w:left="960"/>
    </w:pPr>
    <w:rPr>
      <w:sz w:val="18"/>
      <w:szCs w:val="18"/>
    </w:rPr>
  </w:style>
  <w:style w:type="paragraph" w:styleId="38">
    <w:name w:val="toc 3"/>
    <w:basedOn w:val="1"/>
    <w:next w:val="1"/>
    <w:qFormat/>
    <w:uiPriority w:val="39"/>
    <w:pPr>
      <w:tabs>
        <w:tab w:val="right" w:leader="dot" w:pos="8296"/>
      </w:tabs>
      <w:ind w:left="960" w:leftChars="400"/>
    </w:pPr>
    <w:rPr>
      <w:b/>
      <w:bCs/>
    </w:rPr>
  </w:style>
  <w:style w:type="paragraph" w:styleId="39">
    <w:name w:val="Plain Text"/>
    <w:basedOn w:val="1"/>
    <w:link w:val="114"/>
    <w:qFormat/>
    <w:uiPriority w:val="99"/>
    <w:pPr>
      <w:spacing w:line="240" w:lineRule="auto"/>
    </w:pPr>
    <w:rPr>
      <w:snapToGrid w:val="0"/>
      <w:kern w:val="0"/>
      <w:sz w:val="28"/>
      <w:szCs w:val="20"/>
    </w:rPr>
  </w:style>
  <w:style w:type="paragraph" w:styleId="40">
    <w:name w:val="toc 8"/>
    <w:basedOn w:val="1"/>
    <w:next w:val="1"/>
    <w:qFormat/>
    <w:uiPriority w:val="39"/>
    <w:pPr>
      <w:ind w:left="1680"/>
    </w:pPr>
    <w:rPr>
      <w:sz w:val="18"/>
      <w:szCs w:val="18"/>
    </w:rPr>
  </w:style>
  <w:style w:type="paragraph" w:styleId="41">
    <w:name w:val="index 3"/>
    <w:basedOn w:val="1"/>
    <w:next w:val="1"/>
    <w:semiHidden/>
    <w:qFormat/>
    <w:uiPriority w:val="0"/>
    <w:pPr>
      <w:jc w:val="center"/>
    </w:pPr>
    <w:rPr>
      <w:rFonts w:ascii="仿宋_GB2312" w:hAnsi="宋体" w:eastAsia="仿宋_GB2312" w:cs="宋体"/>
      <w:color w:val="FF0000"/>
      <w:kern w:val="0"/>
      <w:sz w:val="28"/>
      <w:szCs w:val="24"/>
    </w:rPr>
  </w:style>
  <w:style w:type="paragraph" w:styleId="42">
    <w:name w:val="Date"/>
    <w:basedOn w:val="1"/>
    <w:next w:val="1"/>
    <w:link w:val="115"/>
    <w:qFormat/>
    <w:uiPriority w:val="99"/>
    <w:pPr>
      <w:ind w:left="100" w:leftChars="2500"/>
    </w:pPr>
    <w:rPr>
      <w:kern w:val="0"/>
      <w:szCs w:val="20"/>
    </w:rPr>
  </w:style>
  <w:style w:type="paragraph" w:styleId="43">
    <w:name w:val="Body Text Indent 2"/>
    <w:basedOn w:val="1"/>
    <w:next w:val="1"/>
    <w:link w:val="116"/>
    <w:qFormat/>
    <w:uiPriority w:val="99"/>
    <w:pPr>
      <w:spacing w:after="120" w:line="480" w:lineRule="auto"/>
      <w:ind w:left="420" w:leftChars="200"/>
    </w:pPr>
    <w:rPr>
      <w:kern w:val="0"/>
      <w:szCs w:val="20"/>
    </w:rPr>
  </w:style>
  <w:style w:type="paragraph" w:styleId="44">
    <w:name w:val="endnote text"/>
    <w:basedOn w:val="1"/>
    <w:link w:val="117"/>
    <w:qFormat/>
    <w:uiPriority w:val="0"/>
    <w:pPr>
      <w:spacing w:line="240" w:lineRule="auto"/>
    </w:pPr>
    <w:rPr>
      <w:sz w:val="21"/>
      <w:szCs w:val="24"/>
    </w:rPr>
  </w:style>
  <w:style w:type="paragraph" w:styleId="45">
    <w:name w:val="List Continue 5"/>
    <w:basedOn w:val="1"/>
    <w:qFormat/>
    <w:uiPriority w:val="0"/>
    <w:pPr>
      <w:spacing w:after="120" w:line="348" w:lineRule="auto"/>
      <w:ind w:left="2100" w:leftChars="1000"/>
    </w:pPr>
    <w:rPr>
      <w:snapToGrid w:val="0"/>
      <w:kern w:val="0"/>
      <w:sz w:val="28"/>
      <w:szCs w:val="24"/>
    </w:rPr>
  </w:style>
  <w:style w:type="paragraph" w:styleId="46">
    <w:name w:val="Balloon Text"/>
    <w:basedOn w:val="1"/>
    <w:link w:val="118"/>
    <w:qFormat/>
    <w:uiPriority w:val="0"/>
    <w:pPr>
      <w:spacing w:line="240" w:lineRule="auto"/>
    </w:pPr>
    <w:rPr>
      <w:kern w:val="0"/>
      <w:sz w:val="18"/>
      <w:szCs w:val="18"/>
    </w:rPr>
  </w:style>
  <w:style w:type="paragraph" w:styleId="47">
    <w:name w:val="footer"/>
    <w:basedOn w:val="1"/>
    <w:link w:val="119"/>
    <w:qFormat/>
    <w:uiPriority w:val="99"/>
    <w:pPr>
      <w:tabs>
        <w:tab w:val="center" w:pos="4153"/>
        <w:tab w:val="right" w:pos="8306"/>
      </w:tabs>
      <w:spacing w:line="240" w:lineRule="atLeast"/>
    </w:pPr>
    <w:rPr>
      <w:kern w:val="0"/>
      <w:sz w:val="18"/>
      <w:szCs w:val="18"/>
    </w:rPr>
  </w:style>
  <w:style w:type="paragraph" w:styleId="48">
    <w:name w:val="header"/>
    <w:basedOn w:val="1"/>
    <w:link w:val="120"/>
    <w:qFormat/>
    <w:uiPriority w:val="0"/>
    <w:pPr>
      <w:pBdr>
        <w:bottom w:val="single" w:color="auto" w:sz="6" w:space="1"/>
      </w:pBdr>
      <w:tabs>
        <w:tab w:val="center" w:pos="4153"/>
        <w:tab w:val="right" w:pos="8306"/>
      </w:tabs>
      <w:spacing w:line="240" w:lineRule="atLeast"/>
      <w:jc w:val="center"/>
    </w:pPr>
    <w:rPr>
      <w:kern w:val="0"/>
      <w:sz w:val="18"/>
      <w:szCs w:val="18"/>
    </w:rPr>
  </w:style>
  <w:style w:type="paragraph" w:styleId="49">
    <w:name w:val="toc 1"/>
    <w:basedOn w:val="1"/>
    <w:next w:val="1"/>
    <w:qFormat/>
    <w:uiPriority w:val="39"/>
    <w:pPr>
      <w:tabs>
        <w:tab w:val="right" w:leader="dot" w:pos="8296"/>
      </w:tabs>
    </w:pPr>
    <w:rPr>
      <w:rFonts w:eastAsia="黑体"/>
    </w:rPr>
  </w:style>
  <w:style w:type="paragraph" w:styleId="50">
    <w:name w:val="toc 4"/>
    <w:basedOn w:val="1"/>
    <w:next w:val="1"/>
    <w:qFormat/>
    <w:uiPriority w:val="39"/>
    <w:pPr>
      <w:ind w:left="720"/>
    </w:pPr>
    <w:rPr>
      <w:sz w:val="18"/>
      <w:szCs w:val="18"/>
    </w:rPr>
  </w:style>
  <w:style w:type="paragraph" w:styleId="51">
    <w:name w:val="index heading"/>
    <w:basedOn w:val="1"/>
    <w:next w:val="52"/>
    <w:qFormat/>
    <w:uiPriority w:val="0"/>
    <w:pPr>
      <w:spacing w:line="240" w:lineRule="auto"/>
    </w:pPr>
    <w:rPr>
      <w:sz w:val="21"/>
      <w:szCs w:val="24"/>
    </w:rPr>
  </w:style>
  <w:style w:type="paragraph" w:styleId="52">
    <w:name w:val="index 1"/>
    <w:basedOn w:val="1"/>
    <w:next w:val="1"/>
    <w:qFormat/>
    <w:uiPriority w:val="0"/>
    <w:pPr>
      <w:spacing w:line="240" w:lineRule="exact"/>
      <w:jc w:val="center"/>
    </w:pPr>
    <w:rPr>
      <w:sz w:val="21"/>
      <w:szCs w:val="24"/>
    </w:rPr>
  </w:style>
  <w:style w:type="paragraph" w:styleId="53">
    <w:name w:val="Subtitle"/>
    <w:basedOn w:val="1"/>
    <w:link w:val="121"/>
    <w:qFormat/>
    <w:uiPriority w:val="0"/>
    <w:pPr>
      <w:spacing w:after="60" w:line="480" w:lineRule="exact"/>
      <w:ind w:firstLine="567"/>
      <w:jc w:val="center"/>
      <w:textAlignment w:val="baseline"/>
    </w:pPr>
    <w:rPr>
      <w:rFonts w:ascii="Arial" w:hAnsi="Arial" w:eastAsia="黑体"/>
      <w:i/>
      <w:iCs/>
      <w:color w:val="000000"/>
      <w:sz w:val="28"/>
      <w:szCs w:val="28"/>
    </w:rPr>
  </w:style>
  <w:style w:type="paragraph" w:styleId="54">
    <w:name w:val="List Number 5"/>
    <w:basedOn w:val="1"/>
    <w:qFormat/>
    <w:uiPriority w:val="0"/>
    <w:pPr>
      <w:tabs>
        <w:tab w:val="left" w:pos="720"/>
      </w:tabs>
      <w:spacing w:line="440" w:lineRule="exact"/>
      <w:ind w:left="720" w:hanging="360" w:firstLineChars="200"/>
      <w:contextualSpacing/>
      <w:jc w:val="both"/>
    </w:pPr>
    <w:rPr>
      <w:kern w:val="0"/>
      <w:lang w:eastAsia="en-US" w:bidi="en-US"/>
    </w:rPr>
  </w:style>
  <w:style w:type="paragraph" w:styleId="55">
    <w:name w:val="List"/>
    <w:basedOn w:val="1"/>
    <w:link w:val="122"/>
    <w:qFormat/>
    <w:uiPriority w:val="0"/>
    <w:pPr>
      <w:spacing w:line="440" w:lineRule="exact"/>
      <w:jc w:val="center"/>
      <w:textAlignment w:val="baseline"/>
    </w:pPr>
    <w:rPr>
      <w:rFonts w:ascii="宋体" w:hAnsi="宋体"/>
      <w:sz w:val="20"/>
      <w:szCs w:val="20"/>
    </w:rPr>
  </w:style>
  <w:style w:type="paragraph" w:styleId="56">
    <w:name w:val="footnote text"/>
    <w:basedOn w:val="1"/>
    <w:link w:val="123"/>
    <w:qFormat/>
    <w:uiPriority w:val="99"/>
    <w:pPr>
      <w:spacing w:line="240" w:lineRule="auto"/>
    </w:pPr>
    <w:rPr>
      <w:sz w:val="18"/>
      <w:szCs w:val="18"/>
    </w:rPr>
  </w:style>
  <w:style w:type="paragraph" w:styleId="57">
    <w:name w:val="toc 6"/>
    <w:basedOn w:val="1"/>
    <w:next w:val="1"/>
    <w:qFormat/>
    <w:uiPriority w:val="39"/>
    <w:pPr>
      <w:ind w:left="1200"/>
    </w:pPr>
    <w:rPr>
      <w:sz w:val="18"/>
      <w:szCs w:val="18"/>
    </w:rPr>
  </w:style>
  <w:style w:type="paragraph" w:styleId="58">
    <w:name w:val="List 5"/>
    <w:basedOn w:val="1"/>
    <w:qFormat/>
    <w:uiPriority w:val="0"/>
    <w:pPr>
      <w:spacing w:line="360" w:lineRule="atLeast"/>
      <w:ind w:left="2100" w:hanging="420" w:firstLineChars="200"/>
      <w:jc w:val="both"/>
      <w:textAlignment w:val="baseline"/>
    </w:pPr>
    <w:rPr>
      <w:kern w:val="0"/>
      <w:szCs w:val="20"/>
      <w:lang w:eastAsia="en-US" w:bidi="en-US"/>
    </w:rPr>
  </w:style>
  <w:style w:type="paragraph" w:styleId="59">
    <w:name w:val="Body Text Indent 3"/>
    <w:basedOn w:val="1"/>
    <w:link w:val="124"/>
    <w:qFormat/>
    <w:uiPriority w:val="99"/>
    <w:pPr>
      <w:spacing w:line="460" w:lineRule="atLeast"/>
      <w:ind w:firstLine="570"/>
    </w:pPr>
    <w:rPr>
      <w:rFonts w:ascii="楷体_GB2312" w:eastAsia="楷体_GB2312"/>
      <w:color w:val="FF0000"/>
      <w:sz w:val="28"/>
      <w:szCs w:val="20"/>
    </w:rPr>
  </w:style>
  <w:style w:type="paragraph" w:styleId="60">
    <w:name w:val="table of figures"/>
    <w:basedOn w:val="1"/>
    <w:next w:val="1"/>
    <w:qFormat/>
    <w:uiPriority w:val="0"/>
    <w:pPr>
      <w:tabs>
        <w:tab w:val="right" w:leader="dot" w:pos="8889"/>
      </w:tabs>
    </w:pPr>
    <w:rPr>
      <w:kern w:val="0"/>
      <w:szCs w:val="24"/>
    </w:rPr>
  </w:style>
  <w:style w:type="paragraph" w:styleId="61">
    <w:name w:val="toc 2"/>
    <w:basedOn w:val="1"/>
    <w:next w:val="1"/>
    <w:qFormat/>
    <w:uiPriority w:val="39"/>
    <w:pPr>
      <w:tabs>
        <w:tab w:val="left" w:pos="1320"/>
        <w:tab w:val="right" w:leader="dot" w:pos="8296"/>
      </w:tabs>
    </w:pPr>
    <w:rPr>
      <w:rFonts w:eastAsia="黑体"/>
    </w:rPr>
  </w:style>
  <w:style w:type="paragraph" w:styleId="62">
    <w:name w:val="toc 9"/>
    <w:basedOn w:val="1"/>
    <w:next w:val="1"/>
    <w:qFormat/>
    <w:uiPriority w:val="39"/>
    <w:pPr>
      <w:ind w:left="1920"/>
    </w:pPr>
    <w:rPr>
      <w:sz w:val="18"/>
      <w:szCs w:val="18"/>
    </w:rPr>
  </w:style>
  <w:style w:type="paragraph" w:styleId="63">
    <w:name w:val="Body Text 2"/>
    <w:basedOn w:val="1"/>
    <w:link w:val="125"/>
    <w:qFormat/>
    <w:uiPriority w:val="99"/>
    <w:rPr>
      <w:sz w:val="28"/>
      <w:szCs w:val="20"/>
    </w:rPr>
  </w:style>
  <w:style w:type="paragraph" w:styleId="64">
    <w:name w:val="List 4"/>
    <w:basedOn w:val="1"/>
    <w:qFormat/>
    <w:uiPriority w:val="0"/>
    <w:pPr>
      <w:spacing w:line="440" w:lineRule="exact"/>
      <w:ind w:left="100" w:leftChars="600" w:hanging="200" w:hangingChars="200"/>
      <w:jc w:val="both"/>
    </w:pPr>
    <w:rPr>
      <w:snapToGrid w:val="0"/>
      <w:kern w:val="28"/>
      <w:sz w:val="26"/>
      <w:szCs w:val="26"/>
      <w:lang w:eastAsia="en-US" w:bidi="en-US"/>
    </w:rPr>
  </w:style>
  <w:style w:type="paragraph" w:styleId="65">
    <w:name w:val="List Continue 2"/>
    <w:basedOn w:val="1"/>
    <w:qFormat/>
    <w:uiPriority w:val="0"/>
    <w:pPr>
      <w:spacing w:line="344" w:lineRule="atLeast"/>
      <w:ind w:firstLine="200" w:firstLineChars="200"/>
      <w:jc w:val="both"/>
      <w:textAlignment w:val="baseline"/>
    </w:pPr>
    <w:rPr>
      <w:kern w:val="0"/>
      <w:sz w:val="28"/>
      <w:szCs w:val="20"/>
      <w:lang w:eastAsia="en-US" w:bidi="en-US"/>
    </w:rPr>
  </w:style>
  <w:style w:type="paragraph" w:styleId="66">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rPr>
  </w:style>
  <w:style w:type="paragraph" w:styleId="67">
    <w:name w:val="HTML Preformatted"/>
    <w:basedOn w:val="1"/>
    <w:link w:val="126"/>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kern w:val="0"/>
      <w:szCs w:val="24"/>
    </w:rPr>
  </w:style>
  <w:style w:type="paragraph" w:styleId="68">
    <w:name w:val="Normal (Web)"/>
    <w:basedOn w:val="1"/>
    <w:link w:val="127"/>
    <w:qFormat/>
    <w:uiPriority w:val="0"/>
    <w:pPr>
      <w:spacing w:before="100" w:beforeAutospacing="1" w:after="100" w:afterAutospacing="1" w:line="240" w:lineRule="auto"/>
    </w:pPr>
    <w:rPr>
      <w:rFonts w:ascii="宋体" w:hAnsi="宋体"/>
      <w:kern w:val="0"/>
      <w:szCs w:val="24"/>
    </w:rPr>
  </w:style>
  <w:style w:type="paragraph" w:styleId="69">
    <w:name w:val="index 2"/>
    <w:basedOn w:val="1"/>
    <w:next w:val="1"/>
    <w:semiHidden/>
    <w:qFormat/>
    <w:uiPriority w:val="0"/>
    <w:pPr>
      <w:ind w:left="-43" w:leftChars="-21" w:hanging="1"/>
    </w:pPr>
    <w:rPr>
      <w:rFonts w:ascii="仿宋_GB2312" w:hAnsi="宋体" w:eastAsia="仿宋_GB2312" w:cs="宋体"/>
      <w:kern w:val="0"/>
      <w:sz w:val="28"/>
      <w:szCs w:val="24"/>
    </w:rPr>
  </w:style>
  <w:style w:type="paragraph" w:styleId="70">
    <w:name w:val="Title"/>
    <w:basedOn w:val="1"/>
    <w:next w:val="1"/>
    <w:link w:val="128"/>
    <w:qFormat/>
    <w:uiPriority w:val="10"/>
    <w:pPr>
      <w:spacing w:before="240" w:after="60" w:line="480" w:lineRule="exact"/>
      <w:outlineLvl w:val="0"/>
    </w:pPr>
    <w:rPr>
      <w:rFonts w:ascii="Cambria" w:hAnsi="Cambria"/>
      <w:b/>
      <w:bCs/>
      <w:sz w:val="32"/>
      <w:szCs w:val="32"/>
    </w:rPr>
  </w:style>
  <w:style w:type="paragraph" w:styleId="71">
    <w:name w:val="annotation subject"/>
    <w:basedOn w:val="27"/>
    <w:next w:val="27"/>
    <w:link w:val="129"/>
    <w:qFormat/>
    <w:uiPriority w:val="99"/>
    <w:rPr>
      <w:bCs/>
    </w:rPr>
  </w:style>
  <w:style w:type="paragraph" w:styleId="72">
    <w:name w:val="Body Text First Indent"/>
    <w:basedOn w:val="31"/>
    <w:next w:val="1"/>
    <w:link w:val="130"/>
    <w:qFormat/>
    <w:uiPriority w:val="0"/>
    <w:pPr>
      <w:ind w:firstLine="420" w:firstLineChars="100"/>
    </w:pPr>
  </w:style>
  <w:style w:type="table" w:styleId="74">
    <w:name w:val="Table Grid"/>
    <w:basedOn w:val="73"/>
    <w:qFormat/>
    <w:uiPriority w:val="99"/>
    <w:pPr>
      <w:widowControl w:val="0"/>
      <w:ind w:firstLine="20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5">
    <w:name w:val="Table Theme"/>
    <w:basedOn w:val="73"/>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6">
    <w:name w:val="Table Simple 1"/>
    <w:basedOn w:val="73"/>
    <w:qFormat/>
    <w:uiPriority w:val="0"/>
    <w:pPr>
      <w:widowControl w:val="0"/>
      <w:adjustRightInd w:val="0"/>
      <w:textAlignment w:val="baseline"/>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77">
    <w:name w:val="Table List 5"/>
    <w:basedOn w:val="73"/>
    <w:qFormat/>
    <w:uiPriority w:val="0"/>
    <w:pPr>
      <w:widowControl w:val="0"/>
      <w:adjustRightInd w:val="0"/>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78">
    <w:name w:val="Table Grid 1"/>
    <w:basedOn w:val="7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9">
    <w:name w:val="Table Grid 5"/>
    <w:basedOn w:val="7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0">
    <w:name w:val="Table Grid 7"/>
    <w:basedOn w:val="73"/>
    <w:qFormat/>
    <w:uiPriority w:val="0"/>
    <w:pPr>
      <w:widowControl w:val="0"/>
      <w:snapToGrid w:val="0"/>
      <w:spacing w:line="348" w:lineRule="auto"/>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82">
    <w:name w:val="Strong"/>
    <w:qFormat/>
    <w:uiPriority w:val="0"/>
    <w:rPr>
      <w:b/>
      <w:bCs/>
    </w:rPr>
  </w:style>
  <w:style w:type="character" w:styleId="83">
    <w:name w:val="endnote reference"/>
    <w:basedOn w:val="81"/>
    <w:qFormat/>
    <w:uiPriority w:val="0"/>
    <w:rPr>
      <w:vertAlign w:val="superscript"/>
    </w:rPr>
  </w:style>
  <w:style w:type="character" w:styleId="84">
    <w:name w:val="page number"/>
    <w:basedOn w:val="81"/>
    <w:qFormat/>
    <w:uiPriority w:val="0"/>
  </w:style>
  <w:style w:type="character" w:styleId="85">
    <w:name w:val="FollowedHyperlink"/>
    <w:basedOn w:val="81"/>
    <w:qFormat/>
    <w:uiPriority w:val="99"/>
    <w:rPr>
      <w:color w:val="000000"/>
      <w:u w:val="none"/>
    </w:rPr>
  </w:style>
  <w:style w:type="character" w:styleId="86">
    <w:name w:val="Emphasis"/>
    <w:qFormat/>
    <w:uiPriority w:val="0"/>
    <w:rPr>
      <w:i/>
      <w:iCs/>
    </w:rPr>
  </w:style>
  <w:style w:type="character" w:styleId="87">
    <w:name w:val="HTML Typewriter"/>
    <w:qFormat/>
    <w:uiPriority w:val="0"/>
    <w:rPr>
      <w:rFonts w:ascii="宋体" w:hAnsi="宋体" w:eastAsia="宋体" w:cs="宋体"/>
      <w:sz w:val="18"/>
      <w:szCs w:val="18"/>
    </w:rPr>
  </w:style>
  <w:style w:type="character" w:styleId="88">
    <w:name w:val="Hyperlink"/>
    <w:qFormat/>
    <w:uiPriority w:val="99"/>
    <w:rPr>
      <w:rFonts w:cs="Times New Roman"/>
      <w:color w:val="0000FF"/>
      <w:u w:val="single"/>
    </w:rPr>
  </w:style>
  <w:style w:type="character" w:styleId="89">
    <w:name w:val="annotation reference"/>
    <w:qFormat/>
    <w:uiPriority w:val="0"/>
    <w:rPr>
      <w:rFonts w:cs="Times New Roman"/>
      <w:sz w:val="21"/>
      <w:szCs w:val="21"/>
    </w:rPr>
  </w:style>
  <w:style w:type="character" w:styleId="90">
    <w:name w:val="footnote reference"/>
    <w:qFormat/>
    <w:uiPriority w:val="0"/>
    <w:rPr>
      <w:vertAlign w:val="superscript"/>
    </w:rPr>
  </w:style>
  <w:style w:type="character" w:customStyle="1" w:styleId="91">
    <w:name w:val="正文文本缩进 Char4"/>
    <w:link w:val="3"/>
    <w:qFormat/>
    <w:uiPriority w:val="99"/>
    <w:rPr>
      <w:rFonts w:ascii="楷体_GB2312" w:eastAsia="楷体_GB2312"/>
      <w:snapToGrid w:val="0"/>
      <w:sz w:val="28"/>
    </w:rPr>
  </w:style>
  <w:style w:type="character" w:customStyle="1" w:styleId="92">
    <w:name w:val="正文首行缩进 2 Char2"/>
    <w:basedOn w:val="91"/>
    <w:link w:val="2"/>
    <w:qFormat/>
    <w:uiPriority w:val="99"/>
    <w:rPr>
      <w:rFonts w:ascii="宋体" w:hAnsi="宋体" w:eastAsia="楷体_GB2312" w:cs="宋体"/>
      <w:snapToGrid w:val="0"/>
      <w:sz w:val="21"/>
      <w:szCs w:val="24"/>
    </w:rPr>
  </w:style>
  <w:style w:type="character" w:customStyle="1" w:styleId="93">
    <w:name w:val="宏文本 Char1"/>
    <w:basedOn w:val="81"/>
    <w:link w:val="5"/>
    <w:qFormat/>
    <w:uiPriority w:val="0"/>
    <w:rPr>
      <w:rFonts w:ascii="Courier New" w:hAnsi="Courier New" w:cs="Courier New"/>
      <w:kern w:val="2"/>
      <w:sz w:val="24"/>
      <w:szCs w:val="24"/>
      <w:lang w:val="en-US" w:eastAsia="zh-CN" w:bidi="ar-SA"/>
    </w:rPr>
  </w:style>
  <w:style w:type="character" w:customStyle="1" w:styleId="94">
    <w:name w:val="标题 1 Char1"/>
    <w:link w:val="6"/>
    <w:qFormat/>
    <w:uiPriority w:val="9"/>
    <w:rPr>
      <w:rFonts w:ascii="Arial" w:hAnsi="Arial" w:eastAsia="宋体"/>
      <w:b/>
      <w:bCs/>
      <w:kern w:val="44"/>
      <w:sz w:val="28"/>
      <w:szCs w:val="44"/>
    </w:rPr>
  </w:style>
  <w:style w:type="character" w:customStyle="1" w:styleId="95">
    <w:name w:val="标题 2 Char1"/>
    <w:link w:val="7"/>
    <w:qFormat/>
    <w:uiPriority w:val="9"/>
    <w:rPr>
      <w:rFonts w:ascii="黑体" w:eastAsia="黑体"/>
      <w:b/>
      <w:bCs/>
      <w:kern w:val="2"/>
      <w:sz w:val="30"/>
      <w:szCs w:val="32"/>
    </w:rPr>
  </w:style>
  <w:style w:type="character" w:customStyle="1" w:styleId="96">
    <w:name w:val="标题 3 Char2"/>
    <w:link w:val="8"/>
    <w:qFormat/>
    <w:uiPriority w:val="99"/>
    <w:rPr>
      <w:b/>
      <w:bCs/>
      <w:kern w:val="2"/>
      <w:sz w:val="28"/>
      <w:szCs w:val="32"/>
    </w:rPr>
  </w:style>
  <w:style w:type="character" w:customStyle="1" w:styleId="97">
    <w:name w:val="标题 4 Char3"/>
    <w:link w:val="9"/>
    <w:qFormat/>
    <w:uiPriority w:val="99"/>
    <w:rPr>
      <w:rFonts w:cs="宋体"/>
      <w:b/>
      <w:kern w:val="2"/>
      <w:sz w:val="24"/>
    </w:rPr>
  </w:style>
  <w:style w:type="character" w:customStyle="1" w:styleId="98">
    <w:name w:val="标题 5 Char2"/>
    <w:link w:val="10"/>
    <w:qFormat/>
    <w:uiPriority w:val="99"/>
    <w:rPr>
      <w:rFonts w:ascii="Times New Roman" w:hAnsi="Times New Roman" w:eastAsia="宋体" w:cs="Times New Roman"/>
      <w:b/>
      <w:bCs/>
      <w:sz w:val="24"/>
      <w:szCs w:val="28"/>
    </w:rPr>
  </w:style>
  <w:style w:type="character" w:customStyle="1" w:styleId="99">
    <w:name w:val="表格 Char"/>
    <w:link w:val="12"/>
    <w:qFormat/>
    <w:uiPriority w:val="0"/>
    <w:rPr>
      <w:rFonts w:eastAsia="宋体"/>
      <w:kern w:val="2"/>
    </w:rPr>
  </w:style>
  <w:style w:type="character" w:customStyle="1" w:styleId="100">
    <w:name w:val="标题 6 Char1"/>
    <w:link w:val="11"/>
    <w:qFormat/>
    <w:uiPriority w:val="99"/>
    <w:rPr>
      <w:rFonts w:ascii="Cambria" w:hAnsi="Cambria" w:eastAsia="宋体" w:cs="Times New Roman"/>
      <w:b/>
      <w:bCs/>
      <w:sz w:val="24"/>
      <w:szCs w:val="24"/>
    </w:rPr>
  </w:style>
  <w:style w:type="character" w:customStyle="1" w:styleId="101">
    <w:name w:val="正文缩进 Char1"/>
    <w:link w:val="13"/>
    <w:qFormat/>
    <w:uiPriority w:val="0"/>
    <w:rPr>
      <w:kern w:val="2"/>
    </w:rPr>
  </w:style>
  <w:style w:type="character" w:customStyle="1" w:styleId="102">
    <w:name w:val="标题 7 Char1"/>
    <w:link w:val="14"/>
    <w:qFormat/>
    <w:uiPriority w:val="9"/>
    <w:rPr>
      <w:b/>
      <w:sz w:val="24"/>
    </w:rPr>
  </w:style>
  <w:style w:type="character" w:customStyle="1" w:styleId="103">
    <w:name w:val="标题 8 Char1"/>
    <w:link w:val="15"/>
    <w:qFormat/>
    <w:uiPriority w:val="9"/>
    <w:rPr>
      <w:rFonts w:ascii="Arial" w:hAnsi="Arial" w:eastAsia="黑体"/>
      <w:sz w:val="24"/>
    </w:rPr>
  </w:style>
  <w:style w:type="character" w:customStyle="1" w:styleId="104">
    <w:name w:val="标题 9 Char1"/>
    <w:link w:val="16"/>
    <w:qFormat/>
    <w:uiPriority w:val="9"/>
    <w:rPr>
      <w:rFonts w:ascii="Arial" w:hAnsi="Arial" w:eastAsia="黑体"/>
    </w:rPr>
  </w:style>
  <w:style w:type="character" w:customStyle="1" w:styleId="105">
    <w:name w:val="注释标题 Char1"/>
    <w:link w:val="19"/>
    <w:qFormat/>
    <w:uiPriority w:val="0"/>
    <w:rPr>
      <w:kern w:val="2"/>
      <w:szCs w:val="24"/>
    </w:rPr>
  </w:style>
  <w:style w:type="character" w:customStyle="1" w:styleId="106">
    <w:name w:val="电子邮件签名 Char1"/>
    <w:basedOn w:val="81"/>
    <w:link w:val="20"/>
    <w:qFormat/>
    <w:uiPriority w:val="0"/>
    <w:rPr>
      <w:rFonts w:ascii="Calibri" w:hAnsi="Calibri"/>
      <w:sz w:val="24"/>
      <w:szCs w:val="22"/>
      <w:lang w:eastAsia="en-US" w:bidi="en-US"/>
    </w:rPr>
  </w:style>
  <w:style w:type="character" w:customStyle="1" w:styleId="107">
    <w:name w:val="题注 Char"/>
    <w:link w:val="22"/>
    <w:qFormat/>
    <w:uiPriority w:val="0"/>
    <w:rPr>
      <w:rFonts w:ascii="Arial" w:hAnsi="Arial" w:eastAsia="黑体"/>
      <w:b/>
      <w:bCs/>
      <w:color w:val="000000"/>
      <w:sz w:val="28"/>
      <w:szCs w:val="28"/>
    </w:rPr>
  </w:style>
  <w:style w:type="character" w:customStyle="1" w:styleId="108">
    <w:name w:val="文档结构图 Char3"/>
    <w:link w:val="25"/>
    <w:qFormat/>
    <w:uiPriority w:val="99"/>
    <w:rPr>
      <w:rFonts w:ascii="宋体"/>
      <w:kern w:val="2"/>
      <w:sz w:val="18"/>
      <w:szCs w:val="18"/>
    </w:rPr>
  </w:style>
  <w:style w:type="character" w:customStyle="1" w:styleId="109">
    <w:name w:val="批注文字 Char3"/>
    <w:link w:val="27"/>
    <w:qFormat/>
    <w:uiPriority w:val="0"/>
    <w:rPr>
      <w:rFonts w:ascii="Times New Roman" w:hAnsi="Times New Roman" w:eastAsia="宋体"/>
      <w:b/>
      <w:sz w:val="24"/>
    </w:rPr>
  </w:style>
  <w:style w:type="character" w:customStyle="1" w:styleId="110">
    <w:name w:val="称呼 Char1"/>
    <w:link w:val="28"/>
    <w:qFormat/>
    <w:uiPriority w:val="99"/>
    <w:rPr>
      <w:kern w:val="2"/>
      <w:sz w:val="24"/>
    </w:rPr>
  </w:style>
  <w:style w:type="character" w:customStyle="1" w:styleId="111">
    <w:name w:val="正文文本 3 Char2"/>
    <w:link w:val="29"/>
    <w:qFormat/>
    <w:uiPriority w:val="99"/>
    <w:rPr>
      <w:rFonts w:ascii="Calibri" w:hAnsi="Calibri"/>
      <w:kern w:val="2"/>
      <w:sz w:val="16"/>
      <w:szCs w:val="16"/>
    </w:rPr>
  </w:style>
  <w:style w:type="character" w:customStyle="1" w:styleId="112">
    <w:name w:val="正文文本 Char2"/>
    <w:link w:val="31"/>
    <w:qFormat/>
    <w:uiPriority w:val="99"/>
    <w:rPr>
      <w:sz w:val="24"/>
    </w:rPr>
  </w:style>
  <w:style w:type="character" w:customStyle="1" w:styleId="113">
    <w:name w:val="文本块 Char"/>
    <w:link w:val="34"/>
    <w:qFormat/>
    <w:uiPriority w:val="0"/>
    <w:rPr>
      <w:kern w:val="2"/>
      <w:sz w:val="24"/>
    </w:rPr>
  </w:style>
  <w:style w:type="character" w:customStyle="1" w:styleId="114">
    <w:name w:val="纯文本 Char4"/>
    <w:link w:val="39"/>
    <w:qFormat/>
    <w:uiPriority w:val="99"/>
    <w:rPr>
      <w:snapToGrid w:val="0"/>
      <w:sz w:val="28"/>
    </w:rPr>
  </w:style>
  <w:style w:type="character" w:customStyle="1" w:styleId="115">
    <w:name w:val="日期 Char2"/>
    <w:link w:val="42"/>
    <w:qFormat/>
    <w:uiPriority w:val="99"/>
    <w:rPr>
      <w:sz w:val="24"/>
    </w:rPr>
  </w:style>
  <w:style w:type="character" w:customStyle="1" w:styleId="116">
    <w:name w:val="正文文本缩进 2 Char2"/>
    <w:link w:val="43"/>
    <w:qFormat/>
    <w:uiPriority w:val="99"/>
    <w:rPr>
      <w:sz w:val="24"/>
    </w:rPr>
  </w:style>
  <w:style w:type="character" w:customStyle="1" w:styleId="117">
    <w:name w:val="尾注文本 Char"/>
    <w:basedOn w:val="81"/>
    <w:link w:val="44"/>
    <w:qFormat/>
    <w:uiPriority w:val="99"/>
    <w:rPr>
      <w:kern w:val="2"/>
      <w:sz w:val="21"/>
      <w:szCs w:val="24"/>
    </w:rPr>
  </w:style>
  <w:style w:type="character" w:customStyle="1" w:styleId="118">
    <w:name w:val="批注框文本 Char2"/>
    <w:link w:val="46"/>
    <w:qFormat/>
    <w:uiPriority w:val="0"/>
    <w:rPr>
      <w:sz w:val="18"/>
      <w:szCs w:val="18"/>
    </w:rPr>
  </w:style>
  <w:style w:type="character" w:customStyle="1" w:styleId="119">
    <w:name w:val="页脚 Char2"/>
    <w:link w:val="47"/>
    <w:qFormat/>
    <w:uiPriority w:val="99"/>
    <w:rPr>
      <w:sz w:val="18"/>
      <w:szCs w:val="18"/>
    </w:rPr>
  </w:style>
  <w:style w:type="character" w:customStyle="1" w:styleId="120">
    <w:name w:val="页眉 Char"/>
    <w:link w:val="48"/>
    <w:qFormat/>
    <w:uiPriority w:val="0"/>
    <w:rPr>
      <w:sz w:val="18"/>
      <w:szCs w:val="18"/>
    </w:rPr>
  </w:style>
  <w:style w:type="character" w:customStyle="1" w:styleId="121">
    <w:name w:val="副标题 Char2"/>
    <w:link w:val="53"/>
    <w:qFormat/>
    <w:uiPriority w:val="0"/>
    <w:rPr>
      <w:rFonts w:ascii="Arial" w:hAnsi="Arial" w:eastAsia="黑体"/>
      <w:i/>
      <w:iCs/>
      <w:color w:val="000000"/>
      <w:kern w:val="2"/>
      <w:sz w:val="28"/>
      <w:szCs w:val="28"/>
    </w:rPr>
  </w:style>
  <w:style w:type="character" w:customStyle="1" w:styleId="122">
    <w:name w:val="列表 Char"/>
    <w:link w:val="55"/>
    <w:qFormat/>
    <w:uiPriority w:val="0"/>
    <w:rPr>
      <w:rFonts w:ascii="宋体" w:hAnsi="宋体"/>
      <w:kern w:val="2"/>
    </w:rPr>
  </w:style>
  <w:style w:type="character" w:customStyle="1" w:styleId="123">
    <w:name w:val="脚注文本 Char2"/>
    <w:link w:val="56"/>
    <w:semiHidden/>
    <w:qFormat/>
    <w:uiPriority w:val="99"/>
    <w:rPr>
      <w:kern w:val="2"/>
      <w:sz w:val="18"/>
      <w:szCs w:val="18"/>
    </w:rPr>
  </w:style>
  <w:style w:type="character" w:customStyle="1" w:styleId="124">
    <w:name w:val="正文文本缩进 3 Char3"/>
    <w:link w:val="59"/>
    <w:qFormat/>
    <w:uiPriority w:val="99"/>
    <w:rPr>
      <w:rFonts w:ascii="楷体_GB2312" w:eastAsia="楷体_GB2312"/>
      <w:color w:val="FF0000"/>
      <w:kern w:val="2"/>
      <w:sz w:val="28"/>
    </w:rPr>
  </w:style>
  <w:style w:type="character" w:customStyle="1" w:styleId="125">
    <w:name w:val="正文文本 2 Char2"/>
    <w:link w:val="63"/>
    <w:qFormat/>
    <w:uiPriority w:val="99"/>
    <w:rPr>
      <w:kern w:val="2"/>
      <w:sz w:val="28"/>
    </w:rPr>
  </w:style>
  <w:style w:type="character" w:customStyle="1" w:styleId="126">
    <w:name w:val="HTML 预设格式 Char2"/>
    <w:link w:val="67"/>
    <w:qFormat/>
    <w:uiPriority w:val="99"/>
    <w:rPr>
      <w:rFonts w:ascii="宋体" w:hAnsi="宋体"/>
      <w:sz w:val="24"/>
      <w:szCs w:val="24"/>
    </w:rPr>
  </w:style>
  <w:style w:type="character" w:customStyle="1" w:styleId="127">
    <w:name w:val="普通(网站) Char"/>
    <w:link w:val="68"/>
    <w:qFormat/>
    <w:uiPriority w:val="0"/>
    <w:rPr>
      <w:rFonts w:ascii="宋体" w:hAnsi="宋体" w:cs="宋体"/>
      <w:sz w:val="24"/>
      <w:szCs w:val="24"/>
    </w:rPr>
  </w:style>
  <w:style w:type="character" w:customStyle="1" w:styleId="128">
    <w:name w:val="标题 Char2"/>
    <w:link w:val="70"/>
    <w:qFormat/>
    <w:uiPriority w:val="10"/>
    <w:rPr>
      <w:rFonts w:ascii="Cambria" w:hAnsi="Cambria"/>
      <w:b/>
      <w:bCs/>
      <w:kern w:val="2"/>
      <w:sz w:val="32"/>
      <w:szCs w:val="32"/>
    </w:rPr>
  </w:style>
  <w:style w:type="character" w:customStyle="1" w:styleId="129">
    <w:name w:val="批注主题 Char2"/>
    <w:link w:val="71"/>
    <w:qFormat/>
    <w:uiPriority w:val="99"/>
    <w:rPr>
      <w:b/>
      <w:bCs/>
      <w:sz w:val="24"/>
    </w:rPr>
  </w:style>
  <w:style w:type="character" w:customStyle="1" w:styleId="130">
    <w:name w:val="正文首行缩进 Char4"/>
    <w:basedOn w:val="112"/>
    <w:link w:val="72"/>
    <w:qFormat/>
    <w:uiPriority w:val="99"/>
    <w:rPr>
      <w:sz w:val="24"/>
    </w:rPr>
  </w:style>
  <w:style w:type="paragraph" w:customStyle="1" w:styleId="131">
    <w:name w:val="Default"/>
    <w:next w:val="17"/>
    <w:link w:val="132"/>
    <w:qFormat/>
    <w:uiPriority w:val="0"/>
    <w:pPr>
      <w:widowControl w:val="0"/>
      <w:autoSpaceDE w:val="0"/>
      <w:autoSpaceDN w:val="0"/>
      <w:spacing w:line="360" w:lineRule="auto"/>
    </w:pPr>
    <w:rPr>
      <w:rFonts w:ascii="宋体" w:hAnsi="Times New Roman" w:eastAsia="宋体" w:cs="Times New Roman"/>
      <w:color w:val="000000"/>
      <w:sz w:val="24"/>
      <w:szCs w:val="24"/>
      <w:lang w:val="en-US" w:eastAsia="zh-CN" w:bidi="ar-SA"/>
    </w:rPr>
  </w:style>
  <w:style w:type="character" w:customStyle="1" w:styleId="132">
    <w:name w:val="Default Char Char"/>
    <w:link w:val="131"/>
    <w:qFormat/>
    <w:uiPriority w:val="0"/>
    <w:rPr>
      <w:rFonts w:ascii="宋体"/>
      <w:color w:val="000000"/>
      <w:sz w:val="24"/>
      <w:szCs w:val="24"/>
      <w:lang w:bidi="ar-SA"/>
    </w:rPr>
  </w:style>
  <w:style w:type="paragraph" w:customStyle="1" w:styleId="133">
    <w:name w:val="标题6 表头"/>
    <w:basedOn w:val="11"/>
    <w:next w:val="1"/>
    <w:qFormat/>
    <w:uiPriority w:val="0"/>
    <w:pPr>
      <w:spacing w:before="0" w:after="0" w:line="360" w:lineRule="auto"/>
    </w:pPr>
    <w:rPr>
      <w:rFonts w:ascii="宋体" w:hAnsi="宋体"/>
      <w:b w:val="0"/>
      <w:bCs w:val="0"/>
      <w:kern w:val="2"/>
      <w:sz w:val="21"/>
      <w:szCs w:val="21"/>
      <w:lang w:val="zh-CN"/>
    </w:rPr>
  </w:style>
  <w:style w:type="paragraph" w:customStyle="1" w:styleId="134">
    <w:name w:val="表格1"/>
    <w:basedOn w:val="1"/>
    <w:qFormat/>
    <w:uiPriority w:val="0"/>
    <w:pPr>
      <w:spacing w:line="480" w:lineRule="exact"/>
      <w:jc w:val="center"/>
    </w:pPr>
    <w:rPr>
      <w:sz w:val="21"/>
      <w:szCs w:val="24"/>
    </w:rPr>
  </w:style>
  <w:style w:type="character" w:customStyle="1" w:styleId="135">
    <w:name w:val="unnamed21"/>
    <w:basedOn w:val="81"/>
    <w:qFormat/>
    <w:uiPriority w:val="0"/>
  </w:style>
  <w:style w:type="character" w:customStyle="1" w:styleId="136">
    <w:name w:val="Char Char22"/>
    <w:qFormat/>
    <w:uiPriority w:val="0"/>
    <w:rPr>
      <w:rFonts w:eastAsia="宋体"/>
      <w:color w:val="000000"/>
      <w:kern w:val="2"/>
      <w:sz w:val="24"/>
      <w:szCs w:val="24"/>
      <w:lang w:val="en-US" w:eastAsia="zh-CN" w:bidi="ar-SA"/>
    </w:rPr>
  </w:style>
  <w:style w:type="character" w:customStyle="1" w:styleId="137">
    <w:name w:val="Char Char161"/>
    <w:qFormat/>
    <w:uiPriority w:val="0"/>
    <w:rPr>
      <w:rFonts w:eastAsia="宋体"/>
      <w:b/>
      <w:sz w:val="28"/>
      <w:lang w:val="en-US" w:eastAsia="zh-CN" w:bidi="ar-SA"/>
    </w:rPr>
  </w:style>
  <w:style w:type="character" w:customStyle="1" w:styleId="138">
    <w:name w:val="文本11 Char"/>
    <w:link w:val="139"/>
    <w:qFormat/>
    <w:uiPriority w:val="0"/>
    <w:rPr>
      <w:color w:val="000000"/>
      <w:kern w:val="2"/>
      <w:sz w:val="24"/>
      <w:szCs w:val="24"/>
    </w:rPr>
  </w:style>
  <w:style w:type="paragraph" w:customStyle="1" w:styleId="139">
    <w:name w:val="文本11"/>
    <w:basedOn w:val="1"/>
    <w:link w:val="138"/>
    <w:qFormat/>
    <w:uiPriority w:val="0"/>
    <w:rPr>
      <w:color w:val="000000"/>
      <w:szCs w:val="24"/>
    </w:rPr>
  </w:style>
  <w:style w:type="character" w:customStyle="1" w:styleId="140">
    <w:name w:val="WJ正文 Char"/>
    <w:link w:val="141"/>
    <w:qFormat/>
    <w:uiPriority w:val="0"/>
    <w:rPr>
      <w:rFonts w:ascii="宋体" w:hAnsi="宋体"/>
      <w:color w:val="000000"/>
      <w:sz w:val="24"/>
      <w:szCs w:val="24"/>
    </w:rPr>
  </w:style>
  <w:style w:type="paragraph" w:customStyle="1" w:styleId="141">
    <w:name w:val="WJ正文"/>
    <w:basedOn w:val="1"/>
    <w:next w:val="1"/>
    <w:link w:val="140"/>
    <w:qFormat/>
    <w:uiPriority w:val="0"/>
    <w:pPr>
      <w:tabs>
        <w:tab w:val="left" w:pos="600"/>
      </w:tabs>
    </w:pPr>
    <w:rPr>
      <w:rFonts w:ascii="宋体" w:hAnsi="宋体"/>
      <w:color w:val="000000"/>
      <w:kern w:val="0"/>
      <w:szCs w:val="24"/>
    </w:rPr>
  </w:style>
  <w:style w:type="character" w:customStyle="1" w:styleId="142">
    <w:name w:val="图中文字 Char"/>
    <w:link w:val="143"/>
    <w:qFormat/>
    <w:uiPriority w:val="0"/>
    <w:rPr>
      <w:szCs w:val="24"/>
      <w:lang w:val="en-US" w:eastAsia="zh-CN" w:bidi="ar-SA"/>
    </w:rPr>
  </w:style>
  <w:style w:type="paragraph" w:customStyle="1" w:styleId="143">
    <w:name w:val="图中文字"/>
    <w:link w:val="142"/>
    <w:qFormat/>
    <w:uiPriority w:val="0"/>
    <w:pPr>
      <w:adjustRightInd w:val="0"/>
      <w:snapToGrid w:val="0"/>
      <w:spacing w:line="240" w:lineRule="exact"/>
      <w:jc w:val="center"/>
      <w:textAlignment w:val="center"/>
    </w:pPr>
    <w:rPr>
      <w:rFonts w:ascii="Times New Roman" w:hAnsi="Times New Roman" w:eastAsia="宋体" w:cs="Times New Roman"/>
      <w:szCs w:val="24"/>
      <w:lang w:val="en-US" w:eastAsia="zh-CN" w:bidi="ar-SA"/>
    </w:rPr>
  </w:style>
  <w:style w:type="character" w:customStyle="1" w:styleId="144">
    <w:name w:val="普通文字 Char Char Char"/>
    <w:qFormat/>
    <w:uiPriority w:val="0"/>
    <w:rPr>
      <w:rFonts w:ascii="宋体" w:hAnsi="Courier New" w:eastAsia="宋体"/>
      <w:kern w:val="2"/>
      <w:sz w:val="21"/>
      <w:lang w:val="en-US" w:eastAsia="zh-CN" w:bidi="ar-SA"/>
    </w:rPr>
  </w:style>
  <w:style w:type="character" w:customStyle="1" w:styleId="145">
    <w:name w:val="页眉00 Char Char1"/>
    <w:qFormat/>
    <w:uiPriority w:val="0"/>
    <w:rPr>
      <w:rFonts w:eastAsia="宋体"/>
      <w:kern w:val="2"/>
      <w:sz w:val="18"/>
      <w:szCs w:val="18"/>
      <w:lang w:val="en-US" w:eastAsia="zh-CN" w:bidi="ar-SA"/>
    </w:rPr>
  </w:style>
  <w:style w:type="character" w:customStyle="1" w:styleId="146">
    <w:name w:val="图表名称 Char"/>
    <w:link w:val="147"/>
    <w:qFormat/>
    <w:uiPriority w:val="0"/>
    <w:rPr>
      <w:rFonts w:eastAsia="黑体"/>
      <w:b/>
      <w:bCs/>
      <w:kern w:val="2"/>
      <w:sz w:val="24"/>
      <w:szCs w:val="21"/>
      <w:lang w:val="en-US" w:eastAsia="zh-CN" w:bidi="ar-SA"/>
    </w:rPr>
  </w:style>
  <w:style w:type="paragraph" w:customStyle="1" w:styleId="147">
    <w:name w:val="图表名称"/>
    <w:next w:val="1"/>
    <w:link w:val="146"/>
    <w:qFormat/>
    <w:uiPriority w:val="0"/>
    <w:pPr>
      <w:spacing w:before="25" w:after="25" w:line="360" w:lineRule="auto"/>
      <w:jc w:val="center"/>
    </w:pPr>
    <w:rPr>
      <w:rFonts w:ascii="Times New Roman" w:hAnsi="Times New Roman" w:eastAsia="黑体" w:cs="Times New Roman"/>
      <w:b/>
      <w:bCs/>
      <w:kern w:val="2"/>
      <w:sz w:val="24"/>
      <w:szCs w:val="21"/>
      <w:lang w:val="en-US" w:eastAsia="zh-CN" w:bidi="ar-SA"/>
    </w:rPr>
  </w:style>
  <w:style w:type="character" w:customStyle="1" w:styleId="148">
    <w:name w:val="表头 Char"/>
    <w:link w:val="149"/>
    <w:qFormat/>
    <w:uiPriority w:val="0"/>
    <w:rPr>
      <w:rFonts w:ascii="黑体" w:hAnsi="Times New Roman" w:eastAsia="黑体" w:cs="宋体"/>
      <w:kern w:val="2"/>
      <w:sz w:val="21"/>
    </w:rPr>
  </w:style>
  <w:style w:type="paragraph" w:customStyle="1" w:styleId="149">
    <w:name w:val="表头"/>
    <w:basedOn w:val="13"/>
    <w:next w:val="1"/>
    <w:link w:val="148"/>
    <w:qFormat/>
    <w:uiPriority w:val="0"/>
    <w:pPr>
      <w:spacing w:line="500" w:lineRule="exact"/>
      <w:jc w:val="center"/>
    </w:pPr>
    <w:rPr>
      <w:rFonts w:ascii="黑体" w:eastAsia="黑体"/>
      <w:sz w:val="21"/>
    </w:rPr>
  </w:style>
  <w:style w:type="paragraph" w:customStyle="1" w:styleId="150">
    <w:name w:val="样式7"/>
    <w:basedOn w:val="1"/>
    <w:link w:val="151"/>
    <w:qFormat/>
    <w:uiPriority w:val="0"/>
    <w:pPr>
      <w:spacing w:line="480" w:lineRule="exact"/>
    </w:pPr>
    <w:rPr>
      <w:sz w:val="26"/>
      <w:szCs w:val="26"/>
    </w:rPr>
  </w:style>
  <w:style w:type="character" w:customStyle="1" w:styleId="151">
    <w:name w:val="样式7 Char"/>
    <w:link w:val="150"/>
    <w:qFormat/>
    <w:uiPriority w:val="0"/>
    <w:rPr>
      <w:kern w:val="2"/>
      <w:sz w:val="26"/>
      <w:szCs w:val="26"/>
    </w:rPr>
  </w:style>
  <w:style w:type="character" w:customStyle="1" w:styleId="152">
    <w:name w:val="尾注文本 Char1"/>
    <w:basedOn w:val="81"/>
    <w:semiHidden/>
    <w:qFormat/>
    <w:uiPriority w:val="99"/>
    <w:rPr>
      <w:rFonts w:ascii="Calibri" w:hAnsi="Calibri" w:eastAsia="宋体" w:cs="Times New Roman"/>
    </w:rPr>
  </w:style>
  <w:style w:type="character" w:customStyle="1" w:styleId="153">
    <w:name w:val="样式 样式1 Char2 + 宋体 五号 黑色"/>
    <w:qFormat/>
    <w:uiPriority w:val="0"/>
    <w:rPr>
      <w:rFonts w:ascii="宋体" w:hAnsi="宋体" w:eastAsia="宋体"/>
      <w:color w:val="000000"/>
      <w:kern w:val="2"/>
      <w:sz w:val="24"/>
      <w:szCs w:val="24"/>
      <w:lang w:val="en-US" w:eastAsia="zh-CN" w:bidi="ar-SA"/>
    </w:rPr>
  </w:style>
  <w:style w:type="character" w:customStyle="1" w:styleId="154">
    <w:name w:val="Char Char151"/>
    <w:qFormat/>
    <w:uiPriority w:val="0"/>
    <w:rPr>
      <w:sz w:val="18"/>
      <w:szCs w:val="18"/>
    </w:rPr>
  </w:style>
  <w:style w:type="character" w:customStyle="1" w:styleId="155">
    <w:name w:val="样式 左 首行缩进:  1.01 厘米 Char"/>
    <w:link w:val="156"/>
    <w:qFormat/>
    <w:uiPriority w:val="0"/>
    <w:rPr>
      <w:kern w:val="2"/>
      <w:sz w:val="26"/>
      <w:szCs w:val="26"/>
    </w:rPr>
  </w:style>
  <w:style w:type="paragraph" w:customStyle="1" w:styleId="156">
    <w:name w:val="样式 左 首行缩进:  1.01 厘米"/>
    <w:basedOn w:val="1"/>
    <w:link w:val="155"/>
    <w:qFormat/>
    <w:uiPriority w:val="0"/>
    <w:pPr>
      <w:spacing w:line="460" w:lineRule="exact"/>
    </w:pPr>
    <w:rPr>
      <w:sz w:val="26"/>
      <w:szCs w:val="26"/>
    </w:rPr>
  </w:style>
  <w:style w:type="character" w:customStyle="1" w:styleId="157">
    <w:name w:val="样式1 Char2"/>
    <w:qFormat/>
    <w:uiPriority w:val="0"/>
    <w:rPr>
      <w:rFonts w:eastAsia="宋体"/>
      <w:kern w:val="2"/>
      <w:sz w:val="24"/>
      <w:szCs w:val="24"/>
      <w:lang w:val="en-US" w:eastAsia="zh-CN" w:bidi="ar-SA"/>
    </w:rPr>
  </w:style>
  <w:style w:type="character" w:customStyle="1" w:styleId="158">
    <w:name w:val="楷体加粗 Char"/>
    <w:link w:val="159"/>
    <w:qFormat/>
    <w:uiPriority w:val="0"/>
    <w:rPr>
      <w:rFonts w:ascii="宋体" w:hAnsi="宋体"/>
      <w:kern w:val="2"/>
      <w:sz w:val="24"/>
      <w:szCs w:val="24"/>
    </w:rPr>
  </w:style>
  <w:style w:type="paragraph" w:customStyle="1" w:styleId="159">
    <w:name w:val="楷体加粗"/>
    <w:basedOn w:val="1"/>
    <w:link w:val="158"/>
    <w:qFormat/>
    <w:uiPriority w:val="0"/>
    <w:pPr>
      <w:spacing w:line="440" w:lineRule="exact"/>
      <w:ind w:firstLine="470" w:firstLineChars="196"/>
    </w:pPr>
    <w:rPr>
      <w:rFonts w:ascii="宋体" w:hAnsi="宋体"/>
      <w:szCs w:val="24"/>
    </w:rPr>
  </w:style>
  <w:style w:type="character" w:customStyle="1" w:styleId="160">
    <w:name w:val="a14"/>
    <w:qFormat/>
    <w:uiPriority w:val="0"/>
  </w:style>
  <w:style w:type="character" w:customStyle="1" w:styleId="161">
    <w:name w:val="正文文本 Char1"/>
    <w:basedOn w:val="81"/>
    <w:qFormat/>
    <w:uiPriority w:val="0"/>
  </w:style>
  <w:style w:type="character" w:customStyle="1" w:styleId="162">
    <w:name w:val="Char Char72"/>
    <w:qFormat/>
    <w:uiPriority w:val="0"/>
    <w:rPr>
      <w:rFonts w:eastAsia="宋体"/>
      <w:kern w:val="2"/>
      <w:sz w:val="28"/>
      <w:szCs w:val="28"/>
      <w:lang w:val="en-US" w:eastAsia="zh-CN"/>
    </w:rPr>
  </w:style>
  <w:style w:type="character" w:customStyle="1" w:styleId="163">
    <w:name w:val="表、图名 Char"/>
    <w:link w:val="164"/>
    <w:semiHidden/>
    <w:qFormat/>
    <w:uiPriority w:val="0"/>
    <w:rPr>
      <w:rFonts w:eastAsia="黑体"/>
      <w:sz w:val="21"/>
      <w:szCs w:val="21"/>
    </w:rPr>
  </w:style>
  <w:style w:type="paragraph" w:customStyle="1" w:styleId="164">
    <w:name w:val="表、图名"/>
    <w:basedOn w:val="1"/>
    <w:link w:val="163"/>
    <w:qFormat/>
    <w:uiPriority w:val="0"/>
    <w:pPr>
      <w:spacing w:line="240" w:lineRule="auto"/>
      <w:jc w:val="center"/>
    </w:pPr>
    <w:rPr>
      <w:rFonts w:eastAsia="黑体"/>
      <w:kern w:val="0"/>
      <w:sz w:val="21"/>
    </w:rPr>
  </w:style>
  <w:style w:type="character" w:customStyle="1" w:styleId="165">
    <w:name w:val="Char Char13"/>
    <w:qFormat/>
    <w:uiPriority w:val="0"/>
    <w:rPr>
      <w:sz w:val="18"/>
      <w:szCs w:val="18"/>
    </w:rPr>
  </w:style>
  <w:style w:type="character" w:customStyle="1" w:styleId="166">
    <w:name w:val="apple-converted-space"/>
    <w:basedOn w:val="81"/>
    <w:qFormat/>
    <w:uiPriority w:val="0"/>
  </w:style>
  <w:style w:type="character" w:styleId="167">
    <w:name w:val="Placeholder Text"/>
    <w:basedOn w:val="81"/>
    <w:semiHidden/>
    <w:qFormat/>
    <w:uiPriority w:val="99"/>
    <w:rPr>
      <w:color w:val="808080"/>
    </w:rPr>
  </w:style>
  <w:style w:type="character" w:customStyle="1" w:styleId="168">
    <w:name w:val="datatitle1"/>
    <w:basedOn w:val="81"/>
    <w:qFormat/>
    <w:uiPriority w:val="0"/>
    <w:rPr>
      <w:b/>
      <w:bCs/>
      <w:color w:val="10619F"/>
      <w:sz w:val="21"/>
      <w:szCs w:val="21"/>
    </w:rPr>
  </w:style>
  <w:style w:type="character" w:customStyle="1" w:styleId="169">
    <w:name w:val="textblack"/>
    <w:qFormat/>
    <w:uiPriority w:val="0"/>
  </w:style>
  <w:style w:type="character" w:customStyle="1" w:styleId="170">
    <w:name w:val="报告表  段 Char"/>
    <w:basedOn w:val="81"/>
    <w:link w:val="171"/>
    <w:qFormat/>
    <w:uiPriority w:val="0"/>
    <w:rPr>
      <w:rFonts w:ascii="宋体" w:hAnsi="Verdana"/>
      <w:sz w:val="24"/>
    </w:rPr>
  </w:style>
  <w:style w:type="paragraph" w:customStyle="1" w:styleId="171">
    <w:name w:val="报告表  段"/>
    <w:basedOn w:val="1"/>
    <w:link w:val="170"/>
    <w:qFormat/>
    <w:uiPriority w:val="0"/>
    <w:pPr>
      <w:ind w:firstLine="505"/>
      <w:textAlignment w:val="baseline"/>
    </w:pPr>
    <w:rPr>
      <w:rFonts w:ascii="宋体" w:hAnsi="Verdana"/>
      <w:kern w:val="0"/>
      <w:szCs w:val="20"/>
    </w:rPr>
  </w:style>
  <w:style w:type="character" w:customStyle="1" w:styleId="172">
    <w:name w:val="日期 Char1"/>
    <w:qFormat/>
    <w:uiPriority w:val="0"/>
    <w:rPr>
      <w:kern w:val="2"/>
      <w:sz w:val="24"/>
      <w:szCs w:val="22"/>
    </w:rPr>
  </w:style>
  <w:style w:type="character" w:customStyle="1" w:styleId="173">
    <w:name w:val="Char Char132"/>
    <w:qFormat/>
    <w:uiPriority w:val="0"/>
    <w:rPr>
      <w:rFonts w:ascii="Arial" w:hAnsi="Arial" w:eastAsia="黑体" w:cs="Arial"/>
      <w:b/>
      <w:bCs/>
      <w:kern w:val="2"/>
      <w:sz w:val="32"/>
      <w:szCs w:val="32"/>
      <w:lang w:val="en-US" w:eastAsia="zh-CN"/>
    </w:rPr>
  </w:style>
  <w:style w:type="character" w:customStyle="1" w:styleId="174">
    <w:name w:val="正文111111111 Char"/>
    <w:link w:val="175"/>
    <w:qFormat/>
    <w:uiPriority w:val="0"/>
    <w:rPr>
      <w:kern w:val="2"/>
      <w:sz w:val="24"/>
    </w:rPr>
  </w:style>
  <w:style w:type="paragraph" w:customStyle="1" w:styleId="175">
    <w:name w:val="正文111111111"/>
    <w:basedOn w:val="1"/>
    <w:link w:val="174"/>
    <w:qFormat/>
    <w:uiPriority w:val="0"/>
    <w:pPr>
      <w:ind w:firstLine="480"/>
    </w:pPr>
    <w:rPr>
      <w:szCs w:val="20"/>
    </w:rPr>
  </w:style>
  <w:style w:type="character" w:customStyle="1" w:styleId="176">
    <w:name w:val="font01"/>
    <w:qFormat/>
    <w:uiPriority w:val="0"/>
    <w:rPr>
      <w:rFonts w:hint="eastAsia" w:ascii="宋体" w:hAnsi="宋体" w:eastAsia="宋体"/>
      <w:color w:val="000000"/>
      <w:sz w:val="20"/>
      <w:szCs w:val="20"/>
      <w:u w:val="none"/>
    </w:rPr>
  </w:style>
  <w:style w:type="character" w:customStyle="1" w:styleId="177">
    <w:name w:val="标题 3 Char1"/>
    <w:qFormat/>
    <w:uiPriority w:val="0"/>
    <w:rPr>
      <w:rFonts w:eastAsia="宋体"/>
      <w:b/>
      <w:bCs/>
      <w:kern w:val="2"/>
      <w:sz w:val="32"/>
      <w:szCs w:val="32"/>
      <w:lang w:val="en-US" w:eastAsia="zh-CN" w:bidi="ar-SA"/>
    </w:rPr>
  </w:style>
  <w:style w:type="character" w:customStyle="1" w:styleId="178">
    <w:name w:val="Char Char162"/>
    <w:basedOn w:val="81"/>
    <w:qFormat/>
    <w:uiPriority w:val="0"/>
    <w:rPr>
      <w:rFonts w:ascii="Arial" w:hAnsi="Arial" w:eastAsia="宋体" w:cs="Arial"/>
      <w:sz w:val="28"/>
      <w:szCs w:val="28"/>
      <w:lang w:val="en-US" w:eastAsia="zh-CN" w:bidi="ar-SA"/>
    </w:rPr>
  </w:style>
  <w:style w:type="character" w:customStyle="1" w:styleId="179">
    <w:name w:val="正文11111111111111111111111 Char"/>
    <w:link w:val="180"/>
    <w:qFormat/>
    <w:uiPriority w:val="0"/>
    <w:rPr>
      <w:kern w:val="2"/>
      <w:sz w:val="24"/>
    </w:rPr>
  </w:style>
  <w:style w:type="paragraph" w:customStyle="1" w:styleId="180">
    <w:name w:val="正文11111111111111111111111"/>
    <w:basedOn w:val="1"/>
    <w:link w:val="179"/>
    <w:qFormat/>
    <w:uiPriority w:val="0"/>
    <w:pPr>
      <w:spacing w:line="480" w:lineRule="exact"/>
      <w:ind w:firstLine="480"/>
    </w:pPr>
    <w:rPr>
      <w:szCs w:val="20"/>
    </w:rPr>
  </w:style>
  <w:style w:type="character" w:customStyle="1" w:styleId="181">
    <w:name w:val="font191"/>
    <w:qFormat/>
    <w:uiPriority w:val="0"/>
    <w:rPr>
      <w:rFonts w:hint="eastAsia" w:ascii="宋体" w:hAnsi="宋体" w:eastAsia="宋体"/>
      <w:color w:val="000000"/>
      <w:sz w:val="24"/>
      <w:szCs w:val="24"/>
      <w:u w:val="none"/>
    </w:rPr>
  </w:style>
  <w:style w:type="character" w:customStyle="1" w:styleId="182">
    <w:name w:val="环评正文 Char"/>
    <w:link w:val="183"/>
    <w:qFormat/>
    <w:uiPriority w:val="0"/>
    <w:rPr>
      <w:rFonts w:eastAsia="仿宋_GB2312"/>
      <w:kern w:val="2"/>
      <w:sz w:val="24"/>
      <w:szCs w:val="24"/>
    </w:rPr>
  </w:style>
  <w:style w:type="paragraph" w:customStyle="1" w:styleId="183">
    <w:name w:val="环评正文"/>
    <w:basedOn w:val="1"/>
    <w:link w:val="182"/>
    <w:qFormat/>
    <w:uiPriority w:val="0"/>
    <w:pPr>
      <w:spacing w:before="60" w:after="60" w:line="400" w:lineRule="exact"/>
      <w:ind w:firstLine="480"/>
    </w:pPr>
    <w:rPr>
      <w:rFonts w:eastAsia="仿宋_GB2312"/>
      <w:szCs w:val="24"/>
    </w:rPr>
  </w:style>
  <w:style w:type="character" w:customStyle="1" w:styleId="184">
    <w:name w:val="atn"/>
    <w:basedOn w:val="81"/>
    <w:qFormat/>
    <w:uiPriority w:val="0"/>
  </w:style>
  <w:style w:type="character" w:customStyle="1" w:styleId="185">
    <w:name w:val="H1 Char"/>
    <w:qFormat/>
    <w:uiPriority w:val="0"/>
    <w:rPr>
      <w:rFonts w:ascii="Times New Roman" w:hAnsi="Times New Roman" w:eastAsia="宋体" w:cs="Times New Roman"/>
      <w:sz w:val="28"/>
      <w:szCs w:val="28"/>
    </w:rPr>
  </w:style>
  <w:style w:type="character" w:customStyle="1" w:styleId="186">
    <w:name w:val="样式3 Char2"/>
    <w:qFormat/>
    <w:uiPriority w:val="0"/>
    <w:rPr>
      <w:rFonts w:eastAsia="宋体"/>
      <w:sz w:val="24"/>
      <w:szCs w:val="28"/>
    </w:rPr>
  </w:style>
  <w:style w:type="character" w:customStyle="1" w:styleId="187">
    <w:name w:val="表格文字居中 Char"/>
    <w:link w:val="188"/>
    <w:qFormat/>
    <w:uiPriority w:val="0"/>
    <w:rPr>
      <w:rFonts w:eastAsia="宋体"/>
      <w:snapToGrid w:val="0"/>
      <w:color w:val="000000"/>
      <w:kern w:val="2"/>
      <w:sz w:val="22"/>
      <w:szCs w:val="22"/>
      <w:lang w:val="en-US" w:eastAsia="zh-CN" w:bidi="ar-SA"/>
    </w:rPr>
  </w:style>
  <w:style w:type="paragraph" w:customStyle="1" w:styleId="188">
    <w:name w:val="表格文字居中"/>
    <w:basedOn w:val="1"/>
    <w:link w:val="187"/>
    <w:qFormat/>
    <w:uiPriority w:val="0"/>
    <w:pPr>
      <w:spacing w:beforeLines="20" w:line="288" w:lineRule="auto"/>
      <w:jc w:val="center"/>
    </w:pPr>
    <w:rPr>
      <w:snapToGrid w:val="0"/>
      <w:color w:val="000000"/>
      <w:sz w:val="22"/>
      <w:szCs w:val="22"/>
    </w:rPr>
  </w:style>
  <w:style w:type="character" w:customStyle="1" w:styleId="189">
    <w:name w:val="font141"/>
    <w:qFormat/>
    <w:uiPriority w:val="0"/>
    <w:rPr>
      <w:rFonts w:hint="default" w:ascii="Arial" w:hAnsi="Arial" w:cs="Arial"/>
      <w:color w:val="000000"/>
      <w:sz w:val="24"/>
      <w:szCs w:val="24"/>
      <w:u w:val="none"/>
    </w:rPr>
  </w:style>
  <w:style w:type="character" w:customStyle="1" w:styleId="190">
    <w:name w:val="表格文字-hao-居中 Char"/>
    <w:link w:val="191"/>
    <w:qFormat/>
    <w:uiPriority w:val="0"/>
    <w:rPr>
      <w:szCs w:val="24"/>
      <w:lang w:val="en-US" w:eastAsia="zh-CN" w:bidi="ar-SA"/>
    </w:rPr>
  </w:style>
  <w:style w:type="paragraph" w:customStyle="1" w:styleId="191">
    <w:name w:val="表格文字-hao-居中"/>
    <w:link w:val="190"/>
    <w:qFormat/>
    <w:uiPriority w:val="0"/>
    <w:pPr>
      <w:adjustRightInd w:val="0"/>
      <w:snapToGrid w:val="0"/>
      <w:spacing w:line="360" w:lineRule="exact"/>
      <w:jc w:val="center"/>
      <w:textAlignment w:val="center"/>
    </w:pPr>
    <w:rPr>
      <w:rFonts w:ascii="Times New Roman" w:hAnsi="Times New Roman" w:eastAsia="宋体" w:cs="Times New Roman"/>
      <w:szCs w:val="24"/>
      <w:lang w:val="en-US" w:eastAsia="zh-CN" w:bidi="ar-SA"/>
    </w:rPr>
  </w:style>
  <w:style w:type="character" w:customStyle="1" w:styleId="192">
    <w:name w:val="Char Char1"/>
    <w:qFormat/>
    <w:uiPriority w:val="0"/>
    <w:rPr>
      <w:rFonts w:ascii="Cambria" w:hAnsi="Cambria" w:eastAsia="宋体" w:cs="Cambria"/>
      <w:b/>
      <w:bCs/>
      <w:kern w:val="2"/>
      <w:sz w:val="32"/>
      <w:szCs w:val="32"/>
      <w:lang w:val="en-US" w:eastAsia="zh-CN"/>
    </w:rPr>
  </w:style>
  <w:style w:type="character" w:customStyle="1" w:styleId="193">
    <w:name w:val="报告表正文 Char"/>
    <w:link w:val="194"/>
    <w:qFormat/>
    <w:uiPriority w:val="0"/>
    <w:rPr>
      <w:rFonts w:ascii="Arial" w:hAnsi="Arial" w:cs="Arial"/>
      <w:snapToGrid w:val="0"/>
      <w:color w:val="000000"/>
      <w:szCs w:val="21"/>
    </w:rPr>
  </w:style>
  <w:style w:type="paragraph" w:customStyle="1" w:styleId="194">
    <w:name w:val="报告表正文"/>
    <w:basedOn w:val="1"/>
    <w:link w:val="193"/>
    <w:qFormat/>
    <w:uiPriority w:val="0"/>
    <w:pPr>
      <w:spacing w:line="240" w:lineRule="auto"/>
      <w:jc w:val="center"/>
    </w:pPr>
    <w:rPr>
      <w:rFonts w:ascii="Arial" w:hAnsi="Arial"/>
      <w:snapToGrid w:val="0"/>
      <w:color w:val="000000"/>
      <w:kern w:val="0"/>
      <w:sz w:val="20"/>
    </w:rPr>
  </w:style>
  <w:style w:type="character" w:customStyle="1" w:styleId="195">
    <w:name w:val="正文文本缩进 3 Char1"/>
    <w:basedOn w:val="81"/>
    <w:qFormat/>
    <w:uiPriority w:val="0"/>
    <w:rPr>
      <w:rFonts w:ascii="Calibri" w:hAnsi="Calibri" w:eastAsia="宋体" w:cs="Times New Roman"/>
      <w:sz w:val="16"/>
      <w:szCs w:val="16"/>
    </w:rPr>
  </w:style>
  <w:style w:type="character" w:customStyle="1" w:styleId="196">
    <w:name w:val="Char Char141"/>
    <w:qFormat/>
    <w:uiPriority w:val="0"/>
    <w:rPr>
      <w:sz w:val="18"/>
      <w:szCs w:val="18"/>
    </w:rPr>
  </w:style>
  <w:style w:type="character" w:customStyle="1" w:styleId="197">
    <w:name w:val="表中文字 Char"/>
    <w:link w:val="198"/>
    <w:qFormat/>
    <w:uiPriority w:val="0"/>
    <w:rPr>
      <w:rFonts w:eastAsia="仿宋_GB2312"/>
      <w:bCs/>
      <w:kern w:val="44"/>
      <w:szCs w:val="44"/>
    </w:rPr>
  </w:style>
  <w:style w:type="paragraph" w:customStyle="1" w:styleId="198">
    <w:name w:val="表中文字"/>
    <w:basedOn w:val="1"/>
    <w:link w:val="197"/>
    <w:qFormat/>
    <w:uiPriority w:val="0"/>
    <w:pPr>
      <w:keepNext/>
      <w:keepLines/>
      <w:spacing w:line="360" w:lineRule="exact"/>
      <w:jc w:val="center"/>
    </w:pPr>
    <w:rPr>
      <w:rFonts w:eastAsia="仿宋_GB2312"/>
      <w:bCs/>
      <w:kern w:val="44"/>
      <w:sz w:val="20"/>
      <w:szCs w:val="44"/>
    </w:rPr>
  </w:style>
  <w:style w:type="character" w:customStyle="1" w:styleId="199">
    <w:name w:val="页眉00 Char Char"/>
    <w:qFormat/>
    <w:uiPriority w:val="0"/>
    <w:rPr>
      <w:rFonts w:eastAsia="宋体"/>
      <w:kern w:val="2"/>
      <w:sz w:val="18"/>
      <w:szCs w:val="18"/>
      <w:lang w:val="en-US" w:eastAsia="zh-CN" w:bidi="ar-SA"/>
    </w:rPr>
  </w:style>
  <w:style w:type="character" w:customStyle="1" w:styleId="200">
    <w:name w:val="Char Char82"/>
    <w:qFormat/>
    <w:uiPriority w:val="0"/>
    <w:rPr>
      <w:rFonts w:ascii="Calibri" w:hAnsi="Calibri" w:eastAsia="宋体" w:cs="Calibri"/>
      <w:kern w:val="2"/>
      <w:sz w:val="18"/>
      <w:szCs w:val="18"/>
      <w:lang w:val="en-US" w:eastAsia="zh-CN"/>
    </w:rPr>
  </w:style>
  <w:style w:type="character" w:customStyle="1" w:styleId="201">
    <w:name w:val="font41"/>
    <w:qFormat/>
    <w:uiPriority w:val="0"/>
    <w:rPr>
      <w:rFonts w:hint="eastAsia" w:ascii="宋体" w:hAnsi="宋体" w:eastAsia="宋体"/>
      <w:color w:val="000000"/>
      <w:sz w:val="20"/>
      <w:szCs w:val="20"/>
      <w:u w:val="none"/>
    </w:rPr>
  </w:style>
  <w:style w:type="character" w:customStyle="1" w:styleId="202">
    <w:name w:val="小四正文 Char"/>
    <w:link w:val="203"/>
    <w:qFormat/>
    <w:uiPriority w:val="0"/>
    <w:rPr>
      <w:rFonts w:hAnsi="宋体"/>
      <w:b/>
      <w:color w:val="000000"/>
      <w:kern w:val="2"/>
      <w:sz w:val="24"/>
      <w:szCs w:val="24"/>
      <w:lang w:val="en-US" w:eastAsia="zh-CN" w:bidi="ar-SA"/>
    </w:rPr>
  </w:style>
  <w:style w:type="paragraph" w:customStyle="1" w:styleId="203">
    <w:name w:val="小四正文"/>
    <w:link w:val="202"/>
    <w:qFormat/>
    <w:uiPriority w:val="0"/>
    <w:pPr>
      <w:spacing w:line="480" w:lineRule="exact"/>
      <w:jc w:val="both"/>
    </w:pPr>
    <w:rPr>
      <w:rFonts w:ascii="Times New Roman" w:hAnsi="宋体" w:eastAsia="宋体" w:cs="Times New Roman"/>
      <w:b/>
      <w:color w:val="000000"/>
      <w:kern w:val="2"/>
      <w:sz w:val="24"/>
      <w:szCs w:val="24"/>
      <w:lang w:val="en-US" w:eastAsia="zh-CN" w:bidi="ar-SA"/>
    </w:rPr>
  </w:style>
  <w:style w:type="character" w:customStyle="1" w:styleId="204">
    <w:name w:val="报告书正文 Char Char"/>
    <w:link w:val="205"/>
    <w:qFormat/>
    <w:uiPriority w:val="0"/>
    <w:rPr>
      <w:rFonts w:ascii="宋体"/>
      <w:color w:val="0000FF"/>
      <w:sz w:val="24"/>
    </w:rPr>
  </w:style>
  <w:style w:type="paragraph" w:customStyle="1" w:styleId="205">
    <w:name w:val="报告书正文"/>
    <w:basedOn w:val="43"/>
    <w:next w:val="206"/>
    <w:link w:val="204"/>
    <w:qFormat/>
    <w:uiPriority w:val="0"/>
    <w:pPr>
      <w:tabs>
        <w:tab w:val="left" w:pos="6300"/>
      </w:tabs>
      <w:spacing w:after="0" w:line="500" w:lineRule="exact"/>
      <w:ind w:left="0" w:leftChars="0" w:firstLine="480"/>
    </w:pPr>
    <w:rPr>
      <w:rFonts w:ascii="宋体"/>
      <w:color w:val="0000FF"/>
    </w:rPr>
  </w:style>
  <w:style w:type="paragraph" w:customStyle="1" w:styleId="206">
    <w:name w:val="Char"/>
    <w:basedOn w:val="1"/>
    <w:qFormat/>
    <w:uiPriority w:val="0"/>
    <w:rPr>
      <w:rFonts w:ascii="仿宋_GB2312" w:hAnsi="Tahoma" w:eastAsia="仿宋_GB2312"/>
      <w:sz w:val="21"/>
    </w:rPr>
  </w:style>
  <w:style w:type="character" w:customStyle="1" w:styleId="207">
    <w:name w:val="样式3 Char"/>
    <w:link w:val="208"/>
    <w:qFormat/>
    <w:uiPriority w:val="0"/>
    <w:rPr>
      <w:snapToGrid w:val="0"/>
      <w:color w:val="000000"/>
    </w:rPr>
  </w:style>
  <w:style w:type="paragraph" w:customStyle="1" w:styleId="208">
    <w:name w:val="样式3"/>
    <w:basedOn w:val="1"/>
    <w:link w:val="207"/>
    <w:qFormat/>
    <w:uiPriority w:val="0"/>
    <w:pPr>
      <w:spacing w:beforeLines="10" w:afterLines="10" w:line="240" w:lineRule="auto"/>
    </w:pPr>
    <w:rPr>
      <w:snapToGrid w:val="0"/>
      <w:color w:val="000000"/>
      <w:kern w:val="0"/>
      <w:sz w:val="20"/>
      <w:szCs w:val="20"/>
    </w:rPr>
  </w:style>
  <w:style w:type="character" w:customStyle="1" w:styleId="209">
    <w:name w:val="Char Char20"/>
    <w:qFormat/>
    <w:uiPriority w:val="0"/>
    <w:rPr>
      <w:rFonts w:ascii="宋体" w:hAnsi="宋体" w:eastAsia="宋体"/>
      <w:sz w:val="24"/>
      <w:szCs w:val="24"/>
      <w:lang w:val="en-US" w:eastAsia="zh-CN" w:bidi="ar-SA"/>
    </w:rPr>
  </w:style>
  <w:style w:type="character" w:customStyle="1" w:styleId="210">
    <w:name w:val="1正文段落 Char"/>
    <w:link w:val="211"/>
    <w:qFormat/>
    <w:uiPriority w:val="0"/>
    <w:rPr>
      <w:snapToGrid w:val="0"/>
      <w:sz w:val="24"/>
      <w:szCs w:val="24"/>
    </w:rPr>
  </w:style>
  <w:style w:type="paragraph" w:customStyle="1" w:styleId="211">
    <w:name w:val="1正文段落"/>
    <w:basedOn w:val="1"/>
    <w:link w:val="210"/>
    <w:qFormat/>
    <w:uiPriority w:val="0"/>
    <w:pPr>
      <w:ind w:firstLine="480"/>
    </w:pPr>
    <w:rPr>
      <w:snapToGrid w:val="0"/>
      <w:kern w:val="0"/>
      <w:szCs w:val="24"/>
    </w:rPr>
  </w:style>
  <w:style w:type="character" w:customStyle="1" w:styleId="212">
    <w:name w:val="标题 5 Char1"/>
    <w:qFormat/>
    <w:uiPriority w:val="0"/>
    <w:rPr>
      <w:rFonts w:ascii="宋体" w:hAnsi="Times New Roman" w:eastAsia="宋体" w:cs="宋体"/>
      <w:kern w:val="0"/>
      <w:sz w:val="28"/>
      <w:szCs w:val="28"/>
    </w:rPr>
  </w:style>
  <w:style w:type="character" w:customStyle="1" w:styleId="213">
    <w:name w:val="标题 Char1"/>
    <w:basedOn w:val="81"/>
    <w:qFormat/>
    <w:uiPriority w:val="0"/>
    <w:rPr>
      <w:rFonts w:ascii="Cambria" w:hAnsi="Cambria" w:eastAsia="宋体" w:cs="Times New Roman"/>
      <w:b/>
      <w:bCs/>
      <w:sz w:val="32"/>
      <w:szCs w:val="32"/>
    </w:rPr>
  </w:style>
  <w:style w:type="character" w:customStyle="1" w:styleId="214">
    <w:name w:val="批注框文本 Char1"/>
    <w:basedOn w:val="81"/>
    <w:qFormat/>
    <w:uiPriority w:val="0"/>
    <w:rPr>
      <w:rFonts w:ascii="Calibri" w:hAnsi="Calibri" w:eastAsia="宋体" w:cs="Times New Roman"/>
      <w:sz w:val="18"/>
      <w:szCs w:val="18"/>
    </w:rPr>
  </w:style>
  <w:style w:type="character" w:customStyle="1" w:styleId="215">
    <w:name w:val="title162"/>
    <w:qFormat/>
    <w:uiPriority w:val="0"/>
    <w:rPr>
      <w:b/>
      <w:bCs/>
      <w:color w:val="900000"/>
      <w:sz w:val="23"/>
      <w:szCs w:val="23"/>
    </w:rPr>
  </w:style>
  <w:style w:type="character" w:customStyle="1" w:styleId="216">
    <w:name w:val="批注文字 Char Char"/>
    <w:basedOn w:val="81"/>
    <w:qFormat/>
    <w:uiPriority w:val="0"/>
  </w:style>
  <w:style w:type="character" w:customStyle="1" w:styleId="217">
    <w:name w:val="标题2 Char Char"/>
    <w:link w:val="218"/>
    <w:qFormat/>
    <w:uiPriority w:val="0"/>
    <w:rPr>
      <w:rFonts w:ascii="Arial" w:hAnsi="Arial" w:eastAsia="黑体"/>
      <w:kern w:val="44"/>
      <w:sz w:val="28"/>
      <w:szCs w:val="32"/>
      <w:lang w:val="da-DK"/>
    </w:rPr>
  </w:style>
  <w:style w:type="paragraph" w:customStyle="1" w:styleId="218">
    <w:name w:val="标题2"/>
    <w:basedOn w:val="6"/>
    <w:link w:val="217"/>
    <w:qFormat/>
    <w:uiPriority w:val="0"/>
    <w:pPr>
      <w:spacing w:beforeLines="100" w:afterLines="100" w:line="240" w:lineRule="auto"/>
      <w:jc w:val="left"/>
    </w:pPr>
    <w:rPr>
      <w:rFonts w:eastAsia="黑体"/>
      <w:b w:val="0"/>
      <w:bCs w:val="0"/>
      <w:szCs w:val="32"/>
      <w:lang w:val="da-DK"/>
    </w:rPr>
  </w:style>
  <w:style w:type="character" w:customStyle="1" w:styleId="219">
    <w:name w:val="正文文本 2 Char1"/>
    <w:basedOn w:val="81"/>
    <w:qFormat/>
    <w:uiPriority w:val="0"/>
    <w:rPr>
      <w:rFonts w:ascii="Calibri" w:hAnsi="Calibri" w:eastAsia="宋体" w:cs="Times New Roman"/>
    </w:rPr>
  </w:style>
  <w:style w:type="character" w:customStyle="1" w:styleId="220">
    <w:name w:val="Char Char231"/>
    <w:basedOn w:val="81"/>
    <w:qFormat/>
    <w:uiPriority w:val="0"/>
    <w:rPr>
      <w:rFonts w:ascii="Arial" w:hAnsi="Arial" w:eastAsia="黑体" w:cs="Arial"/>
      <w:b/>
      <w:bCs/>
      <w:color w:val="000000"/>
      <w:kern w:val="44"/>
      <w:sz w:val="32"/>
      <w:szCs w:val="32"/>
      <w:lang w:val="en-US" w:eastAsia="zh-CN" w:bidi="ar-SA"/>
    </w:rPr>
  </w:style>
  <w:style w:type="character" w:customStyle="1" w:styleId="221">
    <w:name w:val="标注 Char"/>
    <w:link w:val="222"/>
    <w:qFormat/>
    <w:uiPriority w:val="0"/>
    <w:rPr>
      <w:color w:val="000000"/>
      <w:kern w:val="2"/>
      <w:sz w:val="21"/>
      <w:szCs w:val="21"/>
    </w:rPr>
  </w:style>
  <w:style w:type="paragraph" w:customStyle="1" w:styleId="222">
    <w:name w:val="标注"/>
    <w:basedOn w:val="44"/>
    <w:next w:val="1"/>
    <w:link w:val="221"/>
    <w:qFormat/>
    <w:uiPriority w:val="0"/>
    <w:pPr>
      <w:ind w:right="360"/>
      <w:jc w:val="both"/>
    </w:pPr>
    <w:rPr>
      <w:color w:val="000000"/>
      <w:szCs w:val="21"/>
    </w:rPr>
  </w:style>
  <w:style w:type="character" w:customStyle="1" w:styleId="223">
    <w:name w:val="报告书正文 Char"/>
    <w:qFormat/>
    <w:uiPriority w:val="0"/>
    <w:rPr>
      <w:rFonts w:ascii="Arial" w:hAnsi="Arial" w:eastAsia="宋体" w:cs="Arial"/>
      <w:snapToGrid w:val="0"/>
      <w:color w:val="000000"/>
      <w:sz w:val="24"/>
      <w:szCs w:val="24"/>
    </w:rPr>
  </w:style>
  <w:style w:type="character" w:customStyle="1" w:styleId="224">
    <w:name w:val="正文四号 Char Char"/>
    <w:qFormat/>
    <w:uiPriority w:val="0"/>
    <w:rPr>
      <w:rFonts w:eastAsia="宋体" w:cs="宋体"/>
      <w:kern w:val="2"/>
      <w:sz w:val="24"/>
      <w:szCs w:val="24"/>
      <w:lang w:val="en-US" w:eastAsia="zh-CN" w:bidi="ar-SA"/>
    </w:rPr>
  </w:style>
  <w:style w:type="character" w:customStyle="1" w:styleId="225">
    <w:name w:val="Char Char10"/>
    <w:qFormat/>
    <w:uiPriority w:val="0"/>
    <w:rPr>
      <w:rFonts w:eastAsia="仿宋_GB2312"/>
      <w:kern w:val="2"/>
      <w:sz w:val="28"/>
      <w:szCs w:val="28"/>
      <w:lang w:val="en-US" w:eastAsia="zh-CN"/>
    </w:rPr>
  </w:style>
  <w:style w:type="character" w:customStyle="1" w:styleId="226">
    <w:name w:val="节以下序号1 Char"/>
    <w:link w:val="227"/>
    <w:qFormat/>
    <w:uiPriority w:val="0"/>
    <w:rPr>
      <w:rFonts w:hAnsi="宋体"/>
      <w:kern w:val="2"/>
      <w:sz w:val="24"/>
      <w:szCs w:val="28"/>
    </w:rPr>
  </w:style>
  <w:style w:type="paragraph" w:customStyle="1" w:styleId="227">
    <w:name w:val="节以下序号1"/>
    <w:basedOn w:val="1"/>
    <w:next w:val="1"/>
    <w:link w:val="226"/>
    <w:qFormat/>
    <w:uiPriority w:val="0"/>
    <w:pPr>
      <w:tabs>
        <w:tab w:val="right" w:pos="18"/>
        <w:tab w:val="left" w:pos="3615"/>
        <w:tab w:val="right" w:pos="4804"/>
      </w:tabs>
      <w:spacing w:line="440" w:lineRule="exact"/>
      <w:ind w:firstLine="480"/>
    </w:pPr>
    <w:rPr>
      <w:rFonts w:hAnsi="宋体"/>
      <w:szCs w:val="28"/>
    </w:rPr>
  </w:style>
  <w:style w:type="character" w:customStyle="1" w:styleId="228">
    <w:name w:val="正文文本缩进 2 Char1"/>
    <w:basedOn w:val="81"/>
    <w:qFormat/>
    <w:uiPriority w:val="0"/>
    <w:rPr>
      <w:rFonts w:ascii="Calibri" w:hAnsi="Calibri" w:eastAsia="宋体" w:cs="Times New Roman"/>
    </w:rPr>
  </w:style>
  <w:style w:type="character" w:customStyle="1" w:styleId="229">
    <w:name w:val="Ch Char1"/>
    <w:qFormat/>
    <w:uiPriority w:val="0"/>
    <w:rPr>
      <w:rFonts w:ascii="Times New Roman" w:hAnsi="Times New Roman" w:eastAsia="宋体" w:cs="Times New Roman"/>
      <w:b/>
      <w:bCs/>
      <w:kern w:val="44"/>
      <w:sz w:val="44"/>
      <w:szCs w:val="44"/>
    </w:rPr>
  </w:style>
  <w:style w:type="character" w:customStyle="1" w:styleId="230">
    <w:name w:val="jc zi14"/>
    <w:basedOn w:val="81"/>
    <w:qFormat/>
    <w:uiPriority w:val="0"/>
  </w:style>
  <w:style w:type="character" w:customStyle="1" w:styleId="231">
    <w:name w:val="正文首行缩进 2 Char1"/>
    <w:basedOn w:val="232"/>
    <w:semiHidden/>
    <w:qFormat/>
    <w:uiPriority w:val="99"/>
    <w:rPr>
      <w:rFonts w:ascii="Calibri" w:hAnsi="Calibri" w:eastAsia="宋体" w:cs="Times New Roman"/>
      <w:color w:val="000000"/>
      <w:sz w:val="24"/>
      <w:szCs w:val="24"/>
    </w:rPr>
  </w:style>
  <w:style w:type="character" w:customStyle="1" w:styleId="232">
    <w:name w:val="正文文本缩进 Char1"/>
    <w:qFormat/>
    <w:uiPriority w:val="0"/>
    <w:rPr>
      <w:rFonts w:ascii="Times New Roman" w:hAnsi="Times New Roman" w:eastAsia="宋体" w:cs="Times New Roman"/>
      <w:color w:val="000000"/>
      <w:sz w:val="24"/>
      <w:szCs w:val="24"/>
    </w:rPr>
  </w:style>
  <w:style w:type="character" w:customStyle="1" w:styleId="233">
    <w:name w:val="正文 Char"/>
    <w:link w:val="234"/>
    <w:qFormat/>
    <w:uiPriority w:val="0"/>
    <w:rPr>
      <w:rFonts w:ascii="宋体"/>
      <w:sz w:val="24"/>
    </w:rPr>
  </w:style>
  <w:style w:type="paragraph" w:customStyle="1" w:styleId="234">
    <w:name w:val="正文3"/>
    <w:basedOn w:val="1"/>
    <w:link w:val="233"/>
    <w:qFormat/>
    <w:uiPriority w:val="0"/>
    <w:pPr>
      <w:spacing w:before="120" w:line="315" w:lineRule="atLeast"/>
      <w:textAlignment w:val="baseline"/>
    </w:pPr>
    <w:rPr>
      <w:rFonts w:ascii="宋体"/>
      <w:kern w:val="0"/>
      <w:szCs w:val="20"/>
    </w:rPr>
  </w:style>
  <w:style w:type="character" w:customStyle="1" w:styleId="235">
    <w:name w:val="Char Char21"/>
    <w:qFormat/>
    <w:uiPriority w:val="0"/>
    <w:rPr>
      <w:rFonts w:eastAsia="宋体"/>
      <w:bCs/>
      <w:kern w:val="2"/>
      <w:sz w:val="24"/>
      <w:szCs w:val="24"/>
      <w:lang w:val="en-US" w:eastAsia="zh-CN" w:bidi="ar-SA"/>
    </w:rPr>
  </w:style>
  <w:style w:type="character" w:customStyle="1" w:styleId="236">
    <w:name w:val="Char Char9"/>
    <w:qFormat/>
    <w:uiPriority w:val="0"/>
    <w:rPr>
      <w:rFonts w:ascii="Times New Roman" w:hAnsi="Times New Roman" w:eastAsia="宋体" w:cs="Times New Roman"/>
      <w:sz w:val="28"/>
      <w:szCs w:val="28"/>
    </w:rPr>
  </w:style>
  <w:style w:type="character" w:customStyle="1" w:styleId="237">
    <w:name w:val="Char Char211"/>
    <w:basedOn w:val="81"/>
    <w:qFormat/>
    <w:uiPriority w:val="0"/>
    <w:rPr>
      <w:rFonts w:eastAsia="宋体"/>
      <w:bCs/>
      <w:kern w:val="2"/>
      <w:sz w:val="24"/>
      <w:szCs w:val="24"/>
      <w:lang w:val="en-US" w:eastAsia="zh-CN" w:bidi="ar-SA"/>
    </w:rPr>
  </w:style>
  <w:style w:type="character" w:customStyle="1" w:styleId="238">
    <w:name w:val="表头1 Char"/>
    <w:link w:val="239"/>
    <w:qFormat/>
    <w:uiPriority w:val="0"/>
    <w:rPr>
      <w:rFonts w:eastAsia="黑体"/>
      <w:szCs w:val="28"/>
    </w:rPr>
  </w:style>
  <w:style w:type="paragraph" w:customStyle="1" w:styleId="239">
    <w:name w:val="表头1"/>
    <w:basedOn w:val="1"/>
    <w:next w:val="1"/>
    <w:link w:val="238"/>
    <w:qFormat/>
    <w:uiPriority w:val="0"/>
    <w:pPr>
      <w:spacing w:line="400" w:lineRule="exact"/>
      <w:jc w:val="center"/>
    </w:pPr>
    <w:rPr>
      <w:rFonts w:eastAsia="黑体"/>
      <w:kern w:val="0"/>
      <w:sz w:val="20"/>
      <w:szCs w:val="28"/>
    </w:rPr>
  </w:style>
  <w:style w:type="character" w:customStyle="1" w:styleId="240">
    <w:name w:val="批注文字 Char2"/>
    <w:basedOn w:val="81"/>
    <w:semiHidden/>
    <w:qFormat/>
    <w:uiPriority w:val="99"/>
    <w:rPr>
      <w:rFonts w:ascii="Calibri" w:hAnsi="Calibri" w:eastAsia="宋体" w:cs="Times New Roman"/>
    </w:rPr>
  </w:style>
  <w:style w:type="character" w:customStyle="1" w:styleId="241">
    <w:name w:val="Char Char4"/>
    <w:qFormat/>
    <w:uiPriority w:val="0"/>
    <w:rPr>
      <w:rFonts w:eastAsia="楷体_GB2312"/>
      <w:kern w:val="2"/>
      <w:sz w:val="24"/>
      <w:szCs w:val="24"/>
      <w:lang w:val="en-US" w:eastAsia="zh-CN"/>
    </w:rPr>
  </w:style>
  <w:style w:type="character" w:customStyle="1" w:styleId="242">
    <w:name w:val="普通文字 Char2"/>
    <w:qFormat/>
    <w:uiPriority w:val="0"/>
    <w:rPr>
      <w:rFonts w:eastAsia="宋体"/>
      <w:spacing w:val="8"/>
      <w:kern w:val="2"/>
      <w:sz w:val="24"/>
      <w:lang w:val="en-US" w:eastAsia="zh-CN" w:bidi="ar-SA"/>
    </w:rPr>
  </w:style>
  <w:style w:type="character" w:customStyle="1" w:styleId="243">
    <w:name w:val="样式1 Char1"/>
    <w:qFormat/>
    <w:uiPriority w:val="0"/>
    <w:rPr>
      <w:rFonts w:eastAsia="宋体"/>
      <w:kern w:val="2"/>
      <w:sz w:val="24"/>
      <w:szCs w:val="24"/>
      <w:lang w:val="en-US" w:eastAsia="zh-CN" w:bidi="ar-SA"/>
    </w:rPr>
  </w:style>
  <w:style w:type="character" w:customStyle="1" w:styleId="244">
    <w:name w:val="font71"/>
    <w:qFormat/>
    <w:uiPriority w:val="0"/>
    <w:rPr>
      <w:rFonts w:hint="default" w:ascii="Arial" w:hAnsi="Arial" w:cs="Arial"/>
      <w:color w:val="000000"/>
      <w:sz w:val="24"/>
      <w:szCs w:val="24"/>
      <w:u w:val="none"/>
      <w:vertAlign w:val="superscript"/>
    </w:rPr>
  </w:style>
  <w:style w:type="character" w:customStyle="1" w:styleId="245">
    <w:name w:val="zw1"/>
    <w:qFormat/>
    <w:uiPriority w:val="0"/>
    <w:rPr>
      <w:rFonts w:hint="eastAsia" w:ascii="宋体" w:hAnsi="宋体" w:eastAsia="宋体"/>
      <w:sz w:val="22"/>
      <w:szCs w:val="22"/>
    </w:rPr>
  </w:style>
  <w:style w:type="character" w:customStyle="1" w:styleId="246">
    <w:name w:val="表格 Char Char"/>
    <w:qFormat/>
    <w:uiPriority w:val="0"/>
    <w:rPr>
      <w:kern w:val="2"/>
      <w:sz w:val="21"/>
    </w:rPr>
  </w:style>
  <w:style w:type="character" w:customStyle="1" w:styleId="247">
    <w:name w:val="谢谢谢谢 Char"/>
    <w:link w:val="248"/>
    <w:qFormat/>
    <w:uiPriority w:val="0"/>
    <w:rPr>
      <w:sz w:val="24"/>
      <w:szCs w:val="24"/>
    </w:rPr>
  </w:style>
  <w:style w:type="paragraph" w:customStyle="1" w:styleId="248">
    <w:name w:val="谢谢谢谢"/>
    <w:basedOn w:val="1"/>
    <w:link w:val="247"/>
    <w:qFormat/>
    <w:uiPriority w:val="0"/>
    <w:pPr>
      <w:spacing w:line="440" w:lineRule="exact"/>
    </w:pPr>
    <w:rPr>
      <w:kern w:val="0"/>
      <w:szCs w:val="24"/>
    </w:rPr>
  </w:style>
  <w:style w:type="character" w:customStyle="1" w:styleId="249">
    <w:name w:val="表格名称 Char"/>
    <w:link w:val="250"/>
    <w:qFormat/>
    <w:uiPriority w:val="0"/>
    <w:rPr>
      <w:rFonts w:ascii="黑体" w:eastAsia="黑体"/>
      <w:sz w:val="21"/>
      <w:szCs w:val="28"/>
    </w:rPr>
  </w:style>
  <w:style w:type="paragraph" w:customStyle="1" w:styleId="250">
    <w:name w:val="表格名称"/>
    <w:basedOn w:val="1"/>
    <w:next w:val="1"/>
    <w:link w:val="249"/>
    <w:qFormat/>
    <w:uiPriority w:val="0"/>
    <w:pPr>
      <w:spacing w:beforeLines="50" w:line="240" w:lineRule="auto"/>
      <w:contextualSpacing/>
      <w:jc w:val="center"/>
    </w:pPr>
    <w:rPr>
      <w:rFonts w:ascii="黑体" w:eastAsia="黑体"/>
      <w:kern w:val="0"/>
      <w:sz w:val="21"/>
      <w:szCs w:val="28"/>
    </w:rPr>
  </w:style>
  <w:style w:type="character" w:customStyle="1" w:styleId="251">
    <w:name w:val="linkred02"/>
    <w:basedOn w:val="81"/>
    <w:qFormat/>
    <w:uiPriority w:val="0"/>
  </w:style>
  <w:style w:type="character" w:customStyle="1" w:styleId="252">
    <w:name w:val="样式 (西文) Times New Roman (中文) 宋体 (符号) 宋体 行距: 固定值 20 磅 首行缩进:  ... Char"/>
    <w:link w:val="253"/>
    <w:qFormat/>
    <w:uiPriority w:val="0"/>
    <w:rPr>
      <w:rFonts w:hAnsi="宋体"/>
      <w:sz w:val="24"/>
      <w:lang w:eastAsia="de-DE"/>
    </w:rPr>
  </w:style>
  <w:style w:type="paragraph" w:customStyle="1" w:styleId="253">
    <w:name w:val="样式 (西文) Times New Roman (中文) 宋体 (符号) 宋体 行距: 固定值 20 磅 首行缩进:  ..."/>
    <w:basedOn w:val="1"/>
    <w:link w:val="252"/>
    <w:qFormat/>
    <w:uiPriority w:val="0"/>
    <w:pPr>
      <w:spacing w:line="400" w:lineRule="exact"/>
    </w:pPr>
    <w:rPr>
      <w:rFonts w:hAnsi="宋体"/>
      <w:kern w:val="0"/>
      <w:szCs w:val="20"/>
      <w:lang w:eastAsia="de-DE"/>
    </w:rPr>
  </w:style>
  <w:style w:type="character" w:customStyle="1" w:styleId="254">
    <w:name w:val="表格文字 Char"/>
    <w:link w:val="255"/>
    <w:qFormat/>
    <w:uiPriority w:val="0"/>
    <w:rPr>
      <w:sz w:val="21"/>
    </w:rPr>
  </w:style>
  <w:style w:type="paragraph" w:customStyle="1" w:styleId="255">
    <w:name w:val="表格文字"/>
    <w:basedOn w:val="1"/>
    <w:link w:val="254"/>
    <w:qFormat/>
    <w:uiPriority w:val="0"/>
    <w:pPr>
      <w:spacing w:line="240" w:lineRule="auto"/>
      <w:jc w:val="center"/>
      <w:textAlignment w:val="baseline"/>
    </w:pPr>
    <w:rPr>
      <w:kern w:val="0"/>
      <w:sz w:val="21"/>
      <w:szCs w:val="20"/>
    </w:rPr>
  </w:style>
  <w:style w:type="character" w:customStyle="1" w:styleId="256">
    <w:name w:val="正文 Char2"/>
    <w:basedOn w:val="81"/>
    <w:link w:val="257"/>
    <w:qFormat/>
    <w:uiPriority w:val="0"/>
    <w:rPr>
      <w:rFonts w:ascii="宋体"/>
      <w:sz w:val="24"/>
    </w:rPr>
  </w:style>
  <w:style w:type="paragraph" w:customStyle="1" w:styleId="257">
    <w:name w:val="正文4"/>
    <w:basedOn w:val="1"/>
    <w:link w:val="256"/>
    <w:qFormat/>
    <w:uiPriority w:val="0"/>
    <w:pPr>
      <w:spacing w:before="120" w:line="315" w:lineRule="atLeast"/>
      <w:textAlignment w:val="baseline"/>
    </w:pPr>
    <w:rPr>
      <w:rFonts w:ascii="宋体"/>
      <w:kern w:val="0"/>
      <w:szCs w:val="20"/>
    </w:rPr>
  </w:style>
  <w:style w:type="character" w:customStyle="1" w:styleId="258">
    <w:name w:val="description"/>
    <w:basedOn w:val="81"/>
    <w:qFormat/>
    <w:uiPriority w:val="0"/>
  </w:style>
  <w:style w:type="character" w:customStyle="1" w:styleId="259">
    <w:name w:val="Char Char7"/>
    <w:qFormat/>
    <w:uiPriority w:val="0"/>
    <w:rPr>
      <w:rFonts w:ascii="Cambria" w:hAnsi="Cambria" w:eastAsia="宋体" w:cs="Cambria"/>
      <w:b/>
      <w:bCs/>
      <w:sz w:val="32"/>
      <w:szCs w:val="32"/>
    </w:rPr>
  </w:style>
  <w:style w:type="character" w:customStyle="1" w:styleId="260">
    <w:name w:val="表头11111111111 Char"/>
    <w:link w:val="261"/>
    <w:qFormat/>
    <w:uiPriority w:val="0"/>
    <w:rPr>
      <w:rFonts w:ascii="黑体" w:eastAsia="黑体"/>
      <w:bCs/>
      <w:color w:val="000000"/>
      <w:kern w:val="2"/>
    </w:rPr>
  </w:style>
  <w:style w:type="paragraph" w:customStyle="1" w:styleId="261">
    <w:name w:val="表头11111111111"/>
    <w:basedOn w:val="1"/>
    <w:link w:val="260"/>
    <w:qFormat/>
    <w:uiPriority w:val="0"/>
    <w:pPr>
      <w:spacing w:line="480" w:lineRule="exact"/>
      <w:jc w:val="center"/>
    </w:pPr>
    <w:rPr>
      <w:rFonts w:ascii="黑体" w:eastAsia="黑体"/>
      <w:bCs/>
      <w:color w:val="000000"/>
      <w:sz w:val="20"/>
      <w:szCs w:val="20"/>
    </w:rPr>
  </w:style>
  <w:style w:type="character" w:customStyle="1" w:styleId="262">
    <w:name w:val="Char Char14"/>
    <w:qFormat/>
    <w:uiPriority w:val="0"/>
    <w:rPr>
      <w:sz w:val="18"/>
      <w:szCs w:val="18"/>
    </w:rPr>
  </w:style>
  <w:style w:type="character" w:customStyle="1" w:styleId="263">
    <w:name w:val="报告 Char"/>
    <w:link w:val="264"/>
    <w:qFormat/>
    <w:uiPriority w:val="0"/>
    <w:rPr>
      <w:sz w:val="24"/>
    </w:rPr>
  </w:style>
  <w:style w:type="paragraph" w:customStyle="1" w:styleId="264">
    <w:name w:val="报告"/>
    <w:basedOn w:val="1"/>
    <w:link w:val="263"/>
    <w:qFormat/>
    <w:uiPriority w:val="0"/>
    <w:pPr>
      <w:ind w:firstLine="505"/>
      <w:textAlignment w:val="center"/>
    </w:pPr>
    <w:rPr>
      <w:kern w:val="0"/>
      <w:szCs w:val="20"/>
    </w:rPr>
  </w:style>
  <w:style w:type="character" w:customStyle="1" w:styleId="265">
    <w:name w:val="Char Char71"/>
    <w:qFormat/>
    <w:uiPriority w:val="0"/>
    <w:rPr>
      <w:rFonts w:ascii="Cambria" w:hAnsi="Cambria" w:eastAsia="宋体" w:cs="Cambria"/>
      <w:b/>
      <w:bCs/>
      <w:sz w:val="32"/>
      <w:szCs w:val="32"/>
    </w:rPr>
  </w:style>
  <w:style w:type="character" w:customStyle="1" w:styleId="266">
    <w:name w:val="正文1 Char Char"/>
    <w:qFormat/>
    <w:uiPriority w:val="0"/>
    <w:rPr>
      <w:rFonts w:ascii="Times New Roman" w:hAnsi="Times New Roman" w:eastAsia="宋体" w:cs="Times New Roman"/>
      <w:snapToGrid w:val="0"/>
      <w:kern w:val="21"/>
      <w:szCs w:val="20"/>
    </w:rPr>
  </w:style>
  <w:style w:type="character" w:customStyle="1" w:styleId="267">
    <w:name w:val="标题 2-xh Char Char"/>
    <w:basedOn w:val="81"/>
    <w:qFormat/>
    <w:uiPriority w:val="0"/>
    <w:rPr>
      <w:rFonts w:ascii="Arial" w:hAnsi="Arial" w:eastAsia="黑体"/>
      <w:b/>
      <w:bCs/>
      <w:kern w:val="2"/>
      <w:sz w:val="32"/>
      <w:szCs w:val="32"/>
      <w:lang w:val="en-US" w:eastAsia="zh-CN" w:bidi="ar-SA"/>
    </w:rPr>
  </w:style>
  <w:style w:type="character" w:customStyle="1" w:styleId="268">
    <w:name w:val="表头 Char Char"/>
    <w:qFormat/>
    <w:uiPriority w:val="0"/>
    <w:rPr>
      <w:rFonts w:ascii="Times New Roman" w:hAnsi="Times New Roman" w:eastAsia="仿宋_GB2312" w:cs="Times New Roman"/>
      <w:b/>
      <w:bCs/>
      <w:sz w:val="24"/>
      <w:szCs w:val="20"/>
    </w:rPr>
  </w:style>
  <w:style w:type="character" w:customStyle="1" w:styleId="269">
    <w:name w:val="样式 标题 3条标题1.1.1H3BOD 0Heading 3 - oldLevel 3 Headh33rd le... Char"/>
    <w:link w:val="270"/>
    <w:qFormat/>
    <w:uiPriority w:val="0"/>
    <w:rPr>
      <w:rFonts w:ascii="宋体" w:hAnsi="宋体" w:cs="宋体"/>
      <w:b/>
      <w:bCs/>
      <w:kern w:val="24"/>
      <w:sz w:val="24"/>
    </w:rPr>
  </w:style>
  <w:style w:type="paragraph" w:customStyle="1" w:styleId="270">
    <w:name w:val="样式 标题 3条标题1.1.1H3BOD 0Heading 3 - oldLevel 3 Headh33rd le..."/>
    <w:basedOn w:val="8"/>
    <w:link w:val="269"/>
    <w:qFormat/>
    <w:uiPriority w:val="0"/>
    <w:rPr>
      <w:rFonts w:ascii="宋体" w:hAnsi="宋体"/>
      <w:kern w:val="24"/>
      <w:sz w:val="24"/>
      <w:szCs w:val="20"/>
    </w:rPr>
  </w:style>
  <w:style w:type="character" w:customStyle="1" w:styleId="271">
    <w:name w:val="Char Char8"/>
    <w:qFormat/>
    <w:uiPriority w:val="0"/>
    <w:rPr>
      <w:rFonts w:ascii="宋体" w:hAnsi="宋体" w:eastAsia="宋体" w:cs="宋体"/>
      <w:kern w:val="0"/>
      <w:sz w:val="24"/>
      <w:szCs w:val="24"/>
    </w:rPr>
  </w:style>
  <w:style w:type="character" w:customStyle="1" w:styleId="272">
    <w:name w:val="Char Char11"/>
    <w:qFormat/>
    <w:uiPriority w:val="0"/>
    <w:rPr>
      <w:rFonts w:eastAsia="宋体"/>
      <w:spacing w:val="-20"/>
      <w:kern w:val="2"/>
      <w:sz w:val="28"/>
      <w:szCs w:val="28"/>
      <w:lang w:val="en-US" w:eastAsia="zh-CN"/>
    </w:rPr>
  </w:style>
  <w:style w:type="character" w:customStyle="1" w:styleId="273">
    <w:name w:val="川维5 Char"/>
    <w:link w:val="274"/>
    <w:qFormat/>
    <w:uiPriority w:val="0"/>
    <w:rPr>
      <w:kern w:val="24"/>
      <w:sz w:val="24"/>
      <w:szCs w:val="24"/>
    </w:rPr>
  </w:style>
  <w:style w:type="paragraph" w:customStyle="1" w:styleId="274">
    <w:name w:val="川维5"/>
    <w:basedOn w:val="1"/>
    <w:link w:val="273"/>
    <w:qFormat/>
    <w:uiPriority w:val="0"/>
    <w:rPr>
      <w:kern w:val="24"/>
      <w:szCs w:val="24"/>
    </w:rPr>
  </w:style>
  <w:style w:type="character" w:customStyle="1" w:styleId="275">
    <w:name w:val="Char Char91"/>
    <w:qFormat/>
    <w:uiPriority w:val="0"/>
    <w:rPr>
      <w:rFonts w:ascii="Times New Roman" w:hAnsi="Times New Roman" w:eastAsia="宋体" w:cs="Times New Roman"/>
      <w:sz w:val="28"/>
      <w:szCs w:val="28"/>
    </w:rPr>
  </w:style>
  <w:style w:type="character" w:customStyle="1" w:styleId="276">
    <w:name w:val="15"/>
    <w:basedOn w:val="81"/>
    <w:qFormat/>
    <w:uiPriority w:val="0"/>
  </w:style>
  <w:style w:type="character" w:customStyle="1" w:styleId="277">
    <w:name w:val="Char Char221"/>
    <w:basedOn w:val="81"/>
    <w:qFormat/>
    <w:uiPriority w:val="0"/>
    <w:rPr>
      <w:rFonts w:eastAsia="宋体"/>
      <w:color w:val="000000"/>
      <w:kern w:val="2"/>
      <w:sz w:val="24"/>
      <w:szCs w:val="24"/>
      <w:lang w:val="en-US" w:eastAsia="zh-CN" w:bidi="ar-SA"/>
    </w:rPr>
  </w:style>
  <w:style w:type="character" w:customStyle="1" w:styleId="278">
    <w:name w:val="脚注文本 Char1"/>
    <w:semiHidden/>
    <w:qFormat/>
    <w:uiPriority w:val="99"/>
    <w:rPr>
      <w:kern w:val="2"/>
      <w:sz w:val="18"/>
      <w:szCs w:val="18"/>
    </w:rPr>
  </w:style>
  <w:style w:type="character" w:customStyle="1" w:styleId="279">
    <w:name w:val="word3noad"/>
    <w:basedOn w:val="81"/>
    <w:qFormat/>
    <w:uiPriority w:val="0"/>
  </w:style>
  <w:style w:type="character" w:customStyle="1" w:styleId="280">
    <w:name w:val="批注文字 Char1"/>
    <w:qFormat/>
    <w:uiPriority w:val="0"/>
    <w:rPr>
      <w:rFonts w:ascii="Times New Roman" w:hAnsi="Times New Roman" w:eastAsia="宋体" w:cs="Times New Roman"/>
      <w:sz w:val="28"/>
      <w:szCs w:val="28"/>
    </w:rPr>
  </w:style>
  <w:style w:type="character" w:customStyle="1" w:styleId="281">
    <w:name w:val="font31"/>
    <w:basedOn w:val="81"/>
    <w:qFormat/>
    <w:uiPriority w:val="0"/>
    <w:rPr>
      <w:rFonts w:hint="default" w:ascii="Times New Roman" w:hAnsi="Times New Roman" w:cs="Times New Roman"/>
      <w:color w:val="000000"/>
      <w:sz w:val="20"/>
      <w:szCs w:val="20"/>
      <w:u w:val="none"/>
    </w:rPr>
  </w:style>
  <w:style w:type="character" w:customStyle="1" w:styleId="282">
    <w:name w:val="环评报告书正文 Char"/>
    <w:link w:val="283"/>
    <w:qFormat/>
    <w:uiPriority w:val="0"/>
    <w:rPr>
      <w:rFonts w:ascii="宋体" w:hAnsi="宋体"/>
      <w:sz w:val="24"/>
      <w:szCs w:val="24"/>
    </w:rPr>
  </w:style>
  <w:style w:type="paragraph" w:customStyle="1" w:styleId="283">
    <w:name w:val="环评报告书正文"/>
    <w:basedOn w:val="1"/>
    <w:link w:val="282"/>
    <w:qFormat/>
    <w:uiPriority w:val="0"/>
    <w:pPr>
      <w:ind w:firstLine="465"/>
    </w:pPr>
    <w:rPr>
      <w:rFonts w:ascii="宋体" w:hAnsi="宋体"/>
      <w:kern w:val="0"/>
      <w:szCs w:val="24"/>
    </w:rPr>
  </w:style>
  <w:style w:type="character" w:customStyle="1" w:styleId="284">
    <w:name w:val="表格 Char1"/>
    <w:qFormat/>
    <w:uiPriority w:val="0"/>
    <w:rPr>
      <w:rFonts w:eastAsia="宋体"/>
      <w:b/>
      <w:snapToGrid w:val="0"/>
      <w:sz w:val="21"/>
      <w:szCs w:val="21"/>
      <w:lang w:val="en-US" w:eastAsia="zh-CN" w:bidi="ar-SA"/>
    </w:rPr>
  </w:style>
  <w:style w:type="character" w:customStyle="1" w:styleId="285">
    <w:name w:val="样式3 Char1"/>
    <w:qFormat/>
    <w:uiPriority w:val="0"/>
    <w:rPr>
      <w:rFonts w:ascii="宋体" w:hAnsi="宋体" w:eastAsia="宋体"/>
      <w:kern w:val="2"/>
      <w:sz w:val="24"/>
      <w:szCs w:val="24"/>
      <w:lang w:val="en-US" w:eastAsia="zh-CN" w:bidi="ar-SA"/>
    </w:rPr>
  </w:style>
  <w:style w:type="character" w:customStyle="1" w:styleId="286">
    <w:name w:val="s1"/>
    <w:qFormat/>
    <w:uiPriority w:val="0"/>
    <w:rPr>
      <w:sz w:val="18"/>
      <w:szCs w:val="18"/>
    </w:rPr>
  </w:style>
  <w:style w:type="character" w:customStyle="1" w:styleId="287">
    <w:name w:val="二级条标题 Char"/>
    <w:link w:val="288"/>
    <w:qFormat/>
    <w:uiPriority w:val="0"/>
    <w:rPr>
      <w:rFonts w:ascii="黑体" w:eastAsia="黑体"/>
      <w:sz w:val="21"/>
    </w:rPr>
  </w:style>
  <w:style w:type="paragraph" w:customStyle="1" w:styleId="288">
    <w:name w:val="二级条标题"/>
    <w:basedOn w:val="289"/>
    <w:next w:val="1"/>
    <w:link w:val="287"/>
    <w:qFormat/>
    <w:uiPriority w:val="0"/>
    <w:pPr>
      <w:tabs>
        <w:tab w:val="left" w:pos="360"/>
        <w:tab w:val="left" w:pos="1260"/>
      </w:tabs>
      <w:ind w:left="0" w:firstLine="0"/>
      <w:outlineLvl w:val="3"/>
    </w:pPr>
  </w:style>
  <w:style w:type="paragraph" w:customStyle="1" w:styleId="289">
    <w:name w:val="一级条标题"/>
    <w:basedOn w:val="1"/>
    <w:next w:val="1"/>
    <w:qFormat/>
    <w:uiPriority w:val="0"/>
    <w:pPr>
      <w:tabs>
        <w:tab w:val="left" w:pos="360"/>
      </w:tabs>
      <w:spacing w:line="240" w:lineRule="auto"/>
      <w:ind w:left="3119" w:hanging="3119"/>
      <w:outlineLvl w:val="2"/>
    </w:pPr>
    <w:rPr>
      <w:rFonts w:ascii="黑体" w:eastAsia="黑体"/>
      <w:kern w:val="0"/>
      <w:sz w:val="21"/>
      <w:szCs w:val="20"/>
    </w:rPr>
  </w:style>
  <w:style w:type="character" w:customStyle="1" w:styleId="290">
    <w:name w:val="环评正文 Char1"/>
    <w:basedOn w:val="81"/>
    <w:qFormat/>
    <w:uiPriority w:val="0"/>
    <w:rPr>
      <w:rFonts w:eastAsia="仿宋_GB2312"/>
      <w:kern w:val="44"/>
      <w:sz w:val="24"/>
      <w:lang w:val="en-US" w:eastAsia="zh-CN" w:bidi="ar-SA"/>
    </w:rPr>
  </w:style>
  <w:style w:type="character" w:customStyle="1" w:styleId="291">
    <w:name w:val="Char Char17"/>
    <w:qFormat/>
    <w:uiPriority w:val="0"/>
    <w:rPr>
      <w:rFonts w:ascii="宋体" w:eastAsia="宋体" w:cs="宋体"/>
      <w:sz w:val="28"/>
      <w:szCs w:val="28"/>
      <w:lang w:val="en-US" w:eastAsia="zh-CN" w:bidi="ar-SA"/>
    </w:rPr>
  </w:style>
  <w:style w:type="character" w:customStyle="1" w:styleId="292">
    <w:name w:val="表格编号 Char Char"/>
    <w:link w:val="293"/>
    <w:qFormat/>
    <w:uiPriority w:val="0"/>
    <w:rPr>
      <w:kern w:val="2"/>
      <w:sz w:val="24"/>
    </w:rPr>
  </w:style>
  <w:style w:type="paragraph" w:customStyle="1" w:styleId="293">
    <w:name w:val="表格编号"/>
    <w:basedOn w:val="1"/>
    <w:next w:val="1"/>
    <w:link w:val="292"/>
    <w:qFormat/>
    <w:uiPriority w:val="0"/>
    <w:pPr>
      <w:spacing w:before="300" w:after="200" w:line="240" w:lineRule="auto"/>
      <w:jc w:val="center"/>
    </w:pPr>
    <w:rPr>
      <w:szCs w:val="20"/>
    </w:rPr>
  </w:style>
  <w:style w:type="character" w:customStyle="1" w:styleId="294">
    <w:name w:val="HTML 预设格式 Char1"/>
    <w:basedOn w:val="81"/>
    <w:semiHidden/>
    <w:qFormat/>
    <w:uiPriority w:val="99"/>
    <w:rPr>
      <w:rFonts w:ascii="Courier New" w:hAnsi="Courier New" w:eastAsia="宋体" w:cs="Courier New"/>
      <w:sz w:val="20"/>
      <w:szCs w:val="20"/>
    </w:rPr>
  </w:style>
  <w:style w:type="character" w:customStyle="1" w:styleId="295">
    <w:name w:val="Char Char23"/>
    <w:qFormat/>
    <w:uiPriority w:val="0"/>
    <w:rPr>
      <w:rFonts w:ascii="Arial" w:hAnsi="Arial" w:eastAsia="黑体" w:cs="Arial"/>
      <w:b/>
      <w:bCs/>
      <w:color w:val="000000"/>
      <w:kern w:val="44"/>
      <w:sz w:val="32"/>
      <w:szCs w:val="32"/>
      <w:lang w:val="en-US" w:eastAsia="zh-CN" w:bidi="ar-SA"/>
    </w:rPr>
  </w:style>
  <w:style w:type="character" w:customStyle="1" w:styleId="296">
    <w:name w:val="Char Char19"/>
    <w:qFormat/>
    <w:uiPriority w:val="0"/>
    <w:rPr>
      <w:rFonts w:ascii="宋体" w:eastAsia="宋体" w:cs="宋体"/>
      <w:sz w:val="28"/>
      <w:szCs w:val="28"/>
      <w:lang w:val="en-US" w:eastAsia="zh-CN" w:bidi="ar-SA"/>
    </w:rPr>
  </w:style>
  <w:style w:type="character" w:customStyle="1" w:styleId="297">
    <w:name w:val="表文 Char Char"/>
    <w:link w:val="298"/>
    <w:qFormat/>
    <w:uiPriority w:val="0"/>
    <w:rPr>
      <w:color w:val="000000"/>
      <w:kern w:val="2"/>
      <w:sz w:val="22"/>
    </w:rPr>
  </w:style>
  <w:style w:type="paragraph" w:customStyle="1" w:styleId="298">
    <w:name w:val="表文"/>
    <w:basedOn w:val="1"/>
    <w:link w:val="297"/>
    <w:qFormat/>
    <w:uiPriority w:val="0"/>
    <w:pPr>
      <w:overflowPunct w:val="0"/>
      <w:spacing w:line="300" w:lineRule="exact"/>
      <w:ind w:left="1" w:leftChars="-4" w:hanging="9" w:hangingChars="4"/>
      <w:jc w:val="center"/>
    </w:pPr>
    <w:rPr>
      <w:color w:val="000000"/>
      <w:sz w:val="22"/>
      <w:szCs w:val="20"/>
    </w:rPr>
  </w:style>
  <w:style w:type="character" w:customStyle="1" w:styleId="299">
    <w:name w:val="short_text"/>
    <w:basedOn w:val="81"/>
    <w:qFormat/>
    <w:uiPriority w:val="0"/>
  </w:style>
  <w:style w:type="character" w:customStyle="1" w:styleId="300">
    <w:name w:val="不明显强调1"/>
    <w:qFormat/>
    <w:uiPriority w:val="0"/>
    <w:rPr>
      <w:rFonts w:eastAsia="Times New Roman"/>
      <w:iCs/>
      <w:color w:val="000000"/>
      <w:sz w:val="24"/>
    </w:rPr>
  </w:style>
  <w:style w:type="character" w:customStyle="1" w:styleId="301">
    <w:name w:val="font131"/>
    <w:qFormat/>
    <w:uiPriority w:val="0"/>
    <w:rPr>
      <w:rFonts w:hint="default" w:ascii="Times New Roman" w:hAnsi="Times New Roman" w:cs="Times New Roman"/>
      <w:color w:val="0000FF"/>
      <w:sz w:val="20"/>
      <w:szCs w:val="20"/>
      <w:u w:val="none"/>
    </w:rPr>
  </w:style>
  <w:style w:type="character" w:customStyle="1" w:styleId="302">
    <w:name w:val="Char Char142"/>
    <w:qFormat/>
    <w:uiPriority w:val="0"/>
    <w:rPr>
      <w:rFonts w:eastAsia="宋体"/>
      <w:b/>
      <w:bCs/>
      <w:kern w:val="44"/>
      <w:sz w:val="44"/>
      <w:szCs w:val="44"/>
      <w:lang w:val="en-US" w:eastAsia="zh-CN"/>
    </w:rPr>
  </w:style>
  <w:style w:type="character" w:customStyle="1" w:styleId="303">
    <w:name w:val="正文 Char1"/>
    <w:basedOn w:val="81"/>
    <w:link w:val="304"/>
    <w:qFormat/>
    <w:uiPriority w:val="0"/>
    <w:rPr>
      <w:rFonts w:ascii="宋体"/>
      <w:sz w:val="24"/>
    </w:rPr>
  </w:style>
  <w:style w:type="paragraph" w:customStyle="1" w:styleId="304">
    <w:name w:val="正文5"/>
    <w:basedOn w:val="1"/>
    <w:link w:val="303"/>
    <w:qFormat/>
    <w:uiPriority w:val="0"/>
    <w:pPr>
      <w:spacing w:before="120" w:line="315" w:lineRule="atLeast"/>
      <w:textAlignment w:val="baseline"/>
    </w:pPr>
    <w:rPr>
      <w:rFonts w:ascii="宋体"/>
      <w:kern w:val="0"/>
      <w:szCs w:val="20"/>
    </w:rPr>
  </w:style>
  <w:style w:type="character" w:customStyle="1" w:styleId="305">
    <w:name w:val="批注主题 Char1"/>
    <w:qFormat/>
    <w:uiPriority w:val="0"/>
    <w:rPr>
      <w:b/>
      <w:bCs/>
      <w:sz w:val="24"/>
    </w:rPr>
  </w:style>
  <w:style w:type="character" w:customStyle="1" w:styleId="306">
    <w:name w:val="Char Char181"/>
    <w:basedOn w:val="81"/>
    <w:qFormat/>
    <w:uiPriority w:val="0"/>
    <w:rPr>
      <w:rFonts w:ascii="Arial" w:hAnsi="Arial" w:eastAsia="宋体" w:cs="Arial"/>
      <w:sz w:val="28"/>
      <w:szCs w:val="28"/>
      <w:lang w:val="en-US" w:eastAsia="zh-CN" w:bidi="ar-SA"/>
    </w:rPr>
  </w:style>
  <w:style w:type="character" w:customStyle="1" w:styleId="307">
    <w:name w:val="文档结构图 Char1"/>
    <w:basedOn w:val="81"/>
    <w:qFormat/>
    <w:uiPriority w:val="0"/>
    <w:rPr>
      <w:rFonts w:ascii="宋体" w:hAnsi="Calibri" w:eastAsia="宋体" w:cs="Times New Roman"/>
      <w:sz w:val="18"/>
      <w:szCs w:val="18"/>
    </w:rPr>
  </w:style>
  <w:style w:type="character" w:customStyle="1" w:styleId="308">
    <w:name w:val="font11"/>
    <w:qFormat/>
    <w:uiPriority w:val="0"/>
    <w:rPr>
      <w:rFonts w:hint="default" w:ascii="Times New Roman" w:hAnsi="Times New Roman" w:cs="Times New Roman"/>
      <w:color w:val="000000"/>
      <w:sz w:val="20"/>
      <w:szCs w:val="20"/>
      <w:u w:val="none"/>
    </w:rPr>
  </w:style>
  <w:style w:type="character" w:customStyle="1" w:styleId="309">
    <w:name w:val="正 文 1 Char Char"/>
    <w:qFormat/>
    <w:uiPriority w:val="0"/>
    <w:rPr>
      <w:rFonts w:ascii="宋体" w:hAnsi="Courier New" w:eastAsia="宋体"/>
      <w:kern w:val="2"/>
      <w:sz w:val="21"/>
      <w:lang w:val="en-US" w:eastAsia="zh-CN" w:bidi="ar-SA"/>
    </w:rPr>
  </w:style>
  <w:style w:type="character" w:customStyle="1" w:styleId="310">
    <w:name w:val="正文缩进 Char4"/>
    <w:qFormat/>
    <w:uiPriority w:val="0"/>
    <w:rPr>
      <w:rFonts w:ascii="Times New Roman" w:hAnsi="Times New Roman"/>
      <w:bCs/>
      <w:kern w:val="2"/>
      <w:sz w:val="24"/>
      <w:szCs w:val="24"/>
      <w:lang w:val="en-US" w:eastAsia="zh-CN"/>
    </w:rPr>
  </w:style>
  <w:style w:type="character" w:customStyle="1" w:styleId="311">
    <w:name w:val="Char Char92"/>
    <w:qFormat/>
    <w:uiPriority w:val="0"/>
    <w:rPr>
      <w:rFonts w:ascii="Calibri" w:hAnsi="Calibri" w:eastAsia="宋体" w:cs="Calibri"/>
      <w:kern w:val="2"/>
      <w:sz w:val="18"/>
      <w:szCs w:val="18"/>
      <w:lang w:val="en-US" w:eastAsia="zh-CN"/>
    </w:rPr>
  </w:style>
  <w:style w:type="character" w:customStyle="1" w:styleId="312">
    <w:name w:val="font121"/>
    <w:qFormat/>
    <w:uiPriority w:val="0"/>
    <w:rPr>
      <w:rFonts w:hint="eastAsia" w:ascii="宋体" w:hAnsi="宋体" w:eastAsia="宋体"/>
      <w:color w:val="000000"/>
      <w:sz w:val="22"/>
      <w:szCs w:val="22"/>
      <w:u w:val="none"/>
    </w:rPr>
  </w:style>
  <w:style w:type="character" w:customStyle="1" w:styleId="313">
    <w:name w:val="样式333333 Char"/>
    <w:link w:val="314"/>
    <w:qFormat/>
    <w:uiPriority w:val="0"/>
    <w:rPr>
      <w:b/>
      <w:snapToGrid w:val="0"/>
      <w:sz w:val="24"/>
      <w:szCs w:val="26"/>
    </w:rPr>
  </w:style>
  <w:style w:type="paragraph" w:customStyle="1" w:styleId="314">
    <w:name w:val="样式333333"/>
    <w:basedOn w:val="1"/>
    <w:link w:val="313"/>
    <w:qFormat/>
    <w:uiPriority w:val="0"/>
    <w:pPr>
      <w:spacing w:beforeLines="10" w:afterLines="50" w:line="460" w:lineRule="exact"/>
      <w:outlineLvl w:val="2"/>
    </w:pPr>
    <w:rPr>
      <w:b/>
      <w:snapToGrid w:val="0"/>
      <w:kern w:val="0"/>
      <w:szCs w:val="26"/>
    </w:rPr>
  </w:style>
  <w:style w:type="character" w:customStyle="1" w:styleId="315">
    <w:name w:val="副标题 Char"/>
    <w:qFormat/>
    <w:uiPriority w:val="0"/>
    <w:rPr>
      <w:rFonts w:ascii="Cambria" w:hAnsi="Cambria" w:cs="Times New Roman"/>
      <w:b/>
      <w:bCs/>
      <w:kern w:val="28"/>
      <w:sz w:val="32"/>
      <w:szCs w:val="32"/>
    </w:rPr>
  </w:style>
  <w:style w:type="character" w:customStyle="1" w:styleId="316">
    <w:name w:val="表格内容 Char1"/>
    <w:qFormat/>
    <w:uiPriority w:val="0"/>
    <w:rPr>
      <w:rFonts w:ascii="Times New Roman" w:hAnsi="Times New Roman" w:eastAsia="宋体" w:cs="Times New Roman"/>
      <w:snapToGrid/>
      <w:color w:val="FF0000"/>
      <w:kern w:val="0"/>
      <w:sz w:val="22"/>
    </w:rPr>
  </w:style>
  <w:style w:type="character" w:customStyle="1" w:styleId="317">
    <w:name w:val="标题3 Char"/>
    <w:link w:val="318"/>
    <w:qFormat/>
    <w:uiPriority w:val="0"/>
    <w:rPr>
      <w:rFonts w:eastAsia="黑体"/>
      <w:sz w:val="30"/>
      <w:lang w:val="en-US" w:eastAsia="zh-CN" w:bidi="ar-SA"/>
    </w:rPr>
  </w:style>
  <w:style w:type="paragraph" w:customStyle="1" w:styleId="318">
    <w:name w:val="标题3"/>
    <w:next w:val="1"/>
    <w:link w:val="317"/>
    <w:qFormat/>
    <w:uiPriority w:val="0"/>
    <w:pPr>
      <w:spacing w:beforeLines="50" w:afterLines="50" w:line="360" w:lineRule="auto"/>
      <w:outlineLvl w:val="2"/>
    </w:pPr>
    <w:rPr>
      <w:rFonts w:ascii="Times New Roman" w:hAnsi="Times New Roman" w:eastAsia="黑体" w:cs="Times New Roman"/>
      <w:sz w:val="30"/>
      <w:lang w:val="en-US" w:eastAsia="zh-CN" w:bidi="ar-SA"/>
    </w:rPr>
  </w:style>
  <w:style w:type="character" w:customStyle="1" w:styleId="319">
    <w:name w:val="Char Char81"/>
    <w:qFormat/>
    <w:uiPriority w:val="0"/>
    <w:rPr>
      <w:rFonts w:ascii="宋体" w:hAnsi="宋体" w:eastAsia="宋体" w:cs="宋体"/>
      <w:kern w:val="0"/>
      <w:sz w:val="24"/>
      <w:szCs w:val="24"/>
    </w:rPr>
  </w:style>
  <w:style w:type="character" w:customStyle="1" w:styleId="320">
    <w:name w:val="正文 首行缩进:  2 字符 Char"/>
    <w:link w:val="321"/>
    <w:qFormat/>
    <w:uiPriority w:val="0"/>
    <w:rPr>
      <w:kern w:val="2"/>
      <w:sz w:val="28"/>
    </w:rPr>
  </w:style>
  <w:style w:type="paragraph" w:customStyle="1" w:styleId="321">
    <w:name w:val="正文 首行缩进:  2 字符"/>
    <w:basedOn w:val="1"/>
    <w:link w:val="320"/>
    <w:qFormat/>
    <w:uiPriority w:val="0"/>
    <w:pPr>
      <w:spacing w:line="240" w:lineRule="auto"/>
      <w:ind w:firstLine="579"/>
    </w:pPr>
    <w:rPr>
      <w:sz w:val="28"/>
      <w:szCs w:val="20"/>
    </w:rPr>
  </w:style>
  <w:style w:type="character" w:customStyle="1" w:styleId="322">
    <w:name w:val="font21"/>
    <w:basedOn w:val="81"/>
    <w:qFormat/>
    <w:uiPriority w:val="0"/>
    <w:rPr>
      <w:rFonts w:hint="default" w:ascii="Times New Roman" w:hAnsi="Times New Roman" w:cs="Times New Roman"/>
      <w:color w:val="000000"/>
      <w:sz w:val="20"/>
      <w:szCs w:val="20"/>
      <w:u w:val="none"/>
    </w:rPr>
  </w:style>
  <w:style w:type="character" w:customStyle="1" w:styleId="323">
    <w:name w:val="标题2 Char"/>
    <w:qFormat/>
    <w:uiPriority w:val="0"/>
    <w:rPr>
      <w:rFonts w:ascii="黑体" w:eastAsia="黑体"/>
      <w:b/>
      <w:bCs/>
      <w:kern w:val="2"/>
      <w:sz w:val="28"/>
      <w:szCs w:val="32"/>
      <w:lang w:val="en-US" w:eastAsia="zh-CN" w:bidi="ar-SA"/>
    </w:rPr>
  </w:style>
  <w:style w:type="character" w:customStyle="1" w:styleId="324">
    <w:name w:val="Char Char191"/>
    <w:basedOn w:val="81"/>
    <w:qFormat/>
    <w:uiPriority w:val="0"/>
    <w:rPr>
      <w:rFonts w:ascii="宋体" w:eastAsia="宋体" w:cs="宋体"/>
      <w:sz w:val="28"/>
      <w:szCs w:val="28"/>
      <w:lang w:val="en-US" w:eastAsia="zh-CN" w:bidi="ar-SA"/>
    </w:rPr>
  </w:style>
  <w:style w:type="character" w:customStyle="1" w:styleId="325">
    <w:name w:val="f141"/>
    <w:qFormat/>
    <w:uiPriority w:val="0"/>
    <w:rPr>
      <w:sz w:val="21"/>
      <w:szCs w:val="21"/>
    </w:rPr>
  </w:style>
  <w:style w:type="character" w:customStyle="1" w:styleId="326">
    <w:name w:val="样式 小四 加粗 黑色"/>
    <w:qFormat/>
    <w:uiPriority w:val="0"/>
    <w:rPr>
      <w:b/>
      <w:bCs/>
      <w:color w:val="000000"/>
      <w:kern w:val="0"/>
      <w:sz w:val="24"/>
    </w:rPr>
  </w:style>
  <w:style w:type="character" w:customStyle="1" w:styleId="327">
    <w:name w:val="正文(首行缩进) Char1"/>
    <w:qFormat/>
    <w:uiPriority w:val="0"/>
    <w:rPr>
      <w:rFonts w:hAnsi="宋体" w:eastAsia="宋体"/>
      <w:snapToGrid/>
      <w:kern w:val="2"/>
      <w:sz w:val="24"/>
      <w:szCs w:val="24"/>
      <w:lang w:val="en-US" w:eastAsia="zh-CN" w:bidi="ar-SA"/>
    </w:rPr>
  </w:style>
  <w:style w:type="character" w:customStyle="1" w:styleId="328">
    <w:name w:val="报告表格 Char"/>
    <w:link w:val="329"/>
    <w:qFormat/>
    <w:uiPriority w:val="0"/>
  </w:style>
  <w:style w:type="paragraph" w:customStyle="1" w:styleId="329">
    <w:name w:val="报告表格"/>
    <w:basedOn w:val="1"/>
    <w:link w:val="328"/>
    <w:qFormat/>
    <w:uiPriority w:val="0"/>
    <w:pPr>
      <w:autoSpaceDE w:val="0"/>
      <w:autoSpaceDN w:val="0"/>
      <w:spacing w:before="40" w:after="40" w:line="240" w:lineRule="auto"/>
      <w:jc w:val="center"/>
      <w:textAlignment w:val="bottom"/>
    </w:pPr>
    <w:rPr>
      <w:kern w:val="0"/>
      <w:sz w:val="20"/>
      <w:szCs w:val="20"/>
    </w:rPr>
  </w:style>
  <w:style w:type="character" w:customStyle="1" w:styleId="330">
    <w:name w:val="font61"/>
    <w:qFormat/>
    <w:uiPriority w:val="0"/>
    <w:rPr>
      <w:rFonts w:hint="eastAsia" w:ascii="宋体" w:hAnsi="宋体" w:eastAsia="宋体"/>
      <w:color w:val="000000"/>
      <w:sz w:val="20"/>
      <w:szCs w:val="20"/>
      <w:u w:val="none"/>
    </w:rPr>
  </w:style>
  <w:style w:type="character" w:customStyle="1" w:styleId="331">
    <w:name w:val="f241"/>
    <w:qFormat/>
    <w:uiPriority w:val="0"/>
    <w:rPr>
      <w:sz w:val="36"/>
      <w:szCs w:val="36"/>
    </w:rPr>
  </w:style>
  <w:style w:type="character" w:customStyle="1" w:styleId="332">
    <w:name w:val="Char Char18"/>
    <w:qFormat/>
    <w:uiPriority w:val="0"/>
    <w:rPr>
      <w:rFonts w:ascii="Arial" w:hAnsi="Arial" w:eastAsia="宋体" w:cs="Arial"/>
      <w:sz w:val="28"/>
      <w:szCs w:val="28"/>
      <w:lang w:val="en-US" w:eastAsia="zh-CN" w:bidi="ar-SA"/>
    </w:rPr>
  </w:style>
  <w:style w:type="character" w:customStyle="1" w:styleId="333">
    <w:name w:val="fs_141"/>
    <w:basedOn w:val="81"/>
    <w:qFormat/>
    <w:uiPriority w:val="0"/>
    <w:rPr>
      <w:sz w:val="21"/>
      <w:szCs w:val="21"/>
    </w:rPr>
  </w:style>
  <w:style w:type="character" w:customStyle="1" w:styleId="334">
    <w:name w:val="正文首行缩进 Char1"/>
    <w:basedOn w:val="161"/>
    <w:link w:val="335"/>
    <w:qFormat/>
    <w:uiPriority w:val="0"/>
    <w:rPr>
      <w:rFonts w:ascii="Calibri" w:hAnsi="Calibri" w:eastAsia="宋体" w:cs="Times New Roman"/>
    </w:rPr>
  </w:style>
  <w:style w:type="paragraph" w:customStyle="1" w:styleId="335">
    <w:name w:val="正文文本首行缩进1"/>
    <w:basedOn w:val="31"/>
    <w:link w:val="334"/>
    <w:qFormat/>
    <w:uiPriority w:val="0"/>
    <w:pPr>
      <w:spacing w:line="240" w:lineRule="auto"/>
      <w:ind w:firstLine="420" w:firstLineChars="100"/>
      <w:jc w:val="both"/>
    </w:pPr>
    <w:rPr>
      <w:sz w:val="20"/>
    </w:rPr>
  </w:style>
  <w:style w:type="character" w:customStyle="1" w:styleId="336">
    <w:name w:val="Char Char6"/>
    <w:qFormat/>
    <w:uiPriority w:val="0"/>
    <w:rPr>
      <w:rFonts w:eastAsia="宋体"/>
      <w:kern w:val="2"/>
      <w:sz w:val="18"/>
      <w:szCs w:val="18"/>
      <w:lang w:val="en-US" w:eastAsia="zh-CN"/>
    </w:rPr>
  </w:style>
  <w:style w:type="character" w:customStyle="1" w:styleId="337">
    <w:name w:val="君邦正文 Char2"/>
    <w:link w:val="338"/>
    <w:qFormat/>
    <w:uiPriority w:val="0"/>
    <w:rPr>
      <w:bCs/>
      <w:snapToGrid w:val="0"/>
      <w:sz w:val="24"/>
      <w:lang w:val="en-US" w:eastAsia="zh-CN" w:bidi="ar-SA"/>
    </w:rPr>
  </w:style>
  <w:style w:type="paragraph" w:customStyle="1" w:styleId="338">
    <w:name w:val="君邦正文"/>
    <w:link w:val="337"/>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character" w:customStyle="1" w:styleId="339">
    <w:name w:val="Char Char16"/>
    <w:qFormat/>
    <w:uiPriority w:val="0"/>
    <w:rPr>
      <w:rFonts w:ascii="Arial" w:hAnsi="Arial" w:eastAsia="宋体" w:cs="Arial"/>
      <w:sz w:val="28"/>
      <w:szCs w:val="28"/>
      <w:lang w:val="en-US" w:eastAsia="zh-CN" w:bidi="ar-SA"/>
    </w:rPr>
  </w:style>
  <w:style w:type="character" w:customStyle="1" w:styleId="340">
    <w:name w:val="Char Char131"/>
    <w:qFormat/>
    <w:uiPriority w:val="0"/>
    <w:rPr>
      <w:sz w:val="18"/>
      <w:szCs w:val="18"/>
    </w:rPr>
  </w:style>
  <w:style w:type="character" w:customStyle="1" w:styleId="341">
    <w:name w:val="正文(首行缩进) Char"/>
    <w:link w:val="342"/>
    <w:qFormat/>
    <w:uiPriority w:val="0"/>
    <w:rPr>
      <w:snapToGrid w:val="0"/>
      <w:sz w:val="24"/>
      <w:szCs w:val="24"/>
    </w:rPr>
  </w:style>
  <w:style w:type="paragraph" w:customStyle="1" w:styleId="342">
    <w:name w:val="正文(首行缩进)"/>
    <w:basedOn w:val="1"/>
    <w:link w:val="341"/>
    <w:qFormat/>
    <w:uiPriority w:val="0"/>
    <w:rPr>
      <w:snapToGrid w:val="0"/>
      <w:kern w:val="0"/>
      <w:szCs w:val="24"/>
    </w:rPr>
  </w:style>
  <w:style w:type="character" w:customStyle="1" w:styleId="343">
    <w:name w:val="排版正文 Char"/>
    <w:link w:val="344"/>
    <w:qFormat/>
    <w:uiPriority w:val="0"/>
    <w:rPr>
      <w:rFonts w:ascii="宋体" w:hAnsi="宋体"/>
      <w:color w:val="000000"/>
      <w:sz w:val="24"/>
      <w:szCs w:val="24"/>
    </w:rPr>
  </w:style>
  <w:style w:type="paragraph" w:customStyle="1" w:styleId="344">
    <w:name w:val="排版正文"/>
    <w:basedOn w:val="1"/>
    <w:link w:val="343"/>
    <w:qFormat/>
    <w:uiPriority w:val="0"/>
    <w:pPr>
      <w:spacing w:line="480" w:lineRule="exact"/>
      <w:ind w:firstLine="480"/>
    </w:pPr>
    <w:rPr>
      <w:rFonts w:ascii="宋体" w:hAnsi="宋体"/>
      <w:color w:val="000000"/>
      <w:kern w:val="0"/>
      <w:szCs w:val="24"/>
    </w:rPr>
  </w:style>
  <w:style w:type="character" w:customStyle="1" w:styleId="345">
    <w:name w:val="正文四号 Char"/>
    <w:link w:val="346"/>
    <w:qFormat/>
    <w:uiPriority w:val="0"/>
    <w:rPr>
      <w:kern w:val="2"/>
      <w:sz w:val="28"/>
    </w:rPr>
  </w:style>
  <w:style w:type="paragraph" w:customStyle="1" w:styleId="346">
    <w:name w:val="正文四号"/>
    <w:basedOn w:val="1"/>
    <w:link w:val="345"/>
    <w:qFormat/>
    <w:uiPriority w:val="0"/>
    <w:rPr>
      <w:sz w:val="28"/>
      <w:szCs w:val="20"/>
    </w:rPr>
  </w:style>
  <w:style w:type="character" w:customStyle="1" w:styleId="347">
    <w:name w:val="font81"/>
    <w:qFormat/>
    <w:uiPriority w:val="0"/>
    <w:rPr>
      <w:rFonts w:hint="eastAsia" w:ascii="宋体" w:hAnsi="宋体" w:eastAsia="宋体"/>
      <w:color w:val="000000"/>
      <w:sz w:val="20"/>
      <w:szCs w:val="20"/>
      <w:u w:val="none"/>
    </w:rPr>
  </w:style>
  <w:style w:type="character" w:customStyle="1" w:styleId="348">
    <w:name w:val="zhenwen14"/>
    <w:qFormat/>
    <w:uiPriority w:val="0"/>
  </w:style>
  <w:style w:type="character" w:customStyle="1" w:styleId="349">
    <w:name w:val="【正文】 Char"/>
    <w:link w:val="350"/>
    <w:qFormat/>
    <w:uiPriority w:val="0"/>
    <w:rPr>
      <w:kern w:val="2"/>
      <w:sz w:val="24"/>
    </w:rPr>
  </w:style>
  <w:style w:type="paragraph" w:customStyle="1" w:styleId="350">
    <w:name w:val="【正文】"/>
    <w:basedOn w:val="1"/>
    <w:link w:val="349"/>
    <w:qFormat/>
    <w:uiPriority w:val="0"/>
    <w:pPr>
      <w:spacing w:line="440" w:lineRule="exact"/>
      <w:ind w:firstLine="544"/>
    </w:pPr>
    <w:rPr>
      <w:szCs w:val="20"/>
    </w:rPr>
  </w:style>
  <w:style w:type="character" w:customStyle="1" w:styleId="351">
    <w:name w:val="apple-style-span"/>
    <w:basedOn w:val="81"/>
    <w:qFormat/>
    <w:uiPriority w:val="0"/>
  </w:style>
  <w:style w:type="character" w:customStyle="1" w:styleId="352">
    <w:name w:val="正文文本 3 Char1"/>
    <w:basedOn w:val="81"/>
    <w:qFormat/>
    <w:uiPriority w:val="0"/>
    <w:rPr>
      <w:rFonts w:ascii="Calibri" w:hAnsi="Calibri" w:eastAsia="宋体" w:cs="Times New Roman"/>
      <w:sz w:val="16"/>
      <w:szCs w:val="16"/>
    </w:rPr>
  </w:style>
  <w:style w:type="character" w:customStyle="1" w:styleId="353">
    <w:name w:val="bold1"/>
    <w:qFormat/>
    <w:uiPriority w:val="0"/>
    <w:rPr>
      <w:b/>
      <w:bCs/>
    </w:rPr>
  </w:style>
  <w:style w:type="character" w:customStyle="1" w:styleId="354">
    <w:name w:val="纯文本 Char1"/>
    <w:qFormat/>
    <w:uiPriority w:val="0"/>
    <w:rPr>
      <w:rFonts w:ascii="宋体" w:hAnsi="Courier New" w:eastAsia="宋体" w:cs="宋体"/>
      <w:sz w:val="28"/>
      <w:szCs w:val="28"/>
    </w:rPr>
  </w:style>
  <w:style w:type="character" w:customStyle="1" w:styleId="355">
    <w:name w:val="样式2 Char"/>
    <w:link w:val="356"/>
    <w:qFormat/>
    <w:uiPriority w:val="0"/>
    <w:rPr>
      <w:rFonts w:ascii="黑体" w:eastAsia="黑体"/>
      <w:b/>
      <w:color w:val="000000"/>
      <w:kern w:val="2"/>
      <w:sz w:val="24"/>
      <w:szCs w:val="24"/>
    </w:rPr>
  </w:style>
  <w:style w:type="paragraph" w:customStyle="1" w:styleId="356">
    <w:name w:val="样式2"/>
    <w:basedOn w:val="7"/>
    <w:link w:val="355"/>
    <w:qFormat/>
    <w:uiPriority w:val="0"/>
    <w:pPr>
      <w:keepNext w:val="0"/>
      <w:keepLines w:val="0"/>
      <w:autoSpaceDE w:val="0"/>
      <w:autoSpaceDN w:val="0"/>
      <w:spacing w:beforeLines="0" w:line="360" w:lineRule="auto"/>
      <w:jc w:val="both"/>
      <w:textAlignment w:val="bottom"/>
    </w:pPr>
    <w:rPr>
      <w:bCs w:val="0"/>
      <w:color w:val="000000"/>
      <w:sz w:val="24"/>
      <w:szCs w:val="24"/>
    </w:rPr>
  </w:style>
  <w:style w:type="character" w:customStyle="1" w:styleId="357">
    <w:name w:val="Char Char201"/>
    <w:basedOn w:val="81"/>
    <w:qFormat/>
    <w:uiPriority w:val="0"/>
    <w:rPr>
      <w:rFonts w:ascii="宋体" w:hAnsi="宋体" w:eastAsia="宋体"/>
      <w:sz w:val="24"/>
      <w:szCs w:val="24"/>
      <w:lang w:val="en-US" w:eastAsia="zh-CN" w:bidi="ar-SA"/>
    </w:rPr>
  </w:style>
  <w:style w:type="character" w:customStyle="1" w:styleId="358">
    <w:name w:val="hangju1"/>
    <w:basedOn w:val="81"/>
    <w:qFormat/>
    <w:uiPriority w:val="0"/>
  </w:style>
  <w:style w:type="character" w:customStyle="1" w:styleId="359">
    <w:name w:val="亚行正文 Char"/>
    <w:link w:val="360"/>
    <w:qFormat/>
    <w:uiPriority w:val="0"/>
    <w:rPr>
      <w:snapToGrid w:val="0"/>
      <w:sz w:val="24"/>
      <w:szCs w:val="24"/>
    </w:rPr>
  </w:style>
  <w:style w:type="paragraph" w:customStyle="1" w:styleId="360">
    <w:name w:val="亚行正文"/>
    <w:basedOn w:val="1"/>
    <w:link w:val="359"/>
    <w:qFormat/>
    <w:uiPriority w:val="0"/>
    <w:pPr>
      <w:wordWrap w:val="0"/>
      <w:ind w:left="-2" w:leftChars="-1" w:firstLine="473" w:firstLineChars="197"/>
    </w:pPr>
    <w:rPr>
      <w:snapToGrid w:val="0"/>
      <w:kern w:val="0"/>
      <w:szCs w:val="24"/>
    </w:rPr>
  </w:style>
  <w:style w:type="character" w:customStyle="1" w:styleId="361">
    <w:name w:val="样式1 Char"/>
    <w:link w:val="362"/>
    <w:qFormat/>
    <w:uiPriority w:val="0"/>
    <w:rPr>
      <w:rFonts w:ascii="宋体"/>
      <w:color w:val="000000"/>
      <w:sz w:val="28"/>
      <w:szCs w:val="28"/>
    </w:rPr>
  </w:style>
  <w:style w:type="paragraph" w:customStyle="1" w:styleId="362">
    <w:name w:val="样式1"/>
    <w:basedOn w:val="1"/>
    <w:link w:val="361"/>
    <w:qFormat/>
    <w:uiPriority w:val="0"/>
    <w:pPr>
      <w:spacing w:line="480" w:lineRule="exact"/>
      <w:ind w:firstLine="567"/>
      <w:textAlignment w:val="baseline"/>
    </w:pPr>
    <w:rPr>
      <w:rFonts w:ascii="宋体"/>
      <w:color w:val="000000"/>
      <w:kern w:val="0"/>
      <w:sz w:val="28"/>
      <w:szCs w:val="28"/>
    </w:rPr>
  </w:style>
  <w:style w:type="character" w:customStyle="1" w:styleId="363">
    <w:name w:val="txtcontent11"/>
    <w:qFormat/>
    <w:uiPriority w:val="0"/>
    <w:rPr>
      <w:rFonts w:hint="default" w:ascii="ˎ̥" w:hAnsi="ˎ̥"/>
      <w:color w:val="000000"/>
      <w:sz w:val="21"/>
      <w:szCs w:val="21"/>
    </w:rPr>
  </w:style>
  <w:style w:type="character" w:customStyle="1" w:styleId="364">
    <w:name w:val="textindent"/>
    <w:basedOn w:val="81"/>
    <w:qFormat/>
    <w:uiPriority w:val="0"/>
  </w:style>
  <w:style w:type="character" w:customStyle="1" w:styleId="365">
    <w:name w:val="s c c"/>
    <w:basedOn w:val="81"/>
    <w:qFormat/>
    <w:uiPriority w:val="0"/>
  </w:style>
  <w:style w:type="character" w:customStyle="1" w:styleId="366">
    <w:name w:val="font51"/>
    <w:qFormat/>
    <w:uiPriority w:val="0"/>
    <w:rPr>
      <w:rFonts w:hint="default" w:ascii="Arial" w:hAnsi="Arial" w:cs="Arial"/>
      <w:color w:val="000000"/>
      <w:sz w:val="20"/>
      <w:szCs w:val="20"/>
      <w:u w:val="none"/>
    </w:rPr>
  </w:style>
  <w:style w:type="character" w:customStyle="1" w:styleId="367">
    <w:name w:val="Char Char"/>
    <w:qFormat/>
    <w:uiPriority w:val="0"/>
    <w:rPr>
      <w:rFonts w:ascii="宋体" w:hAnsi="Courier New" w:eastAsia="宋体"/>
      <w:kern w:val="2"/>
      <w:sz w:val="21"/>
      <w:lang w:val="en-US" w:eastAsia="zh-CN" w:bidi="ar-SA"/>
    </w:rPr>
  </w:style>
  <w:style w:type="character" w:customStyle="1" w:styleId="368">
    <w:name w:val="font91"/>
    <w:qFormat/>
    <w:uiPriority w:val="0"/>
    <w:rPr>
      <w:rFonts w:hint="eastAsia" w:ascii="宋体" w:hAnsi="宋体" w:eastAsia="宋体"/>
      <w:color w:val="0000FF"/>
      <w:sz w:val="20"/>
      <w:szCs w:val="20"/>
      <w:u w:val="none"/>
    </w:rPr>
  </w:style>
  <w:style w:type="character" w:customStyle="1" w:styleId="369">
    <w:name w:val="Char Char171"/>
    <w:basedOn w:val="81"/>
    <w:qFormat/>
    <w:uiPriority w:val="0"/>
    <w:rPr>
      <w:rFonts w:ascii="宋体" w:eastAsia="宋体" w:cs="宋体"/>
      <w:sz w:val="28"/>
      <w:szCs w:val="28"/>
      <w:lang w:val="en-US" w:eastAsia="zh-CN" w:bidi="ar-SA"/>
    </w:rPr>
  </w:style>
  <w:style w:type="character" w:customStyle="1" w:styleId="370">
    <w:name w:val="style21"/>
    <w:basedOn w:val="81"/>
    <w:qFormat/>
    <w:uiPriority w:val="0"/>
  </w:style>
  <w:style w:type="character" w:customStyle="1" w:styleId="371">
    <w:name w:val="样式 四号"/>
    <w:qFormat/>
    <w:uiPriority w:val="0"/>
    <w:rPr>
      <w:sz w:val="28"/>
    </w:rPr>
  </w:style>
  <w:style w:type="character" w:customStyle="1" w:styleId="372">
    <w:name w:val="标题 4 Char2"/>
    <w:qFormat/>
    <w:uiPriority w:val="0"/>
    <w:rPr>
      <w:rFonts w:ascii="宋体" w:hAnsi="宋体" w:eastAsia="宋体" w:cs="Times New Roman"/>
      <w:kern w:val="0"/>
      <w:sz w:val="24"/>
      <w:szCs w:val="24"/>
    </w:rPr>
  </w:style>
  <w:style w:type="character" w:customStyle="1" w:styleId="373">
    <w:name w:val="infodetail1"/>
    <w:qFormat/>
    <w:uiPriority w:val="0"/>
    <w:rPr>
      <w:rFonts w:hint="default" w:ascii="ˎ̥" w:hAnsi="ˎ̥"/>
      <w:color w:val="000000"/>
      <w:sz w:val="24"/>
      <w:szCs w:val="24"/>
      <w:u w:val="none"/>
    </w:rPr>
  </w:style>
  <w:style w:type="character" w:customStyle="1" w:styleId="374">
    <w:name w:val="【图片】 Char"/>
    <w:link w:val="375"/>
    <w:qFormat/>
    <w:uiPriority w:val="0"/>
    <w:rPr>
      <w:rFonts w:ascii="宋体" w:hAnsi="宋体"/>
      <w:sz w:val="24"/>
      <w:lang w:val="en-US" w:eastAsia="zh-CN" w:bidi="ar-SA"/>
    </w:rPr>
  </w:style>
  <w:style w:type="paragraph" w:customStyle="1" w:styleId="375">
    <w:name w:val="【图片】"/>
    <w:next w:val="72"/>
    <w:link w:val="374"/>
    <w:qFormat/>
    <w:uiPriority w:val="0"/>
    <w:pPr>
      <w:spacing w:line="360" w:lineRule="auto"/>
      <w:jc w:val="center"/>
    </w:pPr>
    <w:rPr>
      <w:rFonts w:ascii="宋体" w:hAnsi="宋体" w:eastAsia="宋体" w:cs="Times New Roman"/>
      <w:sz w:val="24"/>
      <w:lang w:val="en-US" w:eastAsia="zh-CN" w:bidi="ar-SA"/>
    </w:rPr>
  </w:style>
  <w:style w:type="character" w:customStyle="1" w:styleId="376">
    <w:name w:val="表文字 Char1"/>
    <w:link w:val="377"/>
    <w:qFormat/>
    <w:uiPriority w:val="0"/>
    <w:rPr>
      <w:kern w:val="0"/>
      <w:sz w:val="24"/>
    </w:rPr>
  </w:style>
  <w:style w:type="paragraph" w:customStyle="1" w:styleId="377">
    <w:name w:val="表文字"/>
    <w:basedOn w:val="1"/>
    <w:link w:val="376"/>
    <w:qFormat/>
    <w:uiPriority w:val="0"/>
    <w:pPr>
      <w:overflowPunct w:val="0"/>
      <w:autoSpaceDE w:val="0"/>
      <w:autoSpaceDN w:val="0"/>
      <w:spacing w:line="240" w:lineRule="atLeast"/>
      <w:jc w:val="center"/>
      <w:textAlignment w:val="baseline"/>
    </w:pPr>
    <w:rPr>
      <w:kern w:val="0"/>
      <w:szCs w:val="20"/>
    </w:rPr>
  </w:style>
  <w:style w:type="character" w:customStyle="1" w:styleId="378">
    <w:name w:val="Char Char15"/>
    <w:qFormat/>
    <w:uiPriority w:val="0"/>
    <w:rPr>
      <w:sz w:val="18"/>
      <w:szCs w:val="18"/>
    </w:rPr>
  </w:style>
  <w:style w:type="paragraph" w:customStyle="1" w:styleId="379">
    <w:name w:val="Char5"/>
    <w:basedOn w:val="1"/>
    <w:qFormat/>
    <w:uiPriority w:val="0"/>
    <w:rPr>
      <w:rFonts w:ascii="宋体" w:hAnsi="宋体" w:cs="宋体"/>
      <w:kern w:val="0"/>
      <w:szCs w:val="24"/>
    </w:rPr>
  </w:style>
  <w:style w:type="paragraph" w:customStyle="1" w:styleId="380">
    <w:name w:val="Char7"/>
    <w:basedOn w:val="1"/>
    <w:qFormat/>
    <w:uiPriority w:val="0"/>
    <w:rPr>
      <w:szCs w:val="20"/>
    </w:rPr>
  </w:style>
  <w:style w:type="paragraph" w:customStyle="1" w:styleId="381">
    <w:name w:val="font16"/>
    <w:basedOn w:val="1"/>
    <w:qFormat/>
    <w:uiPriority w:val="0"/>
    <w:pPr>
      <w:spacing w:before="100" w:beforeAutospacing="1" w:after="100" w:afterAutospacing="1" w:line="240" w:lineRule="auto"/>
    </w:pPr>
    <w:rPr>
      <w:rFonts w:ascii="宋体" w:hAnsi="宋体" w:cs="宋体"/>
      <w:kern w:val="0"/>
      <w:sz w:val="20"/>
      <w:szCs w:val="20"/>
    </w:rPr>
  </w:style>
  <w:style w:type="paragraph" w:customStyle="1" w:styleId="382">
    <w:name w:val="xl25"/>
    <w:basedOn w:val="1"/>
    <w:qFormat/>
    <w:uiPriority w:val="0"/>
    <w:pPr>
      <w:spacing w:before="100" w:after="100" w:line="240" w:lineRule="auto"/>
      <w:jc w:val="center"/>
    </w:pPr>
    <w:rPr>
      <w:rFonts w:eastAsia="Arial Unicode MS"/>
      <w:kern w:val="0"/>
      <w:szCs w:val="20"/>
    </w:rPr>
  </w:style>
  <w:style w:type="paragraph" w:customStyle="1" w:styleId="383">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384">
    <w:name w:val="表题"/>
    <w:basedOn w:val="1"/>
    <w:link w:val="385"/>
    <w:qFormat/>
    <w:uiPriority w:val="0"/>
    <w:pPr>
      <w:autoSpaceDE w:val="0"/>
      <w:autoSpaceDN w:val="0"/>
      <w:spacing w:line="480" w:lineRule="atLeast"/>
      <w:jc w:val="center"/>
      <w:textAlignment w:val="baseline"/>
    </w:pPr>
    <w:rPr>
      <w:rFonts w:ascii="黑体" w:eastAsia="黑体"/>
      <w:kern w:val="16"/>
      <w:sz w:val="21"/>
      <w:szCs w:val="20"/>
    </w:rPr>
  </w:style>
  <w:style w:type="character" w:customStyle="1" w:styleId="385">
    <w:name w:val="表题 Char Char"/>
    <w:link w:val="384"/>
    <w:qFormat/>
    <w:uiPriority w:val="0"/>
    <w:rPr>
      <w:rFonts w:ascii="黑体" w:eastAsia="黑体"/>
      <w:kern w:val="16"/>
      <w:sz w:val="21"/>
    </w:rPr>
  </w:style>
  <w:style w:type="paragraph" w:customStyle="1" w:styleId="386">
    <w:name w:val="表号"/>
    <w:basedOn w:val="1"/>
    <w:link w:val="387"/>
    <w:qFormat/>
    <w:uiPriority w:val="0"/>
    <w:pPr>
      <w:overflowPunct w:val="0"/>
      <w:spacing w:line="460" w:lineRule="exact"/>
      <w:ind w:firstLine="520"/>
      <w:textAlignment w:val="baseline"/>
    </w:pPr>
    <w:rPr>
      <w:sz w:val="26"/>
      <w:szCs w:val="26"/>
    </w:rPr>
  </w:style>
  <w:style w:type="character" w:customStyle="1" w:styleId="387">
    <w:name w:val="表号 Char Char"/>
    <w:link w:val="386"/>
    <w:qFormat/>
    <w:uiPriority w:val="0"/>
    <w:rPr>
      <w:kern w:val="2"/>
      <w:sz w:val="26"/>
      <w:szCs w:val="26"/>
    </w:rPr>
  </w:style>
  <w:style w:type="paragraph" w:customStyle="1" w:styleId="388">
    <w:name w:val="无间隔4"/>
    <w:qFormat/>
    <w:uiPriority w:val="0"/>
    <w:pPr>
      <w:widowControl w:val="0"/>
      <w:spacing w:line="360" w:lineRule="auto"/>
      <w:jc w:val="both"/>
    </w:pPr>
    <w:rPr>
      <w:rFonts w:ascii="Calibri" w:hAnsi="Calibri" w:eastAsia="宋体" w:cs="Calibri"/>
      <w:kern w:val="2"/>
      <w:sz w:val="21"/>
      <w:szCs w:val="21"/>
      <w:lang w:val="en-US" w:eastAsia="zh-CN" w:bidi="ar-SA"/>
    </w:rPr>
  </w:style>
  <w:style w:type="paragraph" w:customStyle="1" w:styleId="389">
    <w:name w:val="font14"/>
    <w:basedOn w:val="1"/>
    <w:qFormat/>
    <w:uiPriority w:val="0"/>
    <w:pPr>
      <w:spacing w:before="100" w:beforeAutospacing="1" w:after="100" w:afterAutospacing="1" w:line="240" w:lineRule="auto"/>
    </w:pPr>
    <w:rPr>
      <w:rFonts w:ascii="宋体" w:hAnsi="宋体" w:cs="宋体"/>
      <w:kern w:val="0"/>
      <w:sz w:val="18"/>
      <w:szCs w:val="18"/>
    </w:rPr>
  </w:style>
  <w:style w:type="paragraph" w:customStyle="1" w:styleId="390">
    <w:name w:val="font25"/>
    <w:basedOn w:val="1"/>
    <w:qFormat/>
    <w:uiPriority w:val="0"/>
    <w:pPr>
      <w:spacing w:before="100" w:beforeAutospacing="1" w:after="100" w:afterAutospacing="1" w:line="240" w:lineRule="auto"/>
    </w:pPr>
    <w:rPr>
      <w:rFonts w:ascii="宋体" w:hAnsi="宋体" w:cs="宋体"/>
      <w:kern w:val="0"/>
      <w:sz w:val="20"/>
      <w:szCs w:val="20"/>
    </w:rPr>
  </w:style>
  <w:style w:type="paragraph" w:customStyle="1" w:styleId="391">
    <w:name w:val="表格小四"/>
    <w:basedOn w:val="1"/>
    <w:qFormat/>
    <w:uiPriority w:val="0"/>
    <w:pPr>
      <w:spacing w:line="240" w:lineRule="auto"/>
      <w:jc w:val="center"/>
    </w:pPr>
    <w:rPr>
      <w:rFonts w:ascii="宋体" w:hAnsi="宋体" w:cs="宋体"/>
      <w:bCs/>
      <w:kern w:val="0"/>
      <w:szCs w:val="24"/>
    </w:rPr>
  </w:style>
  <w:style w:type="paragraph" w:customStyle="1" w:styleId="392">
    <w:name w:val="Date2"/>
    <w:basedOn w:val="1"/>
    <w:next w:val="1"/>
    <w:qFormat/>
    <w:uiPriority w:val="0"/>
    <w:pPr>
      <w:spacing w:line="240" w:lineRule="auto"/>
      <w:textAlignment w:val="baseline"/>
    </w:pPr>
    <w:rPr>
      <w:rFonts w:ascii="宋体"/>
      <w:spacing w:val="24"/>
      <w:kern w:val="24"/>
      <w:szCs w:val="20"/>
    </w:rPr>
  </w:style>
  <w:style w:type="paragraph" w:customStyle="1" w:styleId="393">
    <w:name w:val="xl3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Cs w:val="24"/>
    </w:rPr>
  </w:style>
  <w:style w:type="paragraph" w:customStyle="1" w:styleId="394">
    <w:name w:val="图表标题"/>
    <w:basedOn w:val="264"/>
    <w:next w:val="1"/>
    <w:link w:val="395"/>
    <w:qFormat/>
    <w:uiPriority w:val="0"/>
    <w:pPr>
      <w:spacing w:line="240" w:lineRule="auto"/>
      <w:ind w:firstLine="0"/>
      <w:jc w:val="center"/>
      <w:textAlignment w:val="baseline"/>
    </w:pPr>
    <w:rPr>
      <w:b/>
      <w:kern w:val="2"/>
      <w:szCs w:val="24"/>
    </w:rPr>
  </w:style>
  <w:style w:type="character" w:customStyle="1" w:styleId="395">
    <w:name w:val="图表标题 Char Char"/>
    <w:link w:val="394"/>
    <w:qFormat/>
    <w:uiPriority w:val="0"/>
    <w:rPr>
      <w:b/>
      <w:kern w:val="2"/>
      <w:sz w:val="24"/>
      <w:szCs w:val="24"/>
    </w:rPr>
  </w:style>
  <w:style w:type="paragraph" w:customStyle="1" w:styleId="396">
    <w:name w:val="列出段落5"/>
    <w:basedOn w:val="1"/>
    <w:qFormat/>
    <w:uiPriority w:val="0"/>
    <w:pPr>
      <w:spacing w:line="440" w:lineRule="exact"/>
      <w:ind w:left="720"/>
      <w:contextualSpacing/>
    </w:pPr>
    <w:rPr>
      <w:rFonts w:ascii="宋体"/>
      <w:kern w:val="0"/>
      <w:szCs w:val="20"/>
    </w:rPr>
  </w:style>
  <w:style w:type="paragraph" w:customStyle="1" w:styleId="397">
    <w:name w:val="无间隔6"/>
    <w:qFormat/>
    <w:uiPriority w:val="0"/>
    <w:pPr>
      <w:widowControl w:val="0"/>
      <w:spacing w:line="360" w:lineRule="auto"/>
      <w:jc w:val="both"/>
    </w:pPr>
    <w:rPr>
      <w:rFonts w:ascii="Calibri" w:hAnsi="Calibri" w:eastAsia="宋体" w:cs="Calibri"/>
      <w:kern w:val="2"/>
      <w:sz w:val="21"/>
      <w:szCs w:val="21"/>
      <w:lang w:val="en-US" w:eastAsia="zh-CN" w:bidi="ar-SA"/>
    </w:rPr>
  </w:style>
  <w:style w:type="paragraph" w:customStyle="1" w:styleId="398">
    <w:name w:val="Char Char Char Char5"/>
    <w:basedOn w:val="1"/>
    <w:qFormat/>
    <w:uiPriority w:val="0"/>
    <w:pPr>
      <w:spacing w:line="240" w:lineRule="auto"/>
    </w:pPr>
    <w:rPr>
      <w:sz w:val="21"/>
      <w:szCs w:val="24"/>
    </w:rPr>
  </w:style>
  <w:style w:type="paragraph" w:customStyle="1" w:styleId="399">
    <w:name w:val="T表格"/>
    <w:qFormat/>
    <w:uiPriority w:val="0"/>
    <w:pPr>
      <w:widowControl w:val="0"/>
      <w:spacing w:line="280" w:lineRule="exact"/>
      <w:jc w:val="center"/>
    </w:pPr>
    <w:rPr>
      <w:rFonts w:ascii="宋体" w:hAnsi="宋体" w:eastAsia="宋体" w:cs="Times New Roman"/>
      <w:sz w:val="21"/>
      <w:szCs w:val="21"/>
      <w:lang w:val="en-US" w:eastAsia="zh-CN" w:bidi="ar-SA"/>
    </w:rPr>
  </w:style>
  <w:style w:type="paragraph" w:customStyle="1" w:styleId="400">
    <w:name w:val="Char Char1 Char Char Char Char1"/>
    <w:basedOn w:val="1"/>
    <w:qFormat/>
    <w:uiPriority w:val="0"/>
    <w:pPr>
      <w:spacing w:line="240" w:lineRule="auto"/>
    </w:pPr>
    <w:rPr>
      <w:szCs w:val="24"/>
    </w:rPr>
  </w:style>
  <w:style w:type="paragraph" w:customStyle="1" w:styleId="401">
    <w:name w:val="Char2 Char Char Char Char Char Char2"/>
    <w:basedOn w:val="1"/>
    <w:qFormat/>
    <w:uiPriority w:val="0"/>
    <w:pPr>
      <w:spacing w:line="240" w:lineRule="auto"/>
    </w:pPr>
    <w:rPr>
      <w:sz w:val="21"/>
      <w:szCs w:val="24"/>
    </w:rPr>
  </w:style>
  <w:style w:type="paragraph" w:customStyle="1" w:styleId="402">
    <w:name w:val="样式 标题2 + 小四 段前: 0.5 行"/>
    <w:basedOn w:val="218"/>
    <w:qFormat/>
    <w:uiPriority w:val="0"/>
    <w:pPr>
      <w:spacing w:beforeLines="50"/>
    </w:pPr>
    <w:rPr>
      <w:rFonts w:cs="宋体"/>
      <w:szCs w:val="20"/>
      <w:lang w:val="en-GB"/>
    </w:rPr>
  </w:style>
  <w:style w:type="paragraph" w:customStyle="1" w:styleId="403">
    <w:name w:val="p15"/>
    <w:basedOn w:val="1"/>
    <w:qFormat/>
    <w:uiPriority w:val="0"/>
    <w:pPr>
      <w:spacing w:line="240" w:lineRule="auto"/>
      <w:ind w:firstLine="420"/>
    </w:pPr>
    <w:rPr>
      <w:kern w:val="0"/>
      <w:sz w:val="21"/>
    </w:rPr>
  </w:style>
  <w:style w:type="paragraph" w:customStyle="1" w:styleId="404">
    <w:name w:val="Date1"/>
    <w:basedOn w:val="1"/>
    <w:next w:val="1"/>
    <w:qFormat/>
    <w:uiPriority w:val="0"/>
    <w:pPr>
      <w:spacing w:line="240" w:lineRule="auto"/>
      <w:textAlignment w:val="baseline"/>
    </w:pPr>
    <w:rPr>
      <w:sz w:val="21"/>
      <w:szCs w:val="20"/>
    </w:rPr>
  </w:style>
  <w:style w:type="paragraph" w:customStyle="1" w:styleId="405">
    <w:name w:val="松江超硅标题3"/>
    <w:basedOn w:val="8"/>
    <w:qFormat/>
    <w:uiPriority w:val="0"/>
    <w:pPr>
      <w:tabs>
        <w:tab w:val="left" w:pos="720"/>
      </w:tabs>
      <w:spacing w:line="360" w:lineRule="auto"/>
      <w:ind w:left="720" w:hanging="720"/>
      <w:jc w:val="both"/>
    </w:pPr>
    <w:rPr>
      <w:kern w:val="0"/>
      <w:sz w:val="24"/>
      <w:szCs w:val="24"/>
    </w:rPr>
  </w:style>
  <w:style w:type="paragraph" w:customStyle="1" w:styleId="406">
    <w:name w:val="样式 样式 环评正文 + (西文) 仿宋_GB2312 (中文) 宋体 10.5 磅 首行缩进:  2 字符 + 首行缩进:  ..."/>
    <w:basedOn w:val="1"/>
    <w:qFormat/>
    <w:uiPriority w:val="0"/>
    <w:pPr>
      <w:spacing w:line="400" w:lineRule="exact"/>
    </w:pPr>
    <w:rPr>
      <w:rFonts w:ascii="仿宋_GB2312" w:hAnsi="仿宋_GB2312"/>
      <w:szCs w:val="20"/>
    </w:rPr>
  </w:style>
  <w:style w:type="paragraph" w:customStyle="1" w:styleId="407">
    <w:name w:val="表格体"/>
    <w:basedOn w:val="408"/>
    <w:link w:val="411"/>
    <w:qFormat/>
    <w:uiPriority w:val="0"/>
    <w:pPr>
      <w:spacing w:line="240" w:lineRule="auto"/>
      <w:jc w:val="center"/>
    </w:pPr>
    <w:rPr>
      <w:szCs w:val="18"/>
    </w:rPr>
  </w:style>
  <w:style w:type="paragraph" w:styleId="408">
    <w:name w:val="No Spacing"/>
    <w:next w:val="409"/>
    <w:qFormat/>
    <w:uiPriority w:val="0"/>
    <w:pPr>
      <w:widowControl w:val="0"/>
      <w:spacing w:line="360" w:lineRule="auto"/>
      <w:jc w:val="both"/>
    </w:pPr>
    <w:rPr>
      <w:rFonts w:ascii="Calibri" w:hAnsi="Calibri" w:eastAsia="宋体" w:cs="Times New Roman"/>
      <w:kern w:val="2"/>
      <w:sz w:val="21"/>
      <w:szCs w:val="22"/>
      <w:lang w:val="en-US" w:eastAsia="zh-CN" w:bidi="ar-SA"/>
    </w:rPr>
  </w:style>
  <w:style w:type="paragraph" w:customStyle="1" w:styleId="409">
    <w:name w:val="表内字"/>
    <w:basedOn w:val="55"/>
    <w:link w:val="410"/>
    <w:qFormat/>
    <w:uiPriority w:val="0"/>
    <w:pPr>
      <w:autoSpaceDE w:val="0"/>
      <w:autoSpaceDN w:val="0"/>
      <w:spacing w:line="300" w:lineRule="exact"/>
      <w:jc w:val="both"/>
    </w:pPr>
    <w:rPr>
      <w:rFonts w:eastAsia="方正宋三简体"/>
      <w:sz w:val="21"/>
      <w:szCs w:val="21"/>
    </w:rPr>
  </w:style>
  <w:style w:type="character" w:customStyle="1" w:styleId="410">
    <w:name w:val="表内字 Char Char"/>
    <w:link w:val="409"/>
    <w:qFormat/>
    <w:uiPriority w:val="0"/>
    <w:rPr>
      <w:rFonts w:ascii="宋体" w:hAnsi="宋体" w:eastAsia="方正宋三简体"/>
      <w:kern w:val="2"/>
      <w:sz w:val="21"/>
      <w:szCs w:val="21"/>
    </w:rPr>
  </w:style>
  <w:style w:type="character" w:customStyle="1" w:styleId="411">
    <w:name w:val="表格体 Char"/>
    <w:basedOn w:val="81"/>
    <w:link w:val="407"/>
    <w:qFormat/>
    <w:uiPriority w:val="0"/>
    <w:rPr>
      <w:kern w:val="2"/>
      <w:sz w:val="21"/>
      <w:szCs w:val="18"/>
    </w:rPr>
  </w:style>
  <w:style w:type="paragraph" w:customStyle="1" w:styleId="412">
    <w:name w:val="样式6"/>
    <w:basedOn w:val="1"/>
    <w:link w:val="413"/>
    <w:qFormat/>
    <w:uiPriority w:val="0"/>
    <w:pPr>
      <w:spacing w:after="200" w:line="360" w:lineRule="atLeast"/>
      <w:textAlignment w:val="baseline"/>
    </w:pPr>
    <w:rPr>
      <w:rFonts w:eastAsia="黑体"/>
      <w:b/>
      <w:spacing w:val="20"/>
      <w:sz w:val="28"/>
      <w:szCs w:val="20"/>
    </w:rPr>
  </w:style>
  <w:style w:type="character" w:customStyle="1" w:styleId="413">
    <w:name w:val="样式6 Char"/>
    <w:link w:val="412"/>
    <w:qFormat/>
    <w:uiPriority w:val="0"/>
    <w:rPr>
      <w:rFonts w:eastAsia="黑体"/>
      <w:b/>
      <w:spacing w:val="20"/>
      <w:kern w:val="2"/>
      <w:sz w:val="28"/>
    </w:rPr>
  </w:style>
  <w:style w:type="paragraph" w:customStyle="1" w:styleId="414">
    <w:name w:val="样式 正文1111111 + 首行缩进:  2 字符"/>
    <w:basedOn w:val="1"/>
    <w:qFormat/>
    <w:uiPriority w:val="0"/>
    <w:rPr>
      <w:rFonts w:cs="宋体"/>
      <w:szCs w:val="20"/>
    </w:rPr>
  </w:style>
  <w:style w:type="paragraph" w:customStyle="1" w:styleId="415">
    <w:name w:val="表头[BT]"/>
    <w:basedOn w:val="1"/>
    <w:qFormat/>
    <w:uiPriority w:val="0"/>
    <w:pPr>
      <w:spacing w:before="120" w:after="120" w:line="240" w:lineRule="auto"/>
      <w:jc w:val="center"/>
      <w:textAlignment w:val="baseline"/>
    </w:pPr>
    <w:rPr>
      <w:rFonts w:ascii="楷体_GB2312" w:eastAsia="楷体_GB2312"/>
      <w:kern w:val="0"/>
      <w:sz w:val="21"/>
      <w:szCs w:val="20"/>
    </w:rPr>
  </w:style>
  <w:style w:type="paragraph" w:customStyle="1" w:styleId="416">
    <w:name w:val="列表标题"/>
    <w:basedOn w:val="1"/>
    <w:next w:val="1"/>
    <w:qFormat/>
    <w:uiPriority w:val="0"/>
    <w:pPr>
      <w:spacing w:line="240" w:lineRule="auto"/>
      <w:jc w:val="center"/>
    </w:pPr>
    <w:rPr>
      <w:szCs w:val="20"/>
    </w:rPr>
  </w:style>
  <w:style w:type="paragraph" w:customStyle="1" w:styleId="417">
    <w:name w:val="图头11"/>
    <w:basedOn w:val="1"/>
    <w:qFormat/>
    <w:uiPriority w:val="0"/>
    <w:pPr>
      <w:spacing w:line="0" w:lineRule="atLeast"/>
      <w:jc w:val="center"/>
    </w:pPr>
    <w:rPr>
      <w:b/>
      <w:szCs w:val="24"/>
    </w:rPr>
  </w:style>
  <w:style w:type="paragraph" w:customStyle="1" w:styleId="418">
    <w:name w:val="font5"/>
    <w:basedOn w:val="1"/>
    <w:qFormat/>
    <w:uiPriority w:val="0"/>
    <w:pPr>
      <w:spacing w:before="100" w:beforeAutospacing="1" w:after="100" w:afterAutospacing="1" w:line="240" w:lineRule="auto"/>
    </w:pPr>
    <w:rPr>
      <w:rFonts w:hint="eastAsia" w:ascii="宋体" w:hAnsi="宋体"/>
      <w:kern w:val="0"/>
      <w:sz w:val="18"/>
      <w:szCs w:val="18"/>
    </w:rPr>
  </w:style>
  <w:style w:type="paragraph" w:customStyle="1" w:styleId="419">
    <w:name w:val="xl29"/>
    <w:basedOn w:val="1"/>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kern w:val="0"/>
      <w:szCs w:val="24"/>
    </w:rPr>
  </w:style>
  <w:style w:type="paragraph" w:customStyle="1" w:styleId="420">
    <w:name w:val="zw"/>
    <w:basedOn w:val="1"/>
    <w:qFormat/>
    <w:uiPriority w:val="0"/>
    <w:pPr>
      <w:spacing w:before="100" w:beforeAutospacing="1" w:after="100" w:afterAutospacing="1" w:line="440" w:lineRule="atLeast"/>
    </w:pPr>
    <w:rPr>
      <w:rFonts w:ascii="宋体" w:hAnsi="宋体" w:cs="宋体"/>
      <w:kern w:val="0"/>
      <w:sz w:val="22"/>
    </w:rPr>
  </w:style>
  <w:style w:type="paragraph" w:customStyle="1" w:styleId="421">
    <w:name w:val="wg"/>
    <w:basedOn w:val="1"/>
    <w:qFormat/>
    <w:uiPriority w:val="0"/>
    <w:pPr>
      <w:spacing w:line="240" w:lineRule="auto"/>
    </w:pPr>
    <w:rPr>
      <w:sz w:val="28"/>
      <w:szCs w:val="20"/>
    </w:rPr>
  </w:style>
  <w:style w:type="paragraph" w:customStyle="1" w:styleId="422">
    <w:name w:val="xl99"/>
    <w:basedOn w:val="1"/>
    <w:qFormat/>
    <w:uiPriority w:val="0"/>
    <w:pPr>
      <w:pBdr>
        <w:top w:val="single" w:color="auto" w:sz="8" w:space="0"/>
        <w:left w:val="single" w:color="auto" w:sz="4" w:space="0"/>
      </w:pBdr>
      <w:spacing w:before="100" w:beforeAutospacing="1" w:after="100" w:afterAutospacing="1" w:line="240" w:lineRule="auto"/>
      <w:jc w:val="center"/>
    </w:pPr>
    <w:rPr>
      <w:rFonts w:ascii="宋体" w:hAnsi="宋体" w:cs="宋体"/>
      <w:b/>
      <w:bCs/>
      <w:kern w:val="0"/>
      <w:szCs w:val="24"/>
    </w:rPr>
  </w:style>
  <w:style w:type="paragraph" w:customStyle="1" w:styleId="423">
    <w:name w:val="Char Char Char Char4"/>
    <w:basedOn w:val="1"/>
    <w:qFormat/>
    <w:uiPriority w:val="0"/>
    <w:pPr>
      <w:spacing w:line="240" w:lineRule="auto"/>
    </w:pPr>
    <w:rPr>
      <w:sz w:val="21"/>
      <w:szCs w:val="24"/>
    </w:rPr>
  </w:style>
  <w:style w:type="paragraph" w:customStyle="1" w:styleId="424">
    <w:name w:val="标准"/>
    <w:basedOn w:val="1"/>
    <w:qFormat/>
    <w:uiPriority w:val="0"/>
    <w:pPr>
      <w:spacing w:line="600" w:lineRule="atLeast"/>
      <w:textAlignment w:val="baseline"/>
    </w:pPr>
    <w:rPr>
      <w:kern w:val="0"/>
      <w:sz w:val="28"/>
      <w:szCs w:val="20"/>
    </w:rPr>
  </w:style>
  <w:style w:type="paragraph" w:customStyle="1" w:styleId="425">
    <w:name w:val="正文11111111"/>
    <w:basedOn w:val="1"/>
    <w:qFormat/>
    <w:uiPriority w:val="0"/>
    <w:pPr>
      <w:spacing w:line="440" w:lineRule="exact"/>
    </w:pPr>
    <w:rPr>
      <w:rFonts w:cs="宋体"/>
      <w:szCs w:val="20"/>
    </w:rPr>
  </w:style>
  <w:style w:type="paragraph" w:customStyle="1" w:styleId="426">
    <w:name w:val="表格内文字"/>
    <w:basedOn w:val="1"/>
    <w:link w:val="427"/>
    <w:qFormat/>
    <w:uiPriority w:val="0"/>
    <w:pPr>
      <w:spacing w:before="80" w:line="240" w:lineRule="exact"/>
      <w:jc w:val="center"/>
    </w:pPr>
    <w:rPr>
      <w:snapToGrid w:val="0"/>
      <w:spacing w:val="6"/>
      <w:kern w:val="0"/>
      <w:szCs w:val="20"/>
    </w:rPr>
  </w:style>
  <w:style w:type="character" w:customStyle="1" w:styleId="427">
    <w:name w:val="表格内文字 Char"/>
    <w:link w:val="426"/>
    <w:qFormat/>
    <w:uiPriority w:val="0"/>
    <w:rPr>
      <w:snapToGrid w:val="0"/>
      <w:spacing w:val="6"/>
      <w:sz w:val="24"/>
    </w:rPr>
  </w:style>
  <w:style w:type="paragraph" w:customStyle="1" w:styleId="428">
    <w:name w:val="表中"/>
    <w:qFormat/>
    <w:uiPriority w:val="0"/>
    <w:pPr>
      <w:spacing w:line="240" w:lineRule="atLeast"/>
      <w:jc w:val="center"/>
    </w:pPr>
    <w:rPr>
      <w:rFonts w:ascii="Times New Roman" w:hAnsi="Times New Roman" w:eastAsia="宋体" w:cs="Times New Roman"/>
      <w:sz w:val="24"/>
      <w:lang w:val="en-US" w:eastAsia="zh-CN" w:bidi="ar-SA"/>
    </w:rPr>
  </w:style>
  <w:style w:type="paragraph" w:customStyle="1" w:styleId="429">
    <w:name w:val="font22"/>
    <w:basedOn w:val="1"/>
    <w:qFormat/>
    <w:uiPriority w:val="0"/>
    <w:pPr>
      <w:spacing w:before="100" w:beforeAutospacing="1" w:after="100" w:afterAutospacing="1" w:line="240" w:lineRule="auto"/>
    </w:pPr>
    <w:rPr>
      <w:rFonts w:ascii="宋体" w:hAnsi="宋体" w:cs="宋体"/>
      <w:kern w:val="0"/>
      <w:sz w:val="18"/>
      <w:szCs w:val="18"/>
    </w:rPr>
  </w:style>
  <w:style w:type="paragraph" w:customStyle="1" w:styleId="430">
    <w:name w:val="font10"/>
    <w:basedOn w:val="1"/>
    <w:qFormat/>
    <w:uiPriority w:val="0"/>
    <w:pPr>
      <w:spacing w:before="100" w:beforeAutospacing="1" w:after="100" w:afterAutospacing="1" w:line="240" w:lineRule="auto"/>
    </w:pPr>
    <w:rPr>
      <w:b/>
      <w:bCs/>
      <w:kern w:val="0"/>
      <w:sz w:val="40"/>
      <w:szCs w:val="40"/>
    </w:rPr>
  </w:style>
  <w:style w:type="paragraph" w:customStyle="1" w:styleId="431">
    <w:name w:val="font6"/>
    <w:basedOn w:val="1"/>
    <w:qFormat/>
    <w:uiPriority w:val="0"/>
    <w:pPr>
      <w:spacing w:before="100" w:beforeAutospacing="1" w:after="100" w:afterAutospacing="1" w:line="240" w:lineRule="auto"/>
    </w:pPr>
    <w:rPr>
      <w:rFonts w:hint="eastAsia" w:ascii="宋体" w:hAnsi="宋体"/>
      <w:b/>
      <w:bCs/>
      <w:kern w:val="0"/>
      <w:sz w:val="40"/>
      <w:szCs w:val="40"/>
    </w:rPr>
  </w:style>
  <w:style w:type="paragraph" w:customStyle="1" w:styleId="432">
    <w:name w:val="标题3-hao"/>
    <w:qFormat/>
    <w:uiPriority w:val="0"/>
    <w:pPr>
      <w:adjustRightInd w:val="0"/>
      <w:snapToGrid w:val="0"/>
      <w:spacing w:line="348" w:lineRule="auto"/>
      <w:outlineLvl w:val="2"/>
    </w:pPr>
    <w:rPr>
      <w:rFonts w:ascii="Times New Roman" w:hAnsi="Times New Roman" w:eastAsia="宋体" w:cs="Times New Roman"/>
      <w:kern w:val="44"/>
      <w:sz w:val="28"/>
      <w:szCs w:val="28"/>
      <w:lang w:val="en-US" w:eastAsia="zh-CN" w:bidi="ar-SA"/>
    </w:rPr>
  </w:style>
  <w:style w:type="paragraph" w:customStyle="1" w:styleId="433">
    <w:name w:val="样式 正文11111111 + 左侧:  0.85 厘米 首行缩进:  2 字符"/>
    <w:basedOn w:val="425"/>
    <w:qFormat/>
    <w:uiPriority w:val="0"/>
    <w:pPr>
      <w:ind w:firstLine="480"/>
    </w:pPr>
  </w:style>
  <w:style w:type="paragraph" w:customStyle="1" w:styleId="434">
    <w:name w:val="font12"/>
    <w:basedOn w:val="1"/>
    <w:qFormat/>
    <w:uiPriority w:val="0"/>
    <w:pPr>
      <w:spacing w:before="100" w:beforeAutospacing="1" w:after="100" w:afterAutospacing="1" w:line="240" w:lineRule="auto"/>
    </w:pPr>
    <w:rPr>
      <w:kern w:val="0"/>
      <w:sz w:val="20"/>
      <w:szCs w:val="20"/>
    </w:rPr>
  </w:style>
  <w:style w:type="paragraph" w:customStyle="1" w:styleId="435">
    <w:name w:val="Char Char Char Char Char Char"/>
    <w:basedOn w:val="1"/>
    <w:qFormat/>
    <w:uiPriority w:val="0"/>
    <w:pPr>
      <w:spacing w:line="240" w:lineRule="auto"/>
    </w:pPr>
    <w:rPr>
      <w:rFonts w:ascii="宋体" w:hAnsi="宋体"/>
      <w:szCs w:val="24"/>
    </w:rPr>
  </w:style>
  <w:style w:type="paragraph" w:customStyle="1" w:styleId="436">
    <w:name w:val="圆环"/>
    <w:basedOn w:val="1"/>
    <w:qFormat/>
    <w:uiPriority w:val="0"/>
    <w:pPr>
      <w:spacing w:line="312" w:lineRule="atLeast"/>
      <w:textAlignment w:val="baseline"/>
    </w:pPr>
    <w:rPr>
      <w:rFonts w:eastAsia="仿宋_GB2312"/>
      <w:spacing w:val="6"/>
      <w:kern w:val="0"/>
      <w:sz w:val="28"/>
      <w:szCs w:val="20"/>
    </w:rPr>
  </w:style>
  <w:style w:type="paragraph" w:customStyle="1" w:styleId="437">
    <w:name w:val="一级标题"/>
    <w:next w:val="438"/>
    <w:qFormat/>
    <w:uiPriority w:val="0"/>
    <w:pPr>
      <w:tabs>
        <w:tab w:val="left" w:pos="425"/>
        <w:tab w:val="left" w:pos="9720"/>
      </w:tabs>
      <w:spacing w:line="360" w:lineRule="auto"/>
      <w:ind w:left="425" w:hanging="425"/>
    </w:pPr>
    <w:rPr>
      <w:rFonts w:ascii="Times New Roman" w:hAnsi="Times New Roman" w:eastAsia="黑体" w:cs="Times New Roman"/>
      <w:sz w:val="30"/>
      <w:lang w:val="en-US" w:eastAsia="zh-CN" w:bidi="ar-SA"/>
    </w:rPr>
  </w:style>
  <w:style w:type="paragraph" w:customStyle="1" w:styleId="438">
    <w:name w:val="二级标题"/>
    <w:next w:val="1"/>
    <w:link w:val="439"/>
    <w:qFormat/>
    <w:uiPriority w:val="0"/>
    <w:pPr>
      <w:spacing w:before="120" w:after="120" w:line="360" w:lineRule="auto"/>
    </w:pPr>
    <w:rPr>
      <w:rFonts w:ascii="Times New Roman" w:hAnsi="Times New Roman" w:eastAsia="宋体" w:cs="Times New Roman"/>
      <w:b/>
      <w:sz w:val="28"/>
      <w:lang w:val="en-US" w:eastAsia="zh-CN" w:bidi="ar-SA"/>
    </w:rPr>
  </w:style>
  <w:style w:type="character" w:customStyle="1" w:styleId="439">
    <w:name w:val="二级标题 Char Char"/>
    <w:link w:val="438"/>
    <w:qFormat/>
    <w:uiPriority w:val="0"/>
    <w:rPr>
      <w:b/>
      <w:sz w:val="28"/>
      <w:lang w:bidi="ar-SA"/>
    </w:rPr>
  </w:style>
  <w:style w:type="paragraph" w:customStyle="1" w:styleId="440">
    <w:name w:val="13"/>
    <w:basedOn w:val="8"/>
    <w:qFormat/>
    <w:uiPriority w:val="0"/>
    <w:pPr>
      <w:spacing w:line="440" w:lineRule="atLeast"/>
      <w:jc w:val="both"/>
    </w:pPr>
    <w:rPr>
      <w:rFonts w:ascii="宋体"/>
      <w:b w:val="0"/>
      <w:bCs w:val="0"/>
      <w:sz w:val="26"/>
      <w:szCs w:val="20"/>
    </w:rPr>
  </w:style>
  <w:style w:type="paragraph" w:customStyle="1" w:styleId="441">
    <w:name w:val="Char Char Char Char Char Char Char Char Char Char Char Char Char Char Char Char Char Char Char"/>
    <w:basedOn w:val="1"/>
    <w:qFormat/>
    <w:uiPriority w:val="0"/>
    <w:rPr>
      <w:rFonts w:ascii="宋体" w:hAnsi="宋体" w:cs="宋体"/>
      <w:szCs w:val="26"/>
    </w:rPr>
  </w:style>
  <w:style w:type="paragraph" w:customStyle="1" w:styleId="442">
    <w:name w:val="Char3"/>
    <w:basedOn w:val="1"/>
    <w:qFormat/>
    <w:uiPriority w:val="0"/>
    <w:pPr>
      <w:spacing w:line="240" w:lineRule="auto"/>
    </w:pPr>
    <w:rPr>
      <w:rFonts w:ascii="Tahoma" w:hAnsi="Tahoma"/>
      <w:kern w:val="0"/>
      <w:szCs w:val="20"/>
      <w:lang w:eastAsia="en-US"/>
    </w:rPr>
  </w:style>
  <w:style w:type="paragraph" w:customStyle="1" w:styleId="443">
    <w:name w:val="xl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kern w:val="0"/>
      <w:szCs w:val="24"/>
    </w:rPr>
  </w:style>
  <w:style w:type="paragraph" w:customStyle="1" w:styleId="44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rPr>
  </w:style>
  <w:style w:type="paragraph" w:customStyle="1" w:styleId="445">
    <w:name w:val="Char12"/>
    <w:basedOn w:val="1"/>
    <w:semiHidden/>
    <w:qFormat/>
    <w:uiPriority w:val="0"/>
    <w:pPr>
      <w:spacing w:line="240" w:lineRule="auto"/>
    </w:pPr>
    <w:rPr>
      <w:rFonts w:ascii="Tahoma" w:hAnsi="Tahoma"/>
      <w:szCs w:val="20"/>
    </w:rPr>
  </w:style>
  <w:style w:type="paragraph" w:customStyle="1" w:styleId="446">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447">
    <w:name w:val="正文文字"/>
    <w:basedOn w:val="1"/>
    <w:qFormat/>
    <w:uiPriority w:val="0"/>
    <w:pPr>
      <w:spacing w:beforeLines="50" w:line="312" w:lineRule="auto"/>
      <w:ind w:firstLine="540" w:firstLineChars="225"/>
    </w:pPr>
    <w:rPr>
      <w:rFonts w:ascii="Arial" w:hAnsi="Arial" w:eastAsia="仿宋_GB2312" w:cs="Arial"/>
      <w:bCs/>
      <w:kern w:val="0"/>
      <w:szCs w:val="24"/>
      <w:lang w:val="de-DE"/>
    </w:rPr>
  </w:style>
  <w:style w:type="paragraph" w:customStyle="1" w:styleId="448">
    <w:name w:val="表序号"/>
    <w:basedOn w:val="6"/>
    <w:next w:val="1"/>
    <w:semiHidden/>
    <w:qFormat/>
    <w:uiPriority w:val="0"/>
    <w:pPr>
      <w:tabs>
        <w:tab w:val="left" w:pos="240"/>
        <w:tab w:val="left" w:pos="432"/>
        <w:tab w:val="left" w:pos="1134"/>
      </w:tabs>
      <w:spacing w:beforeLines="50"/>
      <w:ind w:left="1134" w:hanging="1134"/>
    </w:pPr>
    <w:rPr>
      <w:rFonts w:ascii="黑体" w:hAnsi="Arial Black"/>
      <w:snapToGrid w:val="0"/>
      <w:kern w:val="18"/>
      <w:sz w:val="30"/>
      <w:szCs w:val="30"/>
    </w:rPr>
  </w:style>
  <w:style w:type="paragraph" w:customStyle="1" w:styleId="449">
    <w:name w:val="TOC 标题1"/>
    <w:basedOn w:val="6"/>
    <w:next w:val="1"/>
    <w:qFormat/>
    <w:uiPriority w:val="39"/>
    <w:pPr>
      <w:spacing w:before="480" w:line="276" w:lineRule="auto"/>
      <w:jc w:val="left"/>
      <w:outlineLvl w:val="9"/>
    </w:pPr>
    <w:rPr>
      <w:rFonts w:ascii="Cambria" w:hAnsi="Cambria"/>
      <w:color w:val="365F91"/>
      <w:kern w:val="0"/>
      <w:szCs w:val="28"/>
    </w:rPr>
  </w:style>
  <w:style w:type="paragraph" w:customStyle="1" w:styleId="450">
    <w:name w:val="xl4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Cs w:val="24"/>
    </w:rPr>
  </w:style>
  <w:style w:type="paragraph" w:customStyle="1" w:styleId="451">
    <w:name w:val="松江超硅标题1"/>
    <w:basedOn w:val="6"/>
    <w:qFormat/>
    <w:uiPriority w:val="0"/>
    <w:pPr>
      <w:tabs>
        <w:tab w:val="left" w:pos="432"/>
      </w:tabs>
      <w:ind w:left="432" w:hanging="432"/>
      <w:jc w:val="both"/>
    </w:pPr>
    <w:rPr>
      <w:rFonts w:ascii="宋体" w:hAnsi="宋体"/>
      <w:szCs w:val="28"/>
    </w:rPr>
  </w:style>
  <w:style w:type="paragraph" w:customStyle="1" w:styleId="452">
    <w:name w:val="正文11"/>
    <w:basedOn w:val="1"/>
    <w:qFormat/>
    <w:uiPriority w:val="0"/>
    <w:pPr>
      <w:spacing w:before="120" w:after="120"/>
      <w:ind w:firstLine="539"/>
    </w:pPr>
    <w:rPr>
      <w:rFonts w:hint="eastAsia" w:ascii="宋体" w:hAnsi="宋体"/>
      <w:kern w:val="0"/>
      <w:sz w:val="28"/>
      <w:szCs w:val="24"/>
    </w:rPr>
  </w:style>
  <w:style w:type="paragraph" w:customStyle="1" w:styleId="453">
    <w:name w:val="xl24"/>
    <w:basedOn w:val="1"/>
    <w:qFormat/>
    <w:uiPriority w:val="0"/>
    <w:pPr>
      <w:spacing w:before="100" w:beforeAutospacing="1" w:after="100" w:afterAutospacing="1" w:line="240" w:lineRule="auto"/>
      <w:jc w:val="center"/>
      <w:textAlignment w:val="center"/>
    </w:pPr>
    <w:rPr>
      <w:rFonts w:ascii="Arial Unicode MS" w:hAnsi="Arial Unicode MS" w:eastAsia="Arial Unicode MS"/>
      <w:kern w:val="0"/>
      <w:sz w:val="22"/>
    </w:rPr>
  </w:style>
  <w:style w:type="paragraph" w:customStyle="1" w:styleId="454">
    <w:name w:val="font18"/>
    <w:basedOn w:val="1"/>
    <w:qFormat/>
    <w:uiPriority w:val="0"/>
    <w:pPr>
      <w:spacing w:before="100" w:beforeAutospacing="1" w:after="100" w:afterAutospacing="1" w:line="240" w:lineRule="auto"/>
    </w:pPr>
    <w:rPr>
      <w:rFonts w:ascii="宋体" w:hAnsi="宋体" w:cs="宋体"/>
      <w:kern w:val="0"/>
      <w:sz w:val="20"/>
      <w:szCs w:val="20"/>
    </w:rPr>
  </w:style>
  <w:style w:type="paragraph" w:customStyle="1" w:styleId="455">
    <w:name w:val="环评标题一级"/>
    <w:basedOn w:val="6"/>
    <w:qFormat/>
    <w:uiPriority w:val="0"/>
    <w:pPr>
      <w:spacing w:beforeLines="50" w:line="360" w:lineRule="exact"/>
    </w:pPr>
    <w:rPr>
      <w:rFonts w:ascii="Times New Roman" w:hAnsi="Times New Roman"/>
      <w:sz w:val="32"/>
    </w:rPr>
  </w:style>
  <w:style w:type="paragraph" w:customStyle="1" w:styleId="456">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457">
    <w:name w:val="样式 标题 1 + 华文中宋 两端对齐 左侧:  0 厘米"/>
    <w:basedOn w:val="6"/>
    <w:qFormat/>
    <w:uiPriority w:val="0"/>
    <w:pPr>
      <w:tabs>
        <w:tab w:val="left" w:pos="425"/>
      </w:tabs>
      <w:spacing w:line="240" w:lineRule="auto"/>
      <w:ind w:left="425" w:hanging="425"/>
      <w:jc w:val="both"/>
    </w:pPr>
    <w:rPr>
      <w:rFonts w:ascii="华文中宋" w:hAnsi="华文中宋" w:eastAsia="华文中宋"/>
    </w:rPr>
  </w:style>
  <w:style w:type="paragraph" w:customStyle="1" w:styleId="458">
    <w:name w:val="中等深浅网格 21"/>
    <w:basedOn w:val="10"/>
    <w:qFormat/>
    <w:uiPriority w:val="0"/>
    <w:pPr>
      <w:spacing w:before="120" w:after="120" w:line="240" w:lineRule="auto"/>
    </w:pPr>
    <w:rPr>
      <w:kern w:val="2"/>
      <w:szCs w:val="24"/>
    </w:rPr>
  </w:style>
  <w:style w:type="paragraph" w:customStyle="1" w:styleId="459">
    <w:name w:val="松江超硅标题2"/>
    <w:basedOn w:val="7"/>
    <w:qFormat/>
    <w:uiPriority w:val="0"/>
    <w:pPr>
      <w:tabs>
        <w:tab w:val="left" w:pos="576"/>
      </w:tabs>
      <w:spacing w:beforeLines="0" w:line="360" w:lineRule="auto"/>
      <w:ind w:left="576" w:hanging="576"/>
      <w:jc w:val="both"/>
    </w:pPr>
    <w:rPr>
      <w:rFonts w:ascii="宋体" w:hAnsi="宋体"/>
      <w:sz w:val="24"/>
      <w:szCs w:val="24"/>
    </w:rPr>
  </w:style>
  <w:style w:type="paragraph" w:customStyle="1" w:styleId="460">
    <w:name w:val="Char4"/>
    <w:basedOn w:val="1"/>
    <w:qFormat/>
    <w:uiPriority w:val="0"/>
    <w:pPr>
      <w:spacing w:line="240" w:lineRule="auto"/>
    </w:pPr>
    <w:rPr>
      <w:rFonts w:ascii="Tahoma" w:hAnsi="Tahoma"/>
      <w:kern w:val="0"/>
      <w:szCs w:val="20"/>
      <w:lang w:eastAsia="en-US"/>
    </w:rPr>
  </w:style>
  <w:style w:type="paragraph" w:customStyle="1" w:styleId="461">
    <w:name w:val="环评"/>
    <w:basedOn w:val="1"/>
    <w:qFormat/>
    <w:uiPriority w:val="0"/>
    <w:pPr>
      <w:spacing w:before="60" w:after="60" w:line="360" w:lineRule="exact"/>
    </w:pPr>
    <w:rPr>
      <w:rFonts w:eastAsia="仿宋_GB2312"/>
      <w:bCs/>
      <w:szCs w:val="24"/>
    </w:rPr>
  </w:style>
  <w:style w:type="paragraph" w:customStyle="1" w:styleId="462">
    <w:name w:val="5"/>
    <w:basedOn w:val="1"/>
    <w:qFormat/>
    <w:uiPriority w:val="0"/>
    <w:pPr>
      <w:spacing w:line="480" w:lineRule="exact"/>
    </w:pPr>
    <w:rPr>
      <w:sz w:val="28"/>
      <w:szCs w:val="28"/>
    </w:rPr>
  </w:style>
  <w:style w:type="paragraph" w:customStyle="1" w:styleId="463">
    <w:name w:val="正文居中"/>
    <w:basedOn w:val="1"/>
    <w:qFormat/>
    <w:uiPriority w:val="0"/>
    <w:pPr>
      <w:spacing w:line="480" w:lineRule="atLeast"/>
      <w:jc w:val="center"/>
    </w:pPr>
    <w:rPr>
      <w:rFonts w:ascii="宋体" w:cs="宋体"/>
      <w:spacing w:val="6"/>
      <w:kern w:val="0"/>
      <w:sz w:val="28"/>
      <w:szCs w:val="28"/>
    </w:rPr>
  </w:style>
  <w:style w:type="paragraph" w:customStyle="1" w:styleId="464">
    <w:name w:val="文字缩"/>
    <w:basedOn w:val="1"/>
    <w:qFormat/>
    <w:uiPriority w:val="0"/>
    <w:pPr>
      <w:spacing w:line="480" w:lineRule="atLeast"/>
    </w:pPr>
    <w:rPr>
      <w:rFonts w:ascii="宋体" w:cs="宋体"/>
      <w:spacing w:val="6"/>
      <w:kern w:val="0"/>
      <w:sz w:val="28"/>
      <w:szCs w:val="28"/>
    </w:rPr>
  </w:style>
  <w:style w:type="paragraph" w:customStyle="1" w:styleId="465">
    <w:name w:val="样式 标题2 + 段前: 0.5 行 段后: 0.5 行"/>
    <w:basedOn w:val="218"/>
    <w:qFormat/>
    <w:uiPriority w:val="0"/>
    <w:pPr>
      <w:spacing w:before="120" w:after="120"/>
    </w:pPr>
    <w:rPr>
      <w:rFonts w:cs="宋体"/>
      <w:szCs w:val="20"/>
    </w:rPr>
  </w:style>
  <w:style w:type="paragraph" w:customStyle="1" w:styleId="466">
    <w:name w:val="Char Char Char Char Char Char Char3"/>
    <w:basedOn w:val="1"/>
    <w:qFormat/>
    <w:uiPriority w:val="0"/>
    <w:pPr>
      <w:spacing w:line="240" w:lineRule="auto"/>
    </w:pPr>
    <w:rPr>
      <w:sz w:val="21"/>
      <w:szCs w:val="24"/>
    </w:rPr>
  </w:style>
  <w:style w:type="paragraph" w:customStyle="1" w:styleId="467">
    <w:name w:val="xl32"/>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Cs w:val="24"/>
    </w:rPr>
  </w:style>
  <w:style w:type="paragraph" w:customStyle="1" w:styleId="468">
    <w:name w:val="五级条标题"/>
    <w:basedOn w:val="1"/>
    <w:next w:val="1"/>
    <w:qFormat/>
    <w:uiPriority w:val="0"/>
    <w:pPr>
      <w:tabs>
        <w:tab w:val="left" w:pos="360"/>
        <w:tab w:val="left" w:pos="425"/>
        <w:tab w:val="left" w:pos="1125"/>
      </w:tabs>
      <w:spacing w:line="240" w:lineRule="auto"/>
      <w:ind w:left="425" w:hanging="425"/>
      <w:outlineLvl w:val="6"/>
    </w:pPr>
    <w:rPr>
      <w:rFonts w:ascii="黑体" w:eastAsia="黑体"/>
      <w:kern w:val="0"/>
      <w:sz w:val="21"/>
      <w:szCs w:val="20"/>
    </w:rPr>
  </w:style>
  <w:style w:type="paragraph" w:customStyle="1" w:styleId="469">
    <w:name w:val="font15"/>
    <w:basedOn w:val="1"/>
    <w:qFormat/>
    <w:uiPriority w:val="0"/>
    <w:pPr>
      <w:spacing w:before="100" w:beforeAutospacing="1" w:after="100" w:afterAutospacing="1" w:line="240" w:lineRule="auto"/>
    </w:pPr>
    <w:rPr>
      <w:rFonts w:ascii="宋体" w:hAnsi="宋体" w:cs="宋体"/>
      <w:kern w:val="0"/>
      <w:sz w:val="20"/>
      <w:szCs w:val="20"/>
    </w:rPr>
  </w:style>
  <w:style w:type="paragraph" w:customStyle="1" w:styleId="470">
    <w:name w:val="无间隔2"/>
    <w:qFormat/>
    <w:uiPriority w:val="0"/>
    <w:pPr>
      <w:widowControl w:val="0"/>
      <w:spacing w:line="360" w:lineRule="auto"/>
      <w:jc w:val="both"/>
    </w:pPr>
    <w:rPr>
      <w:rFonts w:ascii="Calibri" w:hAnsi="Calibri" w:eastAsia="宋体" w:cs="Calibri"/>
      <w:kern w:val="2"/>
      <w:sz w:val="21"/>
      <w:szCs w:val="21"/>
      <w:lang w:val="en-US" w:eastAsia="zh-CN" w:bidi="ar-SA"/>
    </w:rPr>
  </w:style>
  <w:style w:type="paragraph" w:customStyle="1" w:styleId="471">
    <w:name w:val="四级条标题"/>
    <w:basedOn w:val="1"/>
    <w:next w:val="1"/>
    <w:qFormat/>
    <w:uiPriority w:val="0"/>
    <w:pPr>
      <w:tabs>
        <w:tab w:val="left" w:pos="360"/>
        <w:tab w:val="left" w:pos="1800"/>
      </w:tabs>
      <w:spacing w:line="240" w:lineRule="auto"/>
      <w:ind w:left="1800" w:hanging="1800"/>
      <w:outlineLvl w:val="5"/>
    </w:pPr>
    <w:rPr>
      <w:rFonts w:ascii="黑体" w:eastAsia="黑体"/>
      <w:kern w:val="0"/>
      <w:sz w:val="21"/>
      <w:szCs w:val="20"/>
    </w:rPr>
  </w:style>
  <w:style w:type="paragraph" w:customStyle="1" w:styleId="472">
    <w:name w:val="样式 宋体 小四 行距: 固定值 24 磅"/>
    <w:basedOn w:val="1"/>
    <w:qFormat/>
    <w:uiPriority w:val="0"/>
    <w:pPr>
      <w:framePr w:hSpace="180" w:wrap="around" w:vAnchor="text" w:hAnchor="margin" w:y="112"/>
      <w:spacing w:line="480" w:lineRule="exact"/>
    </w:pPr>
    <w:rPr>
      <w:rFonts w:ascii="宋体" w:hAnsi="宋体" w:cs="宋体"/>
      <w:color w:val="000000"/>
      <w:kern w:val="0"/>
      <w:sz w:val="21"/>
    </w:rPr>
  </w:style>
  <w:style w:type="paragraph" w:customStyle="1" w:styleId="473">
    <w:name w:val="样式 标题1"/>
    <w:basedOn w:val="1"/>
    <w:qFormat/>
    <w:uiPriority w:val="0"/>
    <w:pPr>
      <w:spacing w:line="300" w:lineRule="auto"/>
      <w:jc w:val="center"/>
    </w:pPr>
    <w:rPr>
      <w:rFonts w:ascii="黑体" w:eastAsia="黑体" w:cs="宋体"/>
      <w:b/>
      <w:bCs/>
      <w:sz w:val="36"/>
      <w:szCs w:val="20"/>
    </w:rPr>
  </w:style>
  <w:style w:type="paragraph" w:customStyle="1" w:styleId="474">
    <w:name w:val="简单回函地址"/>
    <w:basedOn w:val="1"/>
    <w:qFormat/>
    <w:uiPriority w:val="0"/>
    <w:pPr>
      <w:spacing w:line="240" w:lineRule="auto"/>
    </w:pPr>
    <w:rPr>
      <w:rFonts w:eastAsia="仿宋_GB2312"/>
      <w:sz w:val="28"/>
      <w:szCs w:val="28"/>
    </w:rPr>
  </w:style>
  <w:style w:type="paragraph" w:customStyle="1" w:styleId="475">
    <w:name w:val="xl26"/>
    <w:basedOn w:val="1"/>
    <w:qFormat/>
    <w:uiPriority w:val="0"/>
    <w:pPr>
      <w:spacing w:before="100" w:after="100" w:line="240" w:lineRule="auto"/>
      <w:jc w:val="center"/>
    </w:pPr>
    <w:rPr>
      <w:kern w:val="0"/>
      <w:szCs w:val="20"/>
    </w:rPr>
  </w:style>
  <w:style w:type="paragraph" w:customStyle="1" w:styleId="476">
    <w:name w:val="三级标题"/>
    <w:basedOn w:val="1"/>
    <w:link w:val="477"/>
    <w:qFormat/>
    <w:uiPriority w:val="0"/>
    <w:pPr>
      <w:spacing w:line="240" w:lineRule="exact"/>
      <w:jc w:val="center"/>
    </w:pPr>
    <w:rPr>
      <w:rFonts w:ascii="宋体" w:hAnsi="宋体"/>
      <w:szCs w:val="24"/>
    </w:rPr>
  </w:style>
  <w:style w:type="character" w:customStyle="1" w:styleId="477">
    <w:name w:val="三级标题 Char Char"/>
    <w:link w:val="476"/>
    <w:qFormat/>
    <w:uiPriority w:val="0"/>
    <w:rPr>
      <w:rFonts w:ascii="宋体" w:hAnsi="宋体"/>
      <w:kern w:val="2"/>
      <w:sz w:val="24"/>
      <w:szCs w:val="24"/>
    </w:rPr>
  </w:style>
  <w:style w:type="paragraph" w:customStyle="1" w:styleId="478">
    <w:name w:val="正文 小四 行距: 1.5 倍行距"/>
    <w:basedOn w:val="1"/>
    <w:qFormat/>
    <w:uiPriority w:val="0"/>
    <w:pPr>
      <w:spacing w:before="120"/>
      <w:ind w:firstLine="480"/>
    </w:pPr>
    <w:rPr>
      <w:rFonts w:cs="宋体"/>
      <w:szCs w:val="20"/>
    </w:rPr>
  </w:style>
  <w:style w:type="paragraph" w:customStyle="1" w:styleId="479">
    <w:name w:val="清除格式"/>
    <w:basedOn w:val="1"/>
    <w:qFormat/>
    <w:uiPriority w:val="0"/>
    <w:pPr>
      <w:spacing w:line="240" w:lineRule="auto"/>
    </w:pPr>
    <w:rPr>
      <w:rFonts w:cs="宋体"/>
      <w:sz w:val="21"/>
    </w:rPr>
  </w:style>
  <w:style w:type="paragraph" w:customStyle="1" w:styleId="480">
    <w:name w:val="表格文字（小五）"/>
    <w:basedOn w:val="1"/>
    <w:qFormat/>
    <w:uiPriority w:val="0"/>
    <w:pPr>
      <w:spacing w:line="240" w:lineRule="auto"/>
      <w:jc w:val="center"/>
      <w:textAlignment w:val="baseline"/>
    </w:pPr>
    <w:rPr>
      <w:kern w:val="0"/>
      <w:sz w:val="18"/>
      <w:szCs w:val="20"/>
    </w:rPr>
  </w:style>
  <w:style w:type="paragraph" w:customStyle="1" w:styleId="481">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482">
    <w:name w:val="样式"/>
    <w:basedOn w:val="1"/>
    <w:next w:val="59"/>
    <w:qFormat/>
    <w:uiPriority w:val="0"/>
    <w:pPr>
      <w:tabs>
        <w:tab w:val="left" w:pos="6720"/>
      </w:tabs>
      <w:ind w:firstLine="480"/>
    </w:pPr>
    <w:rPr>
      <w:rFonts w:ascii="楷体_GB2312" w:eastAsia="楷体_GB2312"/>
      <w:szCs w:val="24"/>
    </w:rPr>
  </w:style>
  <w:style w:type="paragraph" w:customStyle="1" w:styleId="483">
    <w:name w:val="Char4 Char Char Char2"/>
    <w:basedOn w:val="1"/>
    <w:qFormat/>
    <w:uiPriority w:val="0"/>
    <w:rPr>
      <w:rFonts w:ascii="宋体" w:hAnsi="宋体" w:cs="宋体"/>
      <w:szCs w:val="26"/>
    </w:rPr>
  </w:style>
  <w:style w:type="paragraph" w:customStyle="1" w:styleId="484">
    <w:name w:val="表格内格式"/>
    <w:basedOn w:val="1"/>
    <w:qFormat/>
    <w:uiPriority w:val="0"/>
    <w:pPr>
      <w:spacing w:line="240" w:lineRule="exact"/>
      <w:jc w:val="center"/>
    </w:pPr>
    <w:rPr>
      <w:rFonts w:ascii="宋体"/>
      <w:sz w:val="21"/>
      <w:szCs w:val="24"/>
    </w:rPr>
  </w:style>
  <w:style w:type="paragraph" w:customStyle="1" w:styleId="485">
    <w:name w:val="样式 题注 + 首行缩进:  2 字符"/>
    <w:basedOn w:val="22"/>
    <w:qFormat/>
    <w:uiPriority w:val="0"/>
    <w:pPr>
      <w:adjustRightInd/>
      <w:snapToGrid/>
      <w:spacing w:before="152" w:after="160" w:line="500" w:lineRule="exact"/>
      <w:ind w:firstLine="400"/>
      <w:jc w:val="center"/>
      <w:textAlignment w:val="auto"/>
    </w:pPr>
    <w:rPr>
      <w:rFonts w:eastAsia="宋体"/>
      <w:bCs w:val="0"/>
      <w:color w:val="auto"/>
      <w:kern w:val="2"/>
      <w:sz w:val="24"/>
      <w:szCs w:val="20"/>
    </w:rPr>
  </w:style>
  <w:style w:type="paragraph" w:customStyle="1" w:styleId="486">
    <w:name w:val="Char1 Char Char Char"/>
    <w:basedOn w:val="1"/>
    <w:qFormat/>
    <w:uiPriority w:val="0"/>
    <w:pPr>
      <w:spacing w:line="240" w:lineRule="auto"/>
    </w:pPr>
    <w:rPr>
      <w:sz w:val="21"/>
      <w:szCs w:val="24"/>
    </w:rPr>
  </w:style>
  <w:style w:type="paragraph" w:customStyle="1" w:styleId="487">
    <w:name w:val="Heading 61"/>
    <w:basedOn w:val="1"/>
    <w:next w:val="1"/>
    <w:qFormat/>
    <w:uiPriority w:val="0"/>
    <w:pPr>
      <w:autoSpaceDE w:val="0"/>
      <w:autoSpaceDN w:val="0"/>
      <w:spacing w:before="60" w:line="240" w:lineRule="auto"/>
    </w:pPr>
    <w:rPr>
      <w:kern w:val="0"/>
      <w:szCs w:val="24"/>
    </w:rPr>
  </w:style>
  <w:style w:type="paragraph" w:customStyle="1" w:styleId="488">
    <w:name w:val="Char8"/>
    <w:basedOn w:val="1"/>
    <w:qFormat/>
    <w:uiPriority w:val="0"/>
    <w:rPr>
      <w:szCs w:val="20"/>
    </w:rPr>
  </w:style>
  <w:style w:type="paragraph" w:customStyle="1" w:styleId="489">
    <w:name w:val="列出段落4"/>
    <w:basedOn w:val="1"/>
    <w:qFormat/>
    <w:uiPriority w:val="0"/>
    <w:pPr>
      <w:spacing w:line="240" w:lineRule="auto"/>
      <w:ind w:firstLine="420"/>
    </w:pPr>
    <w:rPr>
      <w:sz w:val="21"/>
    </w:rPr>
  </w:style>
  <w:style w:type="paragraph" w:customStyle="1" w:styleId="490">
    <w:name w:val="Char21"/>
    <w:basedOn w:val="1"/>
    <w:qFormat/>
    <w:uiPriority w:val="0"/>
    <w:pPr>
      <w:spacing w:line="240" w:lineRule="auto"/>
    </w:pPr>
    <w:rPr>
      <w:sz w:val="21"/>
    </w:rPr>
  </w:style>
  <w:style w:type="paragraph" w:customStyle="1" w:styleId="491">
    <w:name w:val="font8"/>
    <w:basedOn w:val="1"/>
    <w:qFormat/>
    <w:uiPriority w:val="0"/>
    <w:pPr>
      <w:spacing w:before="100" w:beforeAutospacing="1" w:after="100" w:afterAutospacing="1" w:line="240" w:lineRule="auto"/>
    </w:pPr>
    <w:rPr>
      <w:kern w:val="0"/>
      <w:szCs w:val="24"/>
    </w:rPr>
  </w:style>
  <w:style w:type="paragraph" w:customStyle="1" w:styleId="492">
    <w:name w:val="无间隔5"/>
    <w:qFormat/>
    <w:uiPriority w:val="0"/>
    <w:pPr>
      <w:widowControl w:val="0"/>
      <w:spacing w:line="360" w:lineRule="auto"/>
      <w:jc w:val="both"/>
    </w:pPr>
    <w:rPr>
      <w:rFonts w:ascii="Calibri" w:hAnsi="Calibri" w:eastAsia="宋体" w:cs="Calibri"/>
      <w:kern w:val="2"/>
      <w:sz w:val="21"/>
      <w:szCs w:val="21"/>
      <w:lang w:val="en-US" w:eastAsia="zh-CN" w:bidi="ar-SA"/>
    </w:rPr>
  </w:style>
  <w:style w:type="paragraph" w:customStyle="1" w:styleId="493">
    <w:name w:val="图表文字"/>
    <w:qFormat/>
    <w:uiPriority w:val="0"/>
    <w:pPr>
      <w:adjustRightInd w:val="0"/>
      <w:snapToGrid w:val="0"/>
      <w:spacing w:line="380" w:lineRule="exact"/>
      <w:jc w:val="center"/>
    </w:pPr>
    <w:rPr>
      <w:rFonts w:ascii="Times New Roman" w:hAnsi="Times New Roman" w:eastAsia="宋体" w:cs="Times New Roman"/>
      <w:sz w:val="21"/>
      <w:lang w:val="en-US" w:eastAsia="zh-CN" w:bidi="ar-SA"/>
    </w:rPr>
  </w:style>
  <w:style w:type="paragraph" w:customStyle="1" w:styleId="494">
    <w:name w:val="图名、表名"/>
    <w:basedOn w:val="1"/>
    <w:qFormat/>
    <w:uiPriority w:val="99"/>
    <w:pPr>
      <w:spacing w:beforeLines="50" w:line="500" w:lineRule="atLeast"/>
      <w:jc w:val="center"/>
    </w:pPr>
    <w:rPr>
      <w:rFonts w:ascii="黑体" w:eastAsia="黑体"/>
      <w:b/>
      <w:sz w:val="21"/>
    </w:rPr>
  </w:style>
  <w:style w:type="paragraph" w:customStyle="1" w:styleId="495">
    <w:name w:val="L表格"/>
    <w:basedOn w:val="496"/>
    <w:qFormat/>
    <w:uiPriority w:val="0"/>
    <w:pPr>
      <w:spacing w:line="320" w:lineRule="exact"/>
      <w:jc w:val="center"/>
    </w:pPr>
    <w:rPr>
      <w:szCs w:val="20"/>
    </w:rPr>
  </w:style>
  <w:style w:type="paragraph" w:customStyle="1" w:styleId="496">
    <w:name w:val="L正文"/>
    <w:basedOn w:val="1"/>
    <w:qFormat/>
    <w:uiPriority w:val="0"/>
    <w:rPr>
      <w:szCs w:val="24"/>
    </w:rPr>
  </w:style>
  <w:style w:type="paragraph" w:customStyle="1" w:styleId="497">
    <w:name w:val="基准页脚样式"/>
    <w:basedOn w:val="31"/>
    <w:qFormat/>
    <w:uiPriority w:val="0"/>
    <w:pPr>
      <w:spacing w:after="0" w:line="240" w:lineRule="exact"/>
      <w:jc w:val="center"/>
    </w:pPr>
    <w:rPr>
      <w:rFonts w:ascii="宋体" w:hAnsi="宋体"/>
      <w:bCs/>
      <w:kern w:val="2"/>
      <w:sz w:val="21"/>
      <w:szCs w:val="21"/>
    </w:rPr>
  </w:style>
  <w:style w:type="paragraph" w:customStyle="1" w:styleId="498">
    <w:name w:val="正文1111111"/>
    <w:basedOn w:val="1"/>
    <w:qFormat/>
    <w:uiPriority w:val="0"/>
    <w:pPr>
      <w:spacing w:line="440" w:lineRule="exact"/>
    </w:pPr>
    <w:rPr>
      <w:rFonts w:cs="宋体"/>
      <w:szCs w:val="20"/>
    </w:rPr>
  </w:style>
  <w:style w:type="paragraph" w:customStyle="1" w:styleId="499">
    <w:name w:val="BG1"/>
    <w:basedOn w:val="1"/>
    <w:qFormat/>
    <w:uiPriority w:val="0"/>
    <w:pPr>
      <w:spacing w:line="240" w:lineRule="auto"/>
      <w:jc w:val="center"/>
    </w:pPr>
    <w:rPr>
      <w:w w:val="90"/>
      <w:sz w:val="18"/>
      <w:szCs w:val="18"/>
    </w:rPr>
  </w:style>
  <w:style w:type="paragraph" w:customStyle="1" w:styleId="500">
    <w:name w:val="样式14"/>
    <w:basedOn w:val="1"/>
    <w:qFormat/>
    <w:uiPriority w:val="0"/>
    <w:pPr>
      <w:autoSpaceDE w:val="0"/>
      <w:autoSpaceDN w:val="0"/>
      <w:spacing w:line="320" w:lineRule="atLeast"/>
      <w:jc w:val="center"/>
    </w:pPr>
    <w:rPr>
      <w:sz w:val="22"/>
      <w:lang w:val="zh-CN"/>
    </w:rPr>
  </w:style>
  <w:style w:type="paragraph" w:customStyle="1" w:styleId="501">
    <w:name w:val="样式 标题2 + 段前: 6 磅1"/>
    <w:basedOn w:val="218"/>
    <w:qFormat/>
    <w:uiPriority w:val="0"/>
    <w:pPr>
      <w:snapToGrid/>
      <w:spacing w:beforeLines="50" w:afterLines="0" w:line="300" w:lineRule="auto"/>
      <w:jc w:val="both"/>
      <w:outlineLvl w:val="1"/>
    </w:pPr>
    <w:rPr>
      <w:rFonts w:ascii="黑体" w:hAnsi="Times New Roman" w:cs="宋体"/>
      <w:b/>
      <w:bCs/>
      <w:kern w:val="2"/>
      <w:szCs w:val="20"/>
    </w:rPr>
  </w:style>
  <w:style w:type="paragraph" w:customStyle="1" w:styleId="502">
    <w:name w:val="单位"/>
    <w:basedOn w:val="222"/>
    <w:qFormat/>
    <w:uiPriority w:val="0"/>
  </w:style>
  <w:style w:type="paragraph" w:customStyle="1" w:styleId="503">
    <w:name w:val="xl30"/>
    <w:basedOn w:val="1"/>
    <w:qFormat/>
    <w:uiPriority w:val="0"/>
    <w:pPr>
      <w:spacing w:before="100" w:beforeAutospacing="1" w:after="100" w:afterAutospacing="1" w:line="240" w:lineRule="auto"/>
      <w:jc w:val="center"/>
      <w:textAlignment w:val="center"/>
    </w:pPr>
    <w:rPr>
      <w:rFonts w:ascii="宋体" w:hAnsi="宋体"/>
      <w:kern w:val="0"/>
      <w:szCs w:val="24"/>
    </w:rPr>
  </w:style>
  <w:style w:type="paragraph" w:customStyle="1" w:styleId="504">
    <w:name w:val="textblack1"/>
    <w:basedOn w:val="1"/>
    <w:qFormat/>
    <w:uiPriority w:val="0"/>
    <w:pPr>
      <w:spacing w:before="100" w:beforeAutospacing="1" w:after="100" w:afterAutospacing="1" w:line="240" w:lineRule="auto"/>
    </w:pPr>
    <w:rPr>
      <w:rFonts w:ascii="宋体" w:hAnsi="宋体" w:cs="宋体"/>
      <w:kern w:val="0"/>
      <w:szCs w:val="24"/>
    </w:rPr>
  </w:style>
  <w:style w:type="paragraph" w:customStyle="1" w:styleId="505">
    <w:name w:val="样式 表格 + 首行缩进:  2.19 字符1"/>
    <w:basedOn w:val="12"/>
    <w:qFormat/>
    <w:uiPriority w:val="0"/>
    <w:pPr>
      <w:textAlignment w:val="auto"/>
    </w:pPr>
    <w:rPr>
      <w:rFonts w:cs="宋体"/>
      <w:spacing w:val="10"/>
      <w:kern w:val="0"/>
      <w:sz w:val="21"/>
    </w:rPr>
  </w:style>
  <w:style w:type="paragraph" w:customStyle="1" w:styleId="506">
    <w:name w:val="6"/>
    <w:basedOn w:val="1"/>
    <w:next w:val="13"/>
    <w:qFormat/>
    <w:uiPriority w:val="0"/>
    <w:pPr>
      <w:spacing w:line="480" w:lineRule="atLeast"/>
      <w:ind w:firstLine="420"/>
    </w:pPr>
    <w:rPr>
      <w:spacing w:val="6"/>
      <w:kern w:val="28"/>
      <w:sz w:val="28"/>
      <w:szCs w:val="28"/>
    </w:rPr>
  </w:style>
  <w:style w:type="paragraph" w:styleId="507">
    <w:name w:val="List Paragraph"/>
    <w:basedOn w:val="1"/>
    <w:qFormat/>
    <w:uiPriority w:val="1"/>
    <w:pPr>
      <w:ind w:firstLine="420"/>
    </w:pPr>
  </w:style>
  <w:style w:type="paragraph" w:customStyle="1" w:styleId="508">
    <w:name w:val="标题4"/>
    <w:basedOn w:val="318"/>
    <w:qFormat/>
    <w:uiPriority w:val="0"/>
  </w:style>
  <w:style w:type="paragraph" w:customStyle="1" w:styleId="509">
    <w:name w:val="正文a"/>
    <w:basedOn w:val="1"/>
    <w:qFormat/>
    <w:uiPriority w:val="0"/>
    <w:pPr>
      <w:spacing w:line="240" w:lineRule="auto"/>
      <w:ind w:firstLine="570"/>
    </w:pPr>
    <w:rPr>
      <w:rFonts w:ascii="宋体"/>
      <w:sz w:val="28"/>
      <w:szCs w:val="24"/>
    </w:rPr>
  </w:style>
  <w:style w:type="paragraph" w:customStyle="1" w:styleId="510">
    <w:name w:val="Char Char Char Char Char Char Char"/>
    <w:basedOn w:val="1"/>
    <w:qFormat/>
    <w:uiPriority w:val="0"/>
    <w:rPr>
      <w:rFonts w:ascii="宋体" w:hAnsi="宋体" w:cs="宋体"/>
      <w:szCs w:val="26"/>
    </w:rPr>
  </w:style>
  <w:style w:type="paragraph" w:customStyle="1" w:styleId="511">
    <w:name w:val="xl31"/>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Arial Unicode MS" w:hAnsi="Arial Unicode MS" w:eastAsia="Arial Unicode MS" w:cs="Arial Unicode MS"/>
      <w:kern w:val="0"/>
      <w:szCs w:val="24"/>
    </w:rPr>
  </w:style>
  <w:style w:type="paragraph" w:customStyle="1" w:styleId="512">
    <w:name w:val="正文小4号"/>
    <w:basedOn w:val="513"/>
    <w:qFormat/>
    <w:uiPriority w:val="0"/>
    <w:pPr>
      <w:ind w:firstLine="170" w:firstLineChars="170"/>
      <w:jc w:val="both"/>
      <w:textAlignment w:val="auto"/>
    </w:pPr>
    <w:rPr>
      <w:sz w:val="24"/>
      <w:szCs w:val="24"/>
    </w:rPr>
  </w:style>
  <w:style w:type="paragraph" w:customStyle="1" w:styleId="513">
    <w:name w:val="正文缩"/>
    <w:basedOn w:val="1"/>
    <w:next w:val="1"/>
    <w:qFormat/>
    <w:uiPriority w:val="0"/>
    <w:pPr>
      <w:spacing w:line="480" w:lineRule="atLeast"/>
      <w:ind w:firstLine="567"/>
      <w:textAlignment w:val="baseline"/>
    </w:pPr>
    <w:rPr>
      <w:rFonts w:ascii="宋体" w:cs="宋体"/>
      <w:spacing w:val="6"/>
      <w:kern w:val="0"/>
      <w:sz w:val="28"/>
      <w:szCs w:val="28"/>
    </w:rPr>
  </w:style>
  <w:style w:type="paragraph" w:customStyle="1" w:styleId="514">
    <w:name w:val="列出段落3"/>
    <w:basedOn w:val="1"/>
    <w:qFormat/>
    <w:uiPriority w:val="0"/>
    <w:pPr>
      <w:spacing w:line="240" w:lineRule="auto"/>
      <w:ind w:firstLine="420"/>
    </w:pPr>
    <w:rPr>
      <w:sz w:val="21"/>
    </w:rPr>
  </w:style>
  <w:style w:type="paragraph" w:customStyle="1" w:styleId="515">
    <w:name w:val="Char4 Char Char Char"/>
    <w:basedOn w:val="1"/>
    <w:qFormat/>
    <w:uiPriority w:val="0"/>
    <w:rPr>
      <w:rFonts w:ascii="宋体" w:hAnsi="宋体" w:cs="宋体"/>
      <w:szCs w:val="26"/>
    </w:rPr>
  </w:style>
  <w:style w:type="paragraph" w:customStyle="1" w:styleId="516">
    <w:name w:val="xl38"/>
    <w:basedOn w:val="1"/>
    <w:qFormat/>
    <w:uiPriority w:val="0"/>
    <w:pPr>
      <w:spacing w:before="100" w:beforeAutospacing="1" w:after="100" w:afterAutospacing="1" w:line="240" w:lineRule="auto"/>
      <w:jc w:val="center"/>
      <w:textAlignment w:val="center"/>
    </w:pPr>
    <w:rPr>
      <w:rFonts w:ascii="宋体" w:hAnsi="宋体"/>
      <w:b/>
      <w:bCs/>
      <w:kern w:val="0"/>
      <w:sz w:val="40"/>
      <w:szCs w:val="40"/>
    </w:rPr>
  </w:style>
  <w:style w:type="paragraph" w:customStyle="1" w:styleId="517">
    <w:name w:val="样式 样式 正文四号1111111111 + 左侧:  0.07 厘米"/>
    <w:basedOn w:val="1"/>
    <w:qFormat/>
    <w:uiPriority w:val="0"/>
    <w:pPr>
      <w:spacing w:line="440" w:lineRule="exact"/>
    </w:pPr>
    <w:rPr>
      <w:rFonts w:cs="宋体"/>
      <w:sz w:val="28"/>
      <w:szCs w:val="20"/>
    </w:rPr>
  </w:style>
  <w:style w:type="paragraph" w:customStyle="1" w:styleId="518">
    <w:name w:val="Char Char Char Char1"/>
    <w:basedOn w:val="1"/>
    <w:qFormat/>
    <w:uiPriority w:val="0"/>
    <w:rPr>
      <w:rFonts w:ascii="宋体" w:hAnsi="宋体" w:cs="宋体"/>
      <w:szCs w:val="24"/>
    </w:rPr>
  </w:style>
  <w:style w:type="paragraph" w:customStyle="1" w:styleId="519">
    <w:name w:val="font0"/>
    <w:basedOn w:val="1"/>
    <w:qFormat/>
    <w:uiPriority w:val="0"/>
    <w:pPr>
      <w:spacing w:before="100" w:beforeAutospacing="1" w:after="100" w:afterAutospacing="1" w:line="240" w:lineRule="auto"/>
    </w:pPr>
    <w:rPr>
      <w:rFonts w:hint="eastAsia" w:ascii="宋体" w:hAnsi="宋体"/>
      <w:kern w:val="0"/>
      <w:szCs w:val="24"/>
    </w:rPr>
  </w:style>
  <w:style w:type="paragraph" w:customStyle="1" w:styleId="520">
    <w:name w:val="表内容"/>
    <w:basedOn w:val="1"/>
    <w:next w:val="1"/>
    <w:qFormat/>
    <w:uiPriority w:val="0"/>
    <w:pPr>
      <w:spacing w:line="240" w:lineRule="exact"/>
      <w:jc w:val="center"/>
    </w:pPr>
    <w:rPr>
      <w:sz w:val="21"/>
    </w:rPr>
  </w:style>
  <w:style w:type="paragraph" w:customStyle="1" w:styleId="521">
    <w:name w:val="样式 标题2 + 段前: 0.5 行 段后: 0.5 行1"/>
    <w:basedOn w:val="218"/>
    <w:qFormat/>
    <w:uiPriority w:val="0"/>
    <w:rPr>
      <w:rFonts w:cs="宋体"/>
      <w:bCs/>
      <w:szCs w:val="20"/>
    </w:rPr>
  </w:style>
  <w:style w:type="paragraph" w:customStyle="1" w:styleId="522">
    <w:name w:val="样式 样式 标题2"/>
    <w:basedOn w:val="523"/>
    <w:qFormat/>
    <w:uiPriority w:val="0"/>
    <w:pPr>
      <w:spacing w:before="50"/>
    </w:pPr>
  </w:style>
  <w:style w:type="paragraph" w:customStyle="1" w:styleId="523">
    <w:name w:val="样式 标题2 + 段前: 0.5 行"/>
    <w:basedOn w:val="218"/>
    <w:qFormat/>
    <w:uiPriority w:val="0"/>
    <w:pPr>
      <w:spacing w:beforeLines="50"/>
    </w:pPr>
    <w:rPr>
      <w:rFonts w:cs="宋体"/>
      <w:szCs w:val="20"/>
    </w:rPr>
  </w:style>
  <w:style w:type="paragraph" w:customStyle="1" w:styleId="524">
    <w:name w:val="font19"/>
    <w:basedOn w:val="1"/>
    <w:qFormat/>
    <w:uiPriority w:val="0"/>
    <w:pPr>
      <w:spacing w:before="100" w:beforeAutospacing="1" w:after="100" w:afterAutospacing="1" w:line="240" w:lineRule="auto"/>
    </w:pPr>
    <w:rPr>
      <w:rFonts w:ascii="宋体" w:hAnsi="宋体" w:cs="宋体"/>
      <w:kern w:val="0"/>
      <w:sz w:val="20"/>
      <w:szCs w:val="20"/>
    </w:rPr>
  </w:style>
  <w:style w:type="paragraph" w:customStyle="1" w:styleId="525">
    <w:name w:val="Char Char Char Char11"/>
    <w:basedOn w:val="1"/>
    <w:qFormat/>
    <w:uiPriority w:val="0"/>
    <w:rPr>
      <w:rFonts w:ascii="宋体" w:hAnsi="宋体" w:cs="宋体"/>
      <w:szCs w:val="24"/>
    </w:rPr>
  </w:style>
  <w:style w:type="paragraph" w:customStyle="1" w:styleId="526">
    <w:name w:val="Char Char Char Char Char Char Char Char Char Char Char Char Char1"/>
    <w:basedOn w:val="1"/>
    <w:qFormat/>
    <w:uiPriority w:val="0"/>
    <w:rPr>
      <w:sz w:val="21"/>
      <w:szCs w:val="20"/>
    </w:rPr>
  </w:style>
  <w:style w:type="paragraph" w:customStyle="1" w:styleId="527">
    <w:name w:val="样式 样式 样式1 + 首行缩进:  2 字符 + 首行缩进:  2 字符1"/>
    <w:basedOn w:val="1"/>
    <w:qFormat/>
    <w:uiPriority w:val="0"/>
    <w:pPr>
      <w:tabs>
        <w:tab w:val="left" w:pos="2265"/>
        <w:tab w:val="left" w:pos="3075"/>
      </w:tabs>
      <w:spacing w:line="400" w:lineRule="exact"/>
      <w:ind w:firstLine="482"/>
    </w:pPr>
    <w:rPr>
      <w:rFonts w:ascii="宋体" w:hAnsi="宋体" w:cs="宋体"/>
      <w:b/>
      <w:kern w:val="0"/>
      <w:szCs w:val="24"/>
    </w:rPr>
  </w:style>
  <w:style w:type="paragraph" w:customStyle="1" w:styleId="528">
    <w:name w:val="表格标题"/>
    <w:basedOn w:val="1"/>
    <w:next w:val="1"/>
    <w:qFormat/>
    <w:uiPriority w:val="0"/>
    <w:pPr>
      <w:spacing w:line="240" w:lineRule="auto"/>
    </w:pPr>
    <w:rPr>
      <w:szCs w:val="24"/>
    </w:rPr>
  </w:style>
  <w:style w:type="paragraph" w:customStyle="1" w:styleId="529">
    <w:name w:val="Char Char Char Char Char Char Char Char Char Char Char Char Char2"/>
    <w:basedOn w:val="1"/>
    <w:qFormat/>
    <w:uiPriority w:val="0"/>
    <w:rPr>
      <w:sz w:val="21"/>
      <w:szCs w:val="20"/>
    </w:rPr>
  </w:style>
  <w:style w:type="paragraph" w:customStyle="1" w:styleId="530">
    <w:name w:val="p0"/>
    <w:basedOn w:val="1"/>
    <w:qFormat/>
    <w:uiPriority w:val="0"/>
    <w:pPr>
      <w:spacing w:after="200" w:line="276" w:lineRule="auto"/>
    </w:pPr>
    <w:rPr>
      <w:kern w:val="0"/>
      <w:sz w:val="22"/>
      <w:lang w:eastAsia="en-US"/>
    </w:rPr>
  </w:style>
  <w:style w:type="paragraph" w:customStyle="1" w:styleId="531">
    <w:name w:val="日期2"/>
    <w:basedOn w:val="1"/>
    <w:next w:val="1"/>
    <w:qFormat/>
    <w:uiPriority w:val="0"/>
    <w:pPr>
      <w:spacing w:line="240" w:lineRule="auto"/>
      <w:textAlignment w:val="baseline"/>
    </w:pPr>
    <w:rPr>
      <w:sz w:val="21"/>
      <w:szCs w:val="20"/>
    </w:rPr>
  </w:style>
  <w:style w:type="paragraph" w:customStyle="1" w:styleId="532">
    <w:name w:val="样式 标题3 + 段前: 0.5 行 段后: 0.5 行"/>
    <w:basedOn w:val="318"/>
    <w:qFormat/>
    <w:uiPriority w:val="0"/>
    <w:pPr>
      <w:widowControl w:val="0"/>
      <w:spacing w:before="120" w:after="120"/>
      <w:jc w:val="both"/>
    </w:pPr>
    <w:rPr>
      <w:rFonts w:eastAsia="宋体" w:cs="宋体"/>
      <w:b/>
      <w:bCs/>
      <w:kern w:val="2"/>
      <w:sz w:val="24"/>
    </w:rPr>
  </w:style>
  <w:style w:type="paragraph" w:customStyle="1" w:styleId="533">
    <w:name w:val="1"/>
    <w:basedOn w:val="1"/>
    <w:next w:val="3"/>
    <w:qFormat/>
    <w:uiPriority w:val="0"/>
    <w:pPr>
      <w:spacing w:line="240" w:lineRule="auto"/>
      <w:ind w:firstLine="560"/>
    </w:pPr>
    <w:rPr>
      <w:rFonts w:eastAsia="楷体_GB2312"/>
      <w:sz w:val="28"/>
      <w:szCs w:val="24"/>
    </w:rPr>
  </w:style>
  <w:style w:type="paragraph" w:customStyle="1" w:styleId="534">
    <w:name w:val="表头图头"/>
    <w:basedOn w:val="1"/>
    <w:link w:val="535"/>
    <w:qFormat/>
    <w:uiPriority w:val="0"/>
    <w:pPr>
      <w:spacing w:line="440" w:lineRule="exact"/>
      <w:jc w:val="center"/>
    </w:pPr>
    <w:rPr>
      <w:b/>
      <w:szCs w:val="24"/>
    </w:rPr>
  </w:style>
  <w:style w:type="character" w:customStyle="1" w:styleId="535">
    <w:name w:val="表头图头 字符"/>
    <w:link w:val="534"/>
    <w:qFormat/>
    <w:uiPriority w:val="0"/>
    <w:rPr>
      <w:b/>
      <w:kern w:val="2"/>
      <w:sz w:val="24"/>
      <w:szCs w:val="24"/>
    </w:rPr>
  </w:style>
  <w:style w:type="paragraph" w:customStyle="1" w:styleId="536">
    <w:name w:val="样式 标题 3Re小节标题Sectionh33heading 3- bodyh3bh3ah3 sub head..."/>
    <w:basedOn w:val="8"/>
    <w:qFormat/>
    <w:uiPriority w:val="0"/>
    <w:pPr>
      <w:keepNext w:val="0"/>
      <w:keepLines w:val="0"/>
      <w:spacing w:line="440" w:lineRule="exact"/>
      <w:jc w:val="both"/>
      <w:textAlignment w:val="baseline"/>
    </w:pPr>
    <w:rPr>
      <w:rFonts w:ascii="宋体" w:hAnsi="宋体"/>
      <w:color w:val="000000"/>
      <w:kern w:val="0"/>
      <w:sz w:val="24"/>
      <w:szCs w:val="28"/>
    </w:rPr>
  </w:style>
  <w:style w:type="paragraph" w:customStyle="1" w:styleId="537">
    <w:name w:val="Char Char Char Char Char2 Char1"/>
    <w:basedOn w:val="1"/>
    <w:qFormat/>
    <w:uiPriority w:val="0"/>
    <w:rPr>
      <w:rFonts w:ascii="宋体" w:hAnsi="宋体" w:cs="宋体"/>
      <w:szCs w:val="26"/>
    </w:rPr>
  </w:style>
  <w:style w:type="paragraph" w:customStyle="1" w:styleId="538">
    <w:name w:val="正文01"/>
    <w:basedOn w:val="1"/>
    <w:link w:val="539"/>
    <w:qFormat/>
    <w:uiPriority w:val="0"/>
    <w:pPr>
      <w:spacing w:before="60" w:line="460" w:lineRule="exact"/>
    </w:pPr>
    <w:rPr>
      <w:rFonts w:ascii="Arial" w:hAnsi="Arial"/>
      <w:kern w:val="0"/>
      <w:szCs w:val="20"/>
    </w:rPr>
  </w:style>
  <w:style w:type="character" w:customStyle="1" w:styleId="539">
    <w:name w:val="正文01 Char Char"/>
    <w:link w:val="538"/>
    <w:qFormat/>
    <w:uiPriority w:val="0"/>
    <w:rPr>
      <w:rFonts w:ascii="Arial" w:hAnsi="Arial"/>
      <w:sz w:val="24"/>
    </w:rPr>
  </w:style>
  <w:style w:type="paragraph" w:customStyle="1" w:styleId="540">
    <w:name w:val="Char Char Char Char"/>
    <w:basedOn w:val="1"/>
    <w:qFormat/>
    <w:uiPriority w:val="0"/>
    <w:rPr>
      <w:rFonts w:ascii="宋体" w:hAnsi="宋体" w:cs="宋体"/>
      <w:szCs w:val="26"/>
    </w:rPr>
  </w:style>
  <w:style w:type="paragraph" w:customStyle="1" w:styleId="541">
    <w:name w:val="表"/>
    <w:basedOn w:val="31"/>
    <w:qFormat/>
    <w:uiPriority w:val="0"/>
    <w:pPr>
      <w:wordWrap w:val="0"/>
      <w:overflowPunct w:val="0"/>
      <w:autoSpaceDE w:val="0"/>
      <w:autoSpaceDN w:val="0"/>
      <w:spacing w:after="0" w:line="460" w:lineRule="exact"/>
      <w:jc w:val="center"/>
    </w:pPr>
    <w:rPr>
      <w:rFonts w:eastAsia="仿宋_GB2312"/>
      <w:bCs/>
      <w:szCs w:val="24"/>
    </w:rPr>
  </w:style>
  <w:style w:type="paragraph" w:customStyle="1" w:styleId="542">
    <w:name w:val="xl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Cs w:val="24"/>
    </w:rPr>
  </w:style>
  <w:style w:type="paragraph" w:customStyle="1" w:styleId="543">
    <w:name w:val="xl80"/>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44">
    <w:name w:val="xl98"/>
    <w:basedOn w:val="1"/>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cs="宋体"/>
      <w:b/>
      <w:bCs/>
      <w:kern w:val="0"/>
      <w:szCs w:val="24"/>
    </w:rPr>
  </w:style>
  <w:style w:type="paragraph" w:customStyle="1" w:styleId="545">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46">
    <w:name w:val="Char Char Char Char Char Char Char Char Char Char Char Char Char Char Char Char Char Char Char Char Char Char Char Char"/>
    <w:basedOn w:val="1"/>
    <w:qFormat/>
    <w:uiPriority w:val="0"/>
    <w:pPr>
      <w:spacing w:line="240" w:lineRule="auto"/>
    </w:pPr>
    <w:rPr>
      <w:sz w:val="21"/>
      <w:szCs w:val="24"/>
    </w:rPr>
  </w:style>
  <w:style w:type="paragraph" w:customStyle="1" w:styleId="547">
    <w:name w:val="姓名"/>
    <w:basedOn w:val="31"/>
    <w:qFormat/>
    <w:uiPriority w:val="0"/>
    <w:pPr>
      <w:overflowPunct w:val="0"/>
      <w:autoSpaceDE w:val="0"/>
      <w:autoSpaceDN w:val="0"/>
      <w:spacing w:before="120" w:after="0" w:line="240" w:lineRule="auto"/>
      <w:ind w:left="-1800" w:right="1080"/>
      <w:jc w:val="center"/>
      <w:textAlignment w:val="baseline"/>
    </w:pPr>
    <w:rPr>
      <w:rFonts w:ascii="Arial" w:hAnsi="Arial"/>
      <w:b/>
      <w:i/>
    </w:rPr>
  </w:style>
  <w:style w:type="paragraph" w:customStyle="1" w:styleId="548">
    <w:name w:val="样式 标题2 + 段前: 6 磅"/>
    <w:basedOn w:val="218"/>
    <w:qFormat/>
    <w:uiPriority w:val="0"/>
    <w:pPr>
      <w:snapToGrid/>
      <w:spacing w:beforeLines="50" w:afterLines="0" w:line="300" w:lineRule="auto"/>
      <w:jc w:val="both"/>
      <w:outlineLvl w:val="1"/>
    </w:pPr>
    <w:rPr>
      <w:rFonts w:ascii="黑体" w:hAnsi="Times New Roman" w:cs="宋体"/>
      <w:b/>
      <w:bCs/>
      <w:kern w:val="2"/>
      <w:szCs w:val="20"/>
    </w:rPr>
  </w:style>
  <w:style w:type="paragraph" w:customStyle="1" w:styleId="549">
    <w:name w:val="标题11111111111111111"/>
    <w:basedOn w:val="1"/>
    <w:qFormat/>
    <w:uiPriority w:val="0"/>
    <w:pPr>
      <w:spacing w:line="300" w:lineRule="auto"/>
      <w:jc w:val="center"/>
    </w:pPr>
    <w:rPr>
      <w:rFonts w:ascii="黑体" w:eastAsia="黑体" w:cs="宋体"/>
      <w:b/>
      <w:bCs/>
      <w:sz w:val="36"/>
      <w:szCs w:val="20"/>
    </w:rPr>
  </w:style>
  <w:style w:type="paragraph" w:customStyle="1" w:styleId="550">
    <w:name w:val="Char Char Char Char Char2 Char2"/>
    <w:basedOn w:val="1"/>
    <w:semiHidden/>
    <w:qFormat/>
    <w:uiPriority w:val="0"/>
    <w:rPr>
      <w:rFonts w:ascii="宋体" w:hAnsi="宋体" w:cs="宋体"/>
      <w:szCs w:val="26"/>
    </w:rPr>
  </w:style>
  <w:style w:type="paragraph" w:customStyle="1" w:styleId="551">
    <w:name w:val="表头1111111111111"/>
    <w:basedOn w:val="1"/>
    <w:qFormat/>
    <w:uiPriority w:val="0"/>
    <w:pPr>
      <w:spacing w:line="500" w:lineRule="exact"/>
      <w:jc w:val="center"/>
    </w:pPr>
    <w:rPr>
      <w:rFonts w:ascii="黑体" w:eastAsia="黑体" w:cs="宋体"/>
      <w:bCs/>
      <w:sz w:val="21"/>
      <w:szCs w:val="20"/>
    </w:rPr>
  </w:style>
  <w:style w:type="paragraph" w:customStyle="1" w:styleId="552">
    <w:name w:val="Heading 62"/>
    <w:basedOn w:val="1"/>
    <w:next w:val="1"/>
    <w:qFormat/>
    <w:uiPriority w:val="0"/>
    <w:pPr>
      <w:autoSpaceDE w:val="0"/>
      <w:autoSpaceDN w:val="0"/>
      <w:spacing w:before="60" w:line="240" w:lineRule="auto"/>
    </w:pPr>
    <w:rPr>
      <w:kern w:val="0"/>
      <w:szCs w:val="24"/>
    </w:rPr>
  </w:style>
  <w:style w:type="paragraph" w:customStyle="1" w:styleId="553">
    <w:name w:val="样式 楷体_GB2312 四号 首行缩进:  2 字符"/>
    <w:basedOn w:val="1"/>
    <w:qFormat/>
    <w:uiPriority w:val="0"/>
    <w:pPr>
      <w:spacing w:line="240" w:lineRule="auto"/>
      <w:ind w:firstLine="560"/>
    </w:pPr>
    <w:rPr>
      <w:rFonts w:ascii="楷体_GB2312" w:hAnsi="楷体_GB2312" w:eastAsia="仿宋_GB2312"/>
      <w:sz w:val="28"/>
      <w:szCs w:val="20"/>
    </w:rPr>
  </w:style>
  <w:style w:type="paragraph" w:customStyle="1" w:styleId="554">
    <w:name w:val="无间隔1"/>
    <w:qFormat/>
    <w:uiPriority w:val="0"/>
    <w:pPr>
      <w:widowControl w:val="0"/>
      <w:spacing w:line="360" w:lineRule="auto"/>
      <w:jc w:val="both"/>
    </w:pPr>
    <w:rPr>
      <w:rFonts w:ascii="Calibri" w:hAnsi="Calibri" w:eastAsia="宋体" w:cs="Calibri"/>
      <w:kern w:val="2"/>
      <w:sz w:val="21"/>
      <w:szCs w:val="21"/>
      <w:lang w:val="en-US" w:eastAsia="zh-CN" w:bidi="ar-SA"/>
    </w:rPr>
  </w:style>
  <w:style w:type="paragraph" w:customStyle="1" w:styleId="555">
    <w:name w:val="xl39"/>
    <w:basedOn w:val="1"/>
    <w:qFormat/>
    <w:uiPriority w:val="0"/>
    <w:pPr>
      <w:pBdr>
        <w:bottom w:val="single" w:color="auto" w:sz="4" w:space="0"/>
      </w:pBdr>
      <w:spacing w:before="100" w:beforeAutospacing="1" w:after="100" w:afterAutospacing="1" w:line="240" w:lineRule="auto"/>
      <w:jc w:val="center"/>
      <w:textAlignment w:val="center"/>
    </w:pPr>
    <w:rPr>
      <w:rFonts w:ascii="宋体" w:hAnsi="宋体"/>
      <w:b/>
      <w:bCs/>
      <w:kern w:val="0"/>
      <w:sz w:val="40"/>
      <w:szCs w:val="40"/>
    </w:rPr>
  </w:style>
  <w:style w:type="paragraph" w:customStyle="1" w:styleId="556">
    <w:name w:val="font13"/>
    <w:basedOn w:val="1"/>
    <w:qFormat/>
    <w:uiPriority w:val="0"/>
    <w:pPr>
      <w:spacing w:before="100" w:beforeAutospacing="1" w:after="100" w:afterAutospacing="1" w:line="240" w:lineRule="auto"/>
    </w:pPr>
    <w:rPr>
      <w:rFonts w:ascii="宋体" w:hAnsi="宋体" w:cs="宋体"/>
      <w:kern w:val="0"/>
      <w:sz w:val="20"/>
      <w:szCs w:val="20"/>
    </w:rPr>
  </w:style>
  <w:style w:type="paragraph" w:customStyle="1" w:styleId="557">
    <w:name w:val="样式 样式1 + 首行缩进:  2 字符"/>
    <w:basedOn w:val="362"/>
    <w:qFormat/>
    <w:uiPriority w:val="0"/>
    <w:pPr>
      <w:adjustRightInd/>
      <w:spacing w:line="440" w:lineRule="exact"/>
      <w:ind w:firstLine="480"/>
      <w:textAlignment w:val="auto"/>
    </w:pPr>
    <w:rPr>
      <w:rFonts w:ascii="Times New Roman" w:cs="宋体"/>
      <w:color w:val="auto"/>
      <w:kern w:val="2"/>
      <w:sz w:val="24"/>
      <w:szCs w:val="22"/>
    </w:rPr>
  </w:style>
  <w:style w:type="paragraph" w:customStyle="1" w:styleId="558">
    <w:name w:val="_书名"/>
    <w:basedOn w:val="1"/>
    <w:qFormat/>
    <w:uiPriority w:val="0"/>
    <w:pPr>
      <w:spacing w:line="240" w:lineRule="auto"/>
      <w:jc w:val="center"/>
    </w:pPr>
    <w:rPr>
      <w:b/>
      <w:sz w:val="96"/>
      <w:szCs w:val="96"/>
    </w:rPr>
  </w:style>
  <w:style w:type="paragraph" w:customStyle="1" w:styleId="559">
    <w:name w:val="5 Char"/>
    <w:basedOn w:val="1"/>
    <w:qFormat/>
    <w:uiPriority w:val="0"/>
    <w:pPr>
      <w:spacing w:line="240" w:lineRule="auto"/>
    </w:pPr>
    <w:rPr>
      <w:rFonts w:ascii="宋体" w:hAnsi="宋体"/>
      <w:kern w:val="0"/>
    </w:rPr>
  </w:style>
  <w:style w:type="paragraph" w:customStyle="1" w:styleId="560">
    <w:name w:val="样式 标题 1Ch1.标题 1h11headingHeader 1st Pageh1 chapter headin..."/>
    <w:basedOn w:val="6"/>
    <w:qFormat/>
    <w:uiPriority w:val="0"/>
    <w:pPr>
      <w:keepNext w:val="0"/>
      <w:keepLines w:val="0"/>
      <w:spacing w:beforeLines="50" w:line="440" w:lineRule="exact"/>
      <w:ind w:left="240" w:hanging="240"/>
      <w:textAlignment w:val="baseline"/>
    </w:pPr>
    <w:rPr>
      <w:rFonts w:ascii="黑体" w:hAnsi="宋体"/>
      <w:color w:val="000000"/>
      <w:kern w:val="0"/>
      <w:szCs w:val="28"/>
      <w:lang w:val="da-DK"/>
    </w:rPr>
  </w:style>
  <w:style w:type="paragraph" w:customStyle="1" w:styleId="561">
    <w:name w:val="样式 标题 1"/>
    <w:basedOn w:val="6"/>
    <w:qFormat/>
    <w:uiPriority w:val="0"/>
    <w:pPr>
      <w:keepLines w:val="0"/>
      <w:spacing w:beforeLines="50" w:line="300" w:lineRule="auto"/>
    </w:pPr>
    <w:rPr>
      <w:rFonts w:ascii="黑体" w:hAnsi="Times New Roman" w:cs="宋体"/>
      <w:kern w:val="2"/>
      <w:sz w:val="36"/>
      <w:szCs w:val="20"/>
      <w:lang w:val="da-DK"/>
    </w:rPr>
  </w:style>
  <w:style w:type="paragraph" w:customStyle="1" w:styleId="562">
    <w:name w:val="表头111111111"/>
    <w:basedOn w:val="149"/>
    <w:qFormat/>
    <w:uiPriority w:val="0"/>
    <w:rPr>
      <w:rFonts w:hAnsi="黑体"/>
    </w:rPr>
  </w:style>
  <w:style w:type="paragraph" w:customStyle="1" w:styleId="563">
    <w:name w:val="Char Char Char Char Char Char Char Char Char Char Char Char Char"/>
    <w:basedOn w:val="1"/>
    <w:qFormat/>
    <w:uiPriority w:val="0"/>
    <w:rPr>
      <w:sz w:val="21"/>
      <w:szCs w:val="20"/>
    </w:rPr>
  </w:style>
  <w:style w:type="paragraph" w:customStyle="1" w:styleId="564">
    <w:name w:val="正文王"/>
    <w:basedOn w:val="39"/>
    <w:qFormat/>
    <w:uiPriority w:val="0"/>
    <w:pPr>
      <w:spacing w:line="440" w:lineRule="exact"/>
    </w:pPr>
    <w:rPr>
      <w:rFonts w:ascii="Arial" w:hAnsi="Arial"/>
      <w:sz w:val="24"/>
    </w:rPr>
  </w:style>
  <w:style w:type="paragraph" w:customStyle="1" w:styleId="565">
    <w:name w:val="reader-word-layer"/>
    <w:basedOn w:val="1"/>
    <w:qFormat/>
    <w:uiPriority w:val="0"/>
    <w:pPr>
      <w:spacing w:before="100" w:beforeAutospacing="1" w:after="100" w:afterAutospacing="1" w:line="240" w:lineRule="auto"/>
    </w:pPr>
    <w:rPr>
      <w:rFonts w:ascii="宋体" w:hAnsi="宋体" w:cs="宋体"/>
      <w:kern w:val="0"/>
      <w:szCs w:val="24"/>
    </w:rPr>
  </w:style>
  <w:style w:type="paragraph" w:customStyle="1" w:styleId="566">
    <w:name w:val="松江超硅标题4"/>
    <w:basedOn w:val="9"/>
    <w:qFormat/>
    <w:uiPriority w:val="0"/>
    <w:pPr>
      <w:tabs>
        <w:tab w:val="left" w:pos="864"/>
      </w:tabs>
      <w:ind w:left="864" w:hanging="864"/>
      <w:textAlignment w:val="baseline"/>
    </w:pPr>
    <w:rPr>
      <w:rFonts w:hAnsi="宋体"/>
      <w:b w:val="0"/>
      <w:bCs/>
      <w:szCs w:val="24"/>
    </w:rPr>
  </w:style>
  <w:style w:type="paragraph" w:customStyle="1" w:styleId="567">
    <w:name w:val="4号节居中"/>
    <w:basedOn w:val="1"/>
    <w:next w:val="513"/>
    <w:qFormat/>
    <w:uiPriority w:val="0"/>
    <w:pPr>
      <w:spacing w:line="480" w:lineRule="atLeast"/>
      <w:jc w:val="center"/>
    </w:pPr>
    <w:rPr>
      <w:rFonts w:ascii="宋体" w:hAnsi="宋体" w:cs="宋体"/>
      <w:spacing w:val="6"/>
      <w:kern w:val="0"/>
      <w:sz w:val="28"/>
      <w:szCs w:val="28"/>
    </w:rPr>
  </w:style>
  <w:style w:type="paragraph" w:customStyle="1" w:styleId="568">
    <w:name w:val="表文居中"/>
    <w:basedOn w:val="1"/>
    <w:qFormat/>
    <w:uiPriority w:val="0"/>
    <w:pPr>
      <w:autoSpaceDE w:val="0"/>
      <w:autoSpaceDN w:val="0"/>
      <w:jc w:val="center"/>
      <w:textAlignment w:val="baseline"/>
    </w:pPr>
    <w:rPr>
      <w:kern w:val="0"/>
      <w:sz w:val="18"/>
      <w:szCs w:val="20"/>
    </w:rPr>
  </w:style>
  <w:style w:type="paragraph" w:customStyle="1" w:styleId="569">
    <w:name w:val="4号章黑(居中)"/>
    <w:basedOn w:val="1"/>
    <w:next w:val="567"/>
    <w:qFormat/>
    <w:uiPriority w:val="0"/>
    <w:pPr>
      <w:spacing w:line="480" w:lineRule="atLeast"/>
      <w:jc w:val="center"/>
    </w:pPr>
    <w:rPr>
      <w:rFonts w:ascii="宋体" w:hAnsi="宋体" w:eastAsia="黑体" w:cs="宋体"/>
      <w:spacing w:val="6"/>
      <w:kern w:val="0"/>
      <w:sz w:val="28"/>
      <w:szCs w:val="28"/>
    </w:rPr>
  </w:style>
  <w:style w:type="paragraph" w:customStyle="1" w:styleId="570">
    <w:name w:val="正文文本 21"/>
    <w:basedOn w:val="1"/>
    <w:qFormat/>
    <w:uiPriority w:val="0"/>
    <w:pPr>
      <w:overflowPunct w:val="0"/>
      <w:autoSpaceDE w:val="0"/>
      <w:autoSpaceDN w:val="0"/>
      <w:spacing w:after="120"/>
      <w:textAlignment w:val="baseline"/>
    </w:pPr>
    <w:rPr>
      <w:szCs w:val="20"/>
    </w:rPr>
  </w:style>
  <w:style w:type="paragraph" w:customStyle="1" w:styleId="571">
    <w:name w:val="hcr3"/>
    <w:qFormat/>
    <w:uiPriority w:val="0"/>
    <w:pPr>
      <w:spacing w:line="360" w:lineRule="auto"/>
      <w:ind w:firstLine="200" w:firstLineChars="200"/>
    </w:pPr>
    <w:rPr>
      <w:rFonts w:ascii="仿宋_GB2312" w:hAnsi="Times New Roman" w:eastAsia="仿宋_GB2312" w:cs="Times New Roman"/>
      <w:bCs/>
      <w:sz w:val="28"/>
      <w:lang w:val="en-US" w:eastAsia="zh-CN" w:bidi="ar-SA"/>
    </w:rPr>
  </w:style>
  <w:style w:type="paragraph" w:customStyle="1" w:styleId="572">
    <w:name w:val="xl82"/>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573">
    <w:name w:val="默认段落字体 Para Char"/>
    <w:basedOn w:val="1"/>
    <w:qFormat/>
    <w:uiPriority w:val="0"/>
    <w:pPr>
      <w:spacing w:line="240" w:lineRule="auto"/>
    </w:pPr>
    <w:rPr>
      <w:kern w:val="0"/>
      <w:szCs w:val="20"/>
    </w:rPr>
  </w:style>
  <w:style w:type="paragraph" w:customStyle="1" w:styleId="574">
    <w:name w:val="font9"/>
    <w:basedOn w:val="1"/>
    <w:qFormat/>
    <w:uiPriority w:val="0"/>
    <w:pPr>
      <w:spacing w:before="100" w:beforeAutospacing="1" w:after="100" w:afterAutospacing="1" w:line="240" w:lineRule="auto"/>
    </w:pPr>
    <w:rPr>
      <w:kern w:val="0"/>
      <w:szCs w:val="24"/>
    </w:rPr>
  </w:style>
  <w:style w:type="paragraph" w:customStyle="1" w:styleId="575">
    <w:name w:val="he"/>
    <w:basedOn w:val="53"/>
    <w:next w:val="1"/>
    <w:qFormat/>
    <w:uiPriority w:val="0"/>
    <w:pPr>
      <w:spacing w:after="0"/>
      <w:ind w:firstLine="0"/>
      <w:jc w:val="both"/>
      <w:outlineLvl w:val="2"/>
    </w:pPr>
    <w:rPr>
      <w:rFonts w:ascii="黑体" w:eastAsia="宋体" w:cs="宋体"/>
      <w:b/>
      <w:bCs/>
      <w:i w:val="0"/>
      <w:iCs w:val="0"/>
      <w:color w:val="auto"/>
      <w:sz w:val="24"/>
      <w:szCs w:val="24"/>
    </w:rPr>
  </w:style>
  <w:style w:type="paragraph" w:customStyle="1" w:styleId="576">
    <w:name w:val="Default Text"/>
    <w:basedOn w:val="1"/>
    <w:qFormat/>
    <w:uiPriority w:val="0"/>
    <w:pPr>
      <w:autoSpaceDE w:val="0"/>
      <w:autoSpaceDN w:val="0"/>
      <w:spacing w:line="240" w:lineRule="auto"/>
    </w:pPr>
    <w:rPr>
      <w:rFonts w:ascii="宋体" w:hAnsi="宋体" w:cs="宋体"/>
      <w:kern w:val="0"/>
      <w:szCs w:val="24"/>
    </w:rPr>
  </w:style>
  <w:style w:type="paragraph" w:customStyle="1" w:styleId="577">
    <w:name w:val="xl95"/>
    <w:basedOn w:val="1"/>
    <w:qFormat/>
    <w:uiPriority w:val="0"/>
    <w:pPr>
      <w:pBdr>
        <w:top w:val="single" w:color="auto" w:sz="8" w:space="0"/>
        <w:left w:val="single" w:color="auto" w:sz="4" w:space="0"/>
        <w:right w:val="single" w:color="auto" w:sz="4" w:space="0"/>
      </w:pBdr>
      <w:spacing w:before="100" w:beforeAutospacing="1" w:after="100" w:afterAutospacing="1" w:line="240" w:lineRule="auto"/>
      <w:jc w:val="center"/>
    </w:pPr>
    <w:rPr>
      <w:rFonts w:ascii="宋体" w:hAnsi="宋体" w:cs="宋体"/>
      <w:b/>
      <w:bCs/>
      <w:kern w:val="0"/>
      <w:szCs w:val="24"/>
    </w:rPr>
  </w:style>
  <w:style w:type="paragraph" w:customStyle="1" w:styleId="578">
    <w:name w:val="附录表标题"/>
    <w:next w:val="8"/>
    <w:qFormat/>
    <w:uiPriority w:val="0"/>
    <w:pPr>
      <w:tabs>
        <w:tab w:val="left" w:pos="360"/>
      </w:tabs>
      <w:spacing w:line="360" w:lineRule="auto"/>
      <w:jc w:val="center"/>
      <w:textAlignment w:val="baseline"/>
    </w:pPr>
    <w:rPr>
      <w:rFonts w:ascii="黑体" w:hAnsi="Times New Roman" w:eastAsia="黑体" w:cs="Times New Roman"/>
      <w:kern w:val="21"/>
      <w:sz w:val="21"/>
      <w:lang w:val="en-US" w:eastAsia="zh-CN" w:bidi="ar-SA"/>
    </w:rPr>
  </w:style>
  <w:style w:type="paragraph" w:customStyle="1" w:styleId="579">
    <w:name w:val="xl83"/>
    <w:basedOn w:val="1"/>
    <w:qFormat/>
    <w:uiPriority w:val="0"/>
    <w:pPr>
      <w:spacing w:before="100" w:beforeAutospacing="1" w:after="100" w:afterAutospacing="1" w:line="240" w:lineRule="auto"/>
      <w:jc w:val="center"/>
      <w:textAlignment w:val="bottom"/>
    </w:pPr>
    <w:rPr>
      <w:rFonts w:ascii="宋体" w:hAnsi="宋体" w:cs="宋体"/>
      <w:kern w:val="0"/>
      <w:szCs w:val="24"/>
    </w:rPr>
  </w:style>
  <w:style w:type="paragraph" w:customStyle="1" w:styleId="580">
    <w:name w:val="font20"/>
    <w:basedOn w:val="1"/>
    <w:qFormat/>
    <w:uiPriority w:val="0"/>
    <w:pPr>
      <w:spacing w:before="100" w:beforeAutospacing="1" w:after="100" w:afterAutospacing="1" w:line="240" w:lineRule="auto"/>
    </w:pPr>
    <w:rPr>
      <w:rFonts w:ascii="宋体" w:hAnsi="宋体" w:cs="宋体"/>
      <w:kern w:val="0"/>
      <w:sz w:val="18"/>
      <w:szCs w:val="18"/>
    </w:rPr>
  </w:style>
  <w:style w:type="paragraph" w:customStyle="1" w:styleId="581">
    <w:name w:val="xl22"/>
    <w:basedOn w:val="1"/>
    <w:qFormat/>
    <w:uiPriority w:val="0"/>
    <w:pPr>
      <w:spacing w:before="100" w:beforeAutospacing="1" w:after="100" w:afterAutospacing="1" w:line="240" w:lineRule="auto"/>
    </w:pPr>
    <w:rPr>
      <w:b/>
      <w:bCs/>
      <w:kern w:val="0"/>
      <w:szCs w:val="24"/>
      <w:lang w:eastAsia="en-US"/>
    </w:rPr>
  </w:style>
  <w:style w:type="paragraph" w:customStyle="1" w:styleId="582">
    <w:name w:val="xl101"/>
    <w:basedOn w:val="1"/>
    <w:qFormat/>
    <w:uiPriority w:val="0"/>
    <w:pPr>
      <w:pBdr>
        <w:left w:val="single" w:color="auto" w:sz="4" w:space="0"/>
        <w:bottom w:val="single" w:color="auto" w:sz="8" w:space="0"/>
      </w:pBdr>
      <w:spacing w:before="100" w:beforeAutospacing="1" w:after="100" w:afterAutospacing="1" w:line="240" w:lineRule="auto"/>
      <w:jc w:val="center"/>
    </w:pPr>
    <w:rPr>
      <w:rFonts w:ascii="宋体" w:hAnsi="宋体" w:cs="宋体"/>
      <w:b/>
      <w:bCs/>
      <w:kern w:val="0"/>
      <w:szCs w:val="24"/>
    </w:rPr>
  </w:style>
  <w:style w:type="paragraph" w:customStyle="1" w:styleId="583">
    <w:name w:val="表格填充1"/>
    <w:basedOn w:val="1"/>
    <w:qFormat/>
    <w:uiPriority w:val="0"/>
    <w:pPr>
      <w:spacing w:line="400" w:lineRule="exact"/>
      <w:jc w:val="center"/>
    </w:pPr>
    <w:rPr>
      <w:kern w:val="0"/>
      <w:sz w:val="21"/>
      <w:szCs w:val="18"/>
    </w:rPr>
  </w:style>
  <w:style w:type="paragraph" w:customStyle="1" w:styleId="584">
    <w:name w:val="xl97"/>
    <w:basedOn w:val="1"/>
    <w:qFormat/>
    <w:uiPriority w:val="0"/>
    <w:pPr>
      <w:pBdr>
        <w:top w:val="single" w:color="auto" w:sz="8" w:space="0"/>
        <w:left w:val="single" w:color="auto" w:sz="4" w:space="0"/>
        <w:right w:val="single" w:color="auto" w:sz="4" w:space="0"/>
      </w:pBdr>
      <w:spacing w:before="100" w:beforeAutospacing="1" w:after="100" w:afterAutospacing="1" w:line="240" w:lineRule="auto"/>
      <w:jc w:val="center"/>
    </w:pPr>
    <w:rPr>
      <w:rFonts w:ascii="宋体" w:hAnsi="宋体" w:cs="宋体"/>
      <w:b/>
      <w:bCs/>
      <w:kern w:val="0"/>
      <w:szCs w:val="24"/>
    </w:rPr>
  </w:style>
  <w:style w:type="paragraph" w:customStyle="1" w:styleId="585">
    <w:name w:val="表格中"/>
    <w:basedOn w:val="1"/>
    <w:semiHidden/>
    <w:qFormat/>
    <w:uiPriority w:val="0"/>
    <w:pPr>
      <w:spacing w:line="280" w:lineRule="exact"/>
      <w:jc w:val="center"/>
    </w:pPr>
    <w:rPr>
      <w:rFonts w:ascii="宋体"/>
      <w:sz w:val="18"/>
      <w:szCs w:val="24"/>
    </w:rPr>
  </w:style>
  <w:style w:type="paragraph" w:customStyle="1" w:styleId="586">
    <w:name w:val="Char Char Char Char12"/>
    <w:basedOn w:val="1"/>
    <w:qFormat/>
    <w:uiPriority w:val="0"/>
    <w:rPr>
      <w:rFonts w:ascii="宋体" w:hAnsi="宋体" w:cs="宋体"/>
      <w:szCs w:val="24"/>
    </w:rPr>
  </w:style>
  <w:style w:type="paragraph" w:customStyle="1" w:styleId="587">
    <w:name w:val="标题 61"/>
    <w:basedOn w:val="1"/>
    <w:next w:val="1"/>
    <w:qFormat/>
    <w:uiPriority w:val="0"/>
    <w:pPr>
      <w:autoSpaceDE w:val="0"/>
      <w:autoSpaceDN w:val="0"/>
      <w:spacing w:before="60" w:line="240" w:lineRule="auto"/>
    </w:pPr>
    <w:rPr>
      <w:kern w:val="0"/>
      <w:szCs w:val="24"/>
    </w:rPr>
  </w:style>
  <w:style w:type="paragraph" w:customStyle="1" w:styleId="588">
    <w:name w:val="Char11"/>
    <w:basedOn w:val="1"/>
    <w:qFormat/>
    <w:uiPriority w:val="0"/>
    <w:pPr>
      <w:spacing w:line="240" w:lineRule="auto"/>
    </w:pPr>
    <w:rPr>
      <w:rFonts w:ascii="Tahoma" w:hAnsi="Tahoma"/>
      <w:szCs w:val="20"/>
    </w:rPr>
  </w:style>
  <w:style w:type="paragraph" w:customStyle="1" w:styleId="589">
    <w:name w:val="敏感表"/>
    <w:basedOn w:val="1"/>
    <w:next w:val="1"/>
    <w:qFormat/>
    <w:uiPriority w:val="0"/>
    <w:pPr>
      <w:topLinePunct/>
      <w:spacing w:line="240" w:lineRule="atLeast"/>
      <w:jc w:val="center"/>
      <w:textAlignment w:val="bottom"/>
    </w:pPr>
    <w:rPr>
      <w:kern w:val="0"/>
      <w:sz w:val="21"/>
      <w:szCs w:val="20"/>
    </w:rPr>
  </w:style>
  <w:style w:type="paragraph" w:customStyle="1" w:styleId="590">
    <w:name w:val="xl52"/>
    <w:basedOn w:val="1"/>
    <w:qFormat/>
    <w:uiPriority w:val="0"/>
    <w:pPr>
      <w:pBdr>
        <w:left w:val="single" w:color="auto" w:sz="8" w:space="0"/>
      </w:pBdr>
      <w:spacing w:before="100" w:beforeAutospacing="1" w:after="100" w:afterAutospacing="1" w:line="240" w:lineRule="auto"/>
      <w:jc w:val="center"/>
      <w:textAlignment w:val="center"/>
    </w:pPr>
    <w:rPr>
      <w:rFonts w:ascii="Arial Unicode MS" w:hAnsi="Arial Unicode MS" w:eastAsia="Arial Unicode MS" w:cs="Arial Unicode MS"/>
      <w:kern w:val="0"/>
      <w:szCs w:val="24"/>
    </w:rPr>
  </w:style>
  <w:style w:type="paragraph" w:customStyle="1" w:styleId="591">
    <w:name w:val="xl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b/>
      <w:bCs/>
      <w:kern w:val="0"/>
      <w:szCs w:val="24"/>
    </w:rPr>
  </w:style>
  <w:style w:type="paragraph" w:customStyle="1" w:styleId="592">
    <w:name w:val="Char Char Char3 Char Char Char2 Char"/>
    <w:basedOn w:val="1"/>
    <w:semiHidden/>
    <w:qFormat/>
    <w:uiPriority w:val="0"/>
    <w:rPr>
      <w:rFonts w:ascii="宋体" w:hAnsi="宋体" w:cs="宋体"/>
      <w:szCs w:val="26"/>
    </w:rPr>
  </w:style>
  <w:style w:type="paragraph" w:customStyle="1" w:styleId="593">
    <w:name w:val="xl94"/>
    <w:basedOn w:val="1"/>
    <w:qFormat/>
    <w:uiPriority w:val="0"/>
    <w:pPr>
      <w:pBdr>
        <w:top w:val="single" w:color="auto" w:sz="4" w:space="0"/>
        <w:bottom w:val="single" w:color="auto" w:sz="4" w:space="0"/>
        <w:right w:val="single" w:color="auto" w:sz="8" w:space="0"/>
      </w:pBdr>
      <w:spacing w:before="100" w:beforeAutospacing="1" w:after="100" w:afterAutospacing="1" w:line="240" w:lineRule="auto"/>
      <w:jc w:val="center"/>
    </w:pPr>
    <w:rPr>
      <w:rFonts w:ascii="宋体" w:hAnsi="宋体" w:cs="宋体"/>
      <w:kern w:val="0"/>
      <w:sz w:val="20"/>
      <w:szCs w:val="20"/>
    </w:rPr>
  </w:style>
  <w:style w:type="paragraph" w:customStyle="1" w:styleId="594">
    <w:name w:val="csp"/>
    <w:basedOn w:val="1"/>
    <w:qFormat/>
    <w:uiPriority w:val="0"/>
    <w:pPr>
      <w:spacing w:line="240" w:lineRule="auto"/>
      <w:jc w:val="center"/>
    </w:pPr>
    <w:rPr>
      <w:rFonts w:ascii="宋体" w:hAnsi="宋体" w:cs="宋体"/>
      <w:kern w:val="0"/>
      <w:sz w:val="21"/>
      <w:szCs w:val="30"/>
    </w:rPr>
  </w:style>
  <w:style w:type="paragraph" w:customStyle="1" w:styleId="595">
    <w:name w:val="封面正文"/>
    <w:qFormat/>
    <w:uiPriority w:val="0"/>
    <w:pPr>
      <w:spacing w:line="360" w:lineRule="auto"/>
      <w:jc w:val="both"/>
    </w:pPr>
    <w:rPr>
      <w:rFonts w:ascii="Times New Roman" w:hAnsi="Times New Roman" w:eastAsia="宋体" w:cs="Times New Roman"/>
      <w:lang w:val="en-US" w:eastAsia="zh-CN" w:bidi="ar-SA"/>
    </w:rPr>
  </w:style>
  <w:style w:type="paragraph" w:customStyle="1" w:styleId="596">
    <w:name w:val="无间隔11"/>
    <w:qFormat/>
    <w:uiPriority w:val="0"/>
    <w:pPr>
      <w:widowControl w:val="0"/>
      <w:spacing w:line="360" w:lineRule="auto"/>
      <w:jc w:val="both"/>
    </w:pPr>
    <w:rPr>
      <w:rFonts w:ascii="Calibri" w:hAnsi="Calibri" w:eastAsia="宋体" w:cs="Calibri"/>
      <w:kern w:val="2"/>
      <w:sz w:val="21"/>
      <w:szCs w:val="21"/>
      <w:lang w:val="en-US" w:eastAsia="zh-CN" w:bidi="ar-SA"/>
    </w:rPr>
  </w:style>
  <w:style w:type="paragraph" w:customStyle="1" w:styleId="597">
    <w:name w:val="CM101"/>
    <w:basedOn w:val="131"/>
    <w:next w:val="131"/>
    <w:qFormat/>
    <w:uiPriority w:val="0"/>
    <w:pPr>
      <w:adjustRightInd w:val="0"/>
      <w:spacing w:after="325"/>
    </w:pPr>
    <w:rPr>
      <w:color w:val="auto"/>
    </w:rPr>
  </w:style>
  <w:style w:type="paragraph" w:customStyle="1" w:styleId="598">
    <w:name w:val="样式1.1.1"/>
    <w:basedOn w:val="1"/>
    <w:qFormat/>
    <w:uiPriority w:val="0"/>
    <w:rPr>
      <w:rFonts w:hAnsi="宋体"/>
      <w:b/>
      <w:sz w:val="28"/>
      <w:szCs w:val="20"/>
    </w:rPr>
  </w:style>
  <w:style w:type="paragraph" w:customStyle="1" w:styleId="599">
    <w:name w:val="font24"/>
    <w:basedOn w:val="1"/>
    <w:qFormat/>
    <w:uiPriority w:val="0"/>
    <w:pPr>
      <w:spacing w:before="100" w:beforeAutospacing="1" w:after="100" w:afterAutospacing="1" w:line="240" w:lineRule="auto"/>
    </w:pPr>
    <w:rPr>
      <w:rFonts w:ascii="宋体" w:hAnsi="宋体" w:cs="宋体"/>
      <w:kern w:val="0"/>
      <w:sz w:val="20"/>
      <w:szCs w:val="20"/>
    </w:rPr>
  </w:style>
  <w:style w:type="paragraph" w:customStyle="1" w:styleId="600">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01">
    <w:name w:val="样式 标题 2 + 段前: 1 行1"/>
    <w:basedOn w:val="7"/>
    <w:qFormat/>
    <w:uiPriority w:val="0"/>
    <w:pPr>
      <w:tabs>
        <w:tab w:val="left" w:pos="860"/>
        <w:tab w:val="left" w:pos="3128"/>
      </w:tabs>
      <w:spacing w:before="260" w:line="500" w:lineRule="exact"/>
      <w:ind w:left="840" w:hanging="420"/>
      <w:jc w:val="both"/>
      <w:textAlignment w:val="baseline"/>
    </w:pPr>
    <w:rPr>
      <w:rFonts w:ascii="宋体" w:hAnsi="宋体" w:eastAsia="宋体"/>
      <w:b w:val="0"/>
      <w:color w:val="000000"/>
      <w:spacing w:val="4"/>
      <w:kern w:val="0"/>
      <w:sz w:val="28"/>
      <w:szCs w:val="28"/>
    </w:rPr>
  </w:style>
  <w:style w:type="paragraph" w:customStyle="1" w:styleId="602">
    <w:name w:val="普通(网站)1"/>
    <w:basedOn w:val="1"/>
    <w:qFormat/>
    <w:uiPriority w:val="0"/>
    <w:pPr>
      <w:spacing w:before="100" w:beforeAutospacing="1" w:after="100" w:afterAutospacing="1" w:line="240" w:lineRule="auto"/>
    </w:pPr>
    <w:rPr>
      <w:rFonts w:ascii="宋体" w:hAnsi="宋体" w:cs="宋体"/>
      <w:kern w:val="0"/>
      <w:szCs w:val="24"/>
    </w:rPr>
  </w:style>
  <w:style w:type="paragraph" w:customStyle="1" w:styleId="603">
    <w:name w:val="CM18"/>
    <w:basedOn w:val="131"/>
    <w:next w:val="131"/>
    <w:qFormat/>
    <w:uiPriority w:val="0"/>
    <w:pPr>
      <w:adjustRightInd w:val="0"/>
      <w:spacing w:line="468" w:lineRule="atLeast"/>
    </w:pPr>
    <w:rPr>
      <w:rFonts w:ascii="隶书" w:eastAsia="隶书"/>
      <w:color w:val="auto"/>
    </w:rPr>
  </w:style>
  <w:style w:type="paragraph" w:customStyle="1" w:styleId="604">
    <w:name w:val="样式 正文1111111 + 首行缩进:  2 字符1"/>
    <w:basedOn w:val="498"/>
    <w:qFormat/>
    <w:uiPriority w:val="0"/>
    <w:pPr>
      <w:spacing w:line="360" w:lineRule="auto"/>
    </w:pPr>
  </w:style>
  <w:style w:type="paragraph" w:customStyle="1" w:styleId="605">
    <w:name w:val="样式4"/>
    <w:basedOn w:val="9"/>
    <w:link w:val="606"/>
    <w:qFormat/>
    <w:uiPriority w:val="0"/>
    <w:pPr>
      <w:keepNext/>
      <w:keepLines/>
    </w:pPr>
    <w:rPr>
      <w:rFonts w:ascii="宋体" w:hAnsi="宋体"/>
      <w:b w:val="0"/>
      <w:bCs/>
      <w:szCs w:val="24"/>
    </w:rPr>
  </w:style>
  <w:style w:type="character" w:customStyle="1" w:styleId="606">
    <w:name w:val="样式4 Char"/>
    <w:link w:val="605"/>
    <w:qFormat/>
    <w:uiPriority w:val="0"/>
    <w:rPr>
      <w:rFonts w:ascii="宋体" w:hAnsi="宋体"/>
      <w:bCs/>
      <w:kern w:val="2"/>
      <w:sz w:val="24"/>
      <w:szCs w:val="24"/>
    </w:rPr>
  </w:style>
  <w:style w:type="paragraph" w:customStyle="1" w:styleId="607">
    <w:name w:val="建设单位名称"/>
    <w:basedOn w:val="1"/>
    <w:qFormat/>
    <w:uiPriority w:val="0"/>
    <w:pPr>
      <w:spacing w:line="240" w:lineRule="auto"/>
      <w:jc w:val="center"/>
    </w:pPr>
    <w:rPr>
      <w:b/>
      <w:sz w:val="36"/>
      <w:szCs w:val="36"/>
    </w:rPr>
  </w:style>
  <w:style w:type="paragraph" w:customStyle="1" w:styleId="608">
    <w:name w:val="王向东正文"/>
    <w:qFormat/>
    <w:uiPriority w:val="0"/>
    <w:pPr>
      <w:spacing w:line="360" w:lineRule="auto"/>
      <w:ind w:right="17" w:rightChars="8" w:firstLine="480" w:firstLineChars="200"/>
    </w:pPr>
    <w:rPr>
      <w:rFonts w:ascii="宋体" w:hAnsi="宋体" w:eastAsia="宋体" w:cs="幼圆"/>
      <w:kern w:val="2"/>
      <w:sz w:val="24"/>
      <w:szCs w:val="24"/>
      <w:lang w:val="en-US" w:eastAsia="zh-CN" w:bidi="ar-SA"/>
    </w:rPr>
  </w:style>
  <w:style w:type="paragraph" w:customStyle="1" w:styleId="609">
    <w:name w:val="默认段落字体 Para Char Char Char Char"/>
    <w:basedOn w:val="1"/>
    <w:qFormat/>
    <w:uiPriority w:val="0"/>
    <w:pPr>
      <w:spacing w:line="240" w:lineRule="auto"/>
    </w:pPr>
    <w:rPr>
      <w:rFonts w:ascii="Arial" w:hAnsi="Arial"/>
      <w:sz w:val="21"/>
    </w:rPr>
  </w:style>
  <w:style w:type="paragraph" w:customStyle="1" w:styleId="610">
    <w:name w:val="Char1"/>
    <w:basedOn w:val="1"/>
    <w:qFormat/>
    <w:uiPriority w:val="0"/>
    <w:rPr>
      <w:rFonts w:ascii="宋体" w:hAnsi="宋体" w:cs="宋体"/>
      <w:szCs w:val="26"/>
    </w:rPr>
  </w:style>
  <w:style w:type="paragraph" w:customStyle="1" w:styleId="611">
    <w:name w:val="换行"/>
    <w:basedOn w:val="1"/>
    <w:qFormat/>
    <w:uiPriority w:val="0"/>
    <w:pPr>
      <w:spacing w:line="240" w:lineRule="auto"/>
      <w:ind w:firstLine="480"/>
    </w:pPr>
    <w:rPr>
      <w:rFonts w:ascii="Arial" w:hAnsi="Arial"/>
      <w:sz w:val="18"/>
      <w:szCs w:val="24"/>
    </w:rPr>
  </w:style>
  <w:style w:type="paragraph" w:customStyle="1" w:styleId="612">
    <w:name w:val="前言、引言标题"/>
    <w:next w:val="1"/>
    <w:qFormat/>
    <w:uiPriority w:val="0"/>
    <w:pPr>
      <w:shd w:val="clear" w:color="FFFFFF" w:fill="FFFFFF"/>
      <w:tabs>
        <w:tab w:val="left" w:pos="903"/>
      </w:tabs>
      <w:spacing w:before="640" w:after="560" w:line="360" w:lineRule="auto"/>
      <w:ind w:left="903" w:hanging="315"/>
      <w:jc w:val="center"/>
      <w:outlineLvl w:val="0"/>
    </w:pPr>
    <w:rPr>
      <w:rFonts w:ascii="黑体" w:hAnsi="Times New Roman" w:eastAsia="黑体" w:cs="Times New Roman"/>
      <w:sz w:val="32"/>
      <w:lang w:val="en-US" w:eastAsia="zh-CN" w:bidi="ar-SA"/>
    </w:rPr>
  </w:style>
  <w:style w:type="paragraph" w:customStyle="1" w:styleId="613">
    <w:name w:val="2"/>
    <w:basedOn w:val="1"/>
    <w:next w:val="3"/>
    <w:qFormat/>
    <w:uiPriority w:val="0"/>
    <w:pPr>
      <w:spacing w:line="440" w:lineRule="exact"/>
      <w:ind w:left="902" w:firstLine="480"/>
    </w:pPr>
    <w:rPr>
      <w:rFonts w:ascii="宋体" w:hAnsi="宋体"/>
      <w:szCs w:val="20"/>
    </w:rPr>
  </w:style>
  <w:style w:type="paragraph" w:customStyle="1" w:styleId="614">
    <w:name w:val="正文首行缩进:  2 字符"/>
    <w:basedOn w:val="1"/>
    <w:qFormat/>
    <w:uiPriority w:val="0"/>
    <w:pPr>
      <w:spacing w:line="500" w:lineRule="exact"/>
      <w:ind w:firstLine="480"/>
    </w:pPr>
    <w:rPr>
      <w:szCs w:val="20"/>
    </w:rPr>
  </w:style>
  <w:style w:type="paragraph" w:customStyle="1" w:styleId="615">
    <w:name w:val="Char Char Char Char Char Char Char Char Char Char Char Char Char Char Char Char"/>
    <w:basedOn w:val="1"/>
    <w:qFormat/>
    <w:uiPriority w:val="0"/>
    <w:pPr>
      <w:spacing w:line="240" w:lineRule="auto"/>
    </w:pPr>
    <w:rPr>
      <w:sz w:val="21"/>
      <w:szCs w:val="24"/>
    </w:rPr>
  </w:style>
  <w:style w:type="paragraph" w:customStyle="1" w:styleId="616">
    <w:name w:val="Char Char Char Char Char Char1 Char Char Char Char Char Char Char Char Char Char Char Char Char"/>
    <w:basedOn w:val="1"/>
    <w:qFormat/>
    <w:uiPriority w:val="0"/>
    <w:pPr>
      <w:spacing w:after="160" w:line="240" w:lineRule="exact"/>
    </w:pPr>
    <w:rPr>
      <w:rFonts w:ascii="Arial" w:hAnsi="Arial" w:eastAsia="Times New Roman" w:cs="Verdana"/>
      <w:b/>
      <w:kern w:val="0"/>
      <w:szCs w:val="20"/>
      <w:lang w:eastAsia="en-US"/>
    </w:rPr>
  </w:style>
  <w:style w:type="paragraph" w:customStyle="1" w:styleId="617">
    <w:name w:val="font7"/>
    <w:basedOn w:val="1"/>
    <w:qFormat/>
    <w:uiPriority w:val="0"/>
    <w:pPr>
      <w:spacing w:before="100" w:beforeAutospacing="1" w:after="100" w:afterAutospacing="1" w:line="240" w:lineRule="auto"/>
    </w:pPr>
    <w:rPr>
      <w:rFonts w:hint="eastAsia" w:ascii="宋体" w:hAnsi="宋体"/>
      <w:kern w:val="0"/>
      <w:szCs w:val="24"/>
    </w:rPr>
  </w:style>
  <w:style w:type="paragraph" w:customStyle="1" w:styleId="618">
    <w:name w:val="列出段落2"/>
    <w:basedOn w:val="1"/>
    <w:qFormat/>
    <w:uiPriority w:val="0"/>
    <w:pPr>
      <w:spacing w:line="240" w:lineRule="auto"/>
      <w:ind w:firstLine="420"/>
    </w:pPr>
    <w:rPr>
      <w:rFonts w:ascii="宋体" w:hAnsi="宋体" w:cs="宋体"/>
      <w:kern w:val="0"/>
    </w:rPr>
  </w:style>
  <w:style w:type="paragraph" w:customStyle="1" w:styleId="619">
    <w:name w:val="2 Char"/>
    <w:basedOn w:val="1"/>
    <w:qFormat/>
    <w:uiPriority w:val="0"/>
    <w:pPr>
      <w:spacing w:line="560" w:lineRule="exact"/>
    </w:pPr>
    <w:rPr>
      <w:rFonts w:ascii="仿宋_GB2312" w:eastAsia="仿宋_GB2312"/>
      <w:sz w:val="28"/>
      <w:szCs w:val="28"/>
    </w:rPr>
  </w:style>
  <w:style w:type="paragraph" w:customStyle="1" w:styleId="620">
    <w:name w:val="xl92"/>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21">
    <w:name w:val="Char Char Char1 Char Char Char1 Char Char Char Char Char Char Char Char Char Char Char Char1 Char Char Char Char Char Char Char"/>
    <w:basedOn w:val="1"/>
    <w:qFormat/>
    <w:uiPriority w:val="0"/>
    <w:pPr>
      <w:spacing w:after="160" w:line="240" w:lineRule="exact"/>
    </w:pPr>
    <w:rPr>
      <w:sz w:val="21"/>
      <w:szCs w:val="20"/>
    </w:rPr>
  </w:style>
  <w:style w:type="paragraph" w:customStyle="1" w:styleId="622">
    <w:name w:val="日期1"/>
    <w:basedOn w:val="1"/>
    <w:next w:val="1"/>
    <w:qFormat/>
    <w:uiPriority w:val="0"/>
    <w:pPr>
      <w:spacing w:line="240" w:lineRule="auto"/>
      <w:textAlignment w:val="baseline"/>
    </w:pPr>
    <w:rPr>
      <w:rFonts w:ascii="宋体"/>
      <w:spacing w:val="24"/>
      <w:kern w:val="24"/>
      <w:szCs w:val="20"/>
    </w:rPr>
  </w:style>
  <w:style w:type="paragraph" w:customStyle="1" w:styleId="623">
    <w:name w:val="Body Text 21"/>
    <w:basedOn w:val="1"/>
    <w:qFormat/>
    <w:uiPriority w:val="0"/>
    <w:pPr>
      <w:tabs>
        <w:tab w:val="left" w:pos="567"/>
      </w:tabs>
      <w:spacing w:line="410" w:lineRule="atLeast"/>
      <w:ind w:firstLine="480"/>
      <w:textAlignment w:val="baseline"/>
    </w:pPr>
    <w:rPr>
      <w:rFonts w:ascii="宋体"/>
      <w:kern w:val="0"/>
      <w:szCs w:val="20"/>
    </w:rPr>
  </w:style>
  <w:style w:type="paragraph" w:customStyle="1" w:styleId="624">
    <w:name w:val="正 文"/>
    <w:basedOn w:val="1"/>
    <w:link w:val="625"/>
    <w:qFormat/>
    <w:uiPriority w:val="0"/>
    <w:pPr>
      <w:spacing w:line="440" w:lineRule="exact"/>
    </w:pPr>
    <w:rPr>
      <w:rFonts w:hAnsi="宋体"/>
      <w:kern w:val="0"/>
      <w:szCs w:val="24"/>
    </w:rPr>
  </w:style>
  <w:style w:type="character" w:customStyle="1" w:styleId="625">
    <w:name w:val="正 文 Char"/>
    <w:link w:val="624"/>
    <w:qFormat/>
    <w:uiPriority w:val="0"/>
    <w:rPr>
      <w:rFonts w:hAnsi="宋体"/>
      <w:sz w:val="24"/>
      <w:szCs w:val="24"/>
    </w:rPr>
  </w:style>
  <w:style w:type="paragraph" w:customStyle="1" w:styleId="626">
    <w:name w:val="表格小五"/>
    <w:basedOn w:val="1"/>
    <w:qFormat/>
    <w:uiPriority w:val="0"/>
    <w:pPr>
      <w:ind w:left="-56" w:leftChars="-20" w:right="-56" w:rightChars="-20"/>
      <w:jc w:val="center"/>
      <w:textAlignment w:val="baseline"/>
    </w:pPr>
    <w:rPr>
      <w:rFonts w:ascii="Arial" w:hAnsi="Arial" w:cs="Arial"/>
      <w:snapToGrid w:val="0"/>
      <w:kern w:val="28"/>
      <w:szCs w:val="24"/>
    </w:rPr>
  </w:style>
  <w:style w:type="paragraph" w:customStyle="1" w:styleId="627">
    <w:name w:val="样式 列表 2 + 华文仿宋 居中"/>
    <w:basedOn w:val="32"/>
    <w:qFormat/>
    <w:uiPriority w:val="0"/>
    <w:pPr>
      <w:ind w:left="0" w:leftChars="0" w:firstLine="0" w:firstLineChars="0"/>
      <w:jc w:val="center"/>
    </w:pPr>
    <w:rPr>
      <w:color w:val="0000FF"/>
      <w:sz w:val="22"/>
      <w:szCs w:val="22"/>
    </w:rPr>
  </w:style>
  <w:style w:type="paragraph" w:customStyle="1" w:styleId="628">
    <w:name w:val="Char6"/>
    <w:basedOn w:val="1"/>
    <w:qFormat/>
    <w:uiPriority w:val="0"/>
    <w:pPr>
      <w:spacing w:line="240" w:lineRule="auto"/>
    </w:pPr>
    <w:rPr>
      <w:sz w:val="21"/>
      <w:szCs w:val="24"/>
    </w:rPr>
  </w:style>
  <w:style w:type="paragraph" w:customStyle="1" w:styleId="629">
    <w:name w:val="font26"/>
    <w:basedOn w:val="1"/>
    <w:qFormat/>
    <w:uiPriority w:val="0"/>
    <w:pPr>
      <w:spacing w:before="100" w:beforeAutospacing="1" w:after="100" w:afterAutospacing="1" w:line="240" w:lineRule="auto"/>
    </w:pPr>
    <w:rPr>
      <w:rFonts w:ascii="宋体" w:hAnsi="宋体" w:cs="宋体"/>
      <w:kern w:val="0"/>
      <w:sz w:val="20"/>
      <w:szCs w:val="20"/>
    </w:rPr>
  </w:style>
  <w:style w:type="paragraph" w:customStyle="1" w:styleId="630">
    <w:name w:val="font17"/>
    <w:basedOn w:val="1"/>
    <w:qFormat/>
    <w:uiPriority w:val="0"/>
    <w:pPr>
      <w:spacing w:before="100" w:beforeAutospacing="1" w:after="100" w:afterAutospacing="1" w:line="240" w:lineRule="auto"/>
    </w:pPr>
    <w:rPr>
      <w:rFonts w:ascii="宋体" w:hAnsi="宋体" w:cs="宋体"/>
      <w:kern w:val="0"/>
      <w:sz w:val="18"/>
      <w:szCs w:val="18"/>
    </w:rPr>
  </w:style>
  <w:style w:type="paragraph" w:customStyle="1" w:styleId="631">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kern w:val="0"/>
      <w:szCs w:val="24"/>
    </w:rPr>
  </w:style>
  <w:style w:type="paragraph" w:customStyle="1" w:styleId="632">
    <w:name w:val="表内式样"/>
    <w:qFormat/>
    <w:uiPriority w:val="0"/>
    <w:pPr>
      <w:keepLines/>
      <w:widowControl w:val="0"/>
      <w:kinsoku w:val="0"/>
      <w:overflowPunct w:val="0"/>
      <w:adjustRightInd w:val="0"/>
      <w:spacing w:line="360" w:lineRule="auto"/>
      <w:jc w:val="center"/>
    </w:pPr>
    <w:rPr>
      <w:rFonts w:ascii="宋体" w:hAnsi="Times New Roman" w:eastAsia="宋体" w:cs="Times New Roman"/>
      <w:sz w:val="21"/>
      <w:szCs w:val="21"/>
      <w:lang w:val="en-US" w:eastAsia="zh-CN" w:bidi="ar-SA"/>
    </w:rPr>
  </w:style>
  <w:style w:type="paragraph" w:customStyle="1" w:styleId="633">
    <w:name w:val="样式 题注 + 首行缩进:  2 字符1"/>
    <w:basedOn w:val="22"/>
    <w:qFormat/>
    <w:uiPriority w:val="0"/>
    <w:pPr>
      <w:adjustRightInd/>
      <w:spacing w:before="152" w:afterLines="40" w:line="440" w:lineRule="exact"/>
      <w:jc w:val="center"/>
      <w:textAlignment w:val="auto"/>
    </w:pPr>
    <w:rPr>
      <w:rFonts w:ascii="宋体" w:hAnsi="宋体" w:eastAsia="宋体"/>
      <w:b w:val="0"/>
      <w:bCs w:val="0"/>
      <w:color w:val="auto"/>
      <w:kern w:val="2"/>
      <w:sz w:val="21"/>
      <w:szCs w:val="20"/>
    </w:rPr>
  </w:style>
  <w:style w:type="paragraph" w:customStyle="1" w:styleId="634">
    <w:name w:val="xl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kern w:val="0"/>
      <w:szCs w:val="24"/>
    </w:rPr>
  </w:style>
  <w:style w:type="paragraph" w:customStyle="1" w:styleId="635">
    <w:name w:val="Char Char1 Char Char Char Char2"/>
    <w:basedOn w:val="1"/>
    <w:qFormat/>
    <w:uiPriority w:val="0"/>
    <w:pPr>
      <w:spacing w:line="240" w:lineRule="auto"/>
    </w:pPr>
    <w:rPr>
      <w:szCs w:val="24"/>
    </w:rPr>
  </w:style>
  <w:style w:type="paragraph" w:customStyle="1" w:styleId="636">
    <w:name w:val="标题22222"/>
    <w:basedOn w:val="1"/>
    <w:qFormat/>
    <w:uiPriority w:val="0"/>
    <w:pPr>
      <w:spacing w:before="120" w:line="300" w:lineRule="auto"/>
    </w:pPr>
    <w:rPr>
      <w:rFonts w:ascii="黑体" w:eastAsia="黑体" w:cs="宋体"/>
      <w:b/>
      <w:bCs/>
      <w:sz w:val="28"/>
      <w:szCs w:val="20"/>
    </w:rPr>
  </w:style>
  <w:style w:type="paragraph" w:customStyle="1" w:styleId="637">
    <w:name w:val="Char Char Char Char Char Char Char2"/>
    <w:basedOn w:val="1"/>
    <w:qFormat/>
    <w:uiPriority w:val="0"/>
    <w:pPr>
      <w:spacing w:line="240" w:lineRule="auto"/>
    </w:pPr>
    <w:rPr>
      <w:sz w:val="21"/>
      <w:szCs w:val="24"/>
    </w:rPr>
  </w:style>
  <w:style w:type="paragraph" w:customStyle="1" w:styleId="638">
    <w:name w:val="表格正文"/>
    <w:basedOn w:val="1"/>
    <w:link w:val="639"/>
    <w:qFormat/>
    <w:uiPriority w:val="0"/>
    <w:pPr>
      <w:spacing w:line="360" w:lineRule="exact"/>
      <w:jc w:val="center"/>
    </w:pPr>
    <w:rPr>
      <w:color w:val="000000"/>
      <w:sz w:val="21"/>
      <w:szCs w:val="20"/>
    </w:rPr>
  </w:style>
  <w:style w:type="character" w:customStyle="1" w:styleId="639">
    <w:name w:val="表格正文 Char Char"/>
    <w:link w:val="638"/>
    <w:qFormat/>
    <w:uiPriority w:val="0"/>
    <w:rPr>
      <w:color w:val="000000"/>
      <w:kern w:val="2"/>
      <w:sz w:val="21"/>
    </w:rPr>
  </w:style>
  <w:style w:type="paragraph" w:customStyle="1" w:styleId="640">
    <w:name w:val="样式 标题2222"/>
    <w:basedOn w:val="1"/>
    <w:qFormat/>
    <w:uiPriority w:val="0"/>
    <w:pPr>
      <w:spacing w:before="120" w:line="300" w:lineRule="auto"/>
    </w:pPr>
    <w:rPr>
      <w:rFonts w:ascii="黑体" w:eastAsia="黑体" w:cs="宋体"/>
      <w:b/>
      <w:bCs/>
      <w:sz w:val="28"/>
      <w:szCs w:val="20"/>
    </w:rPr>
  </w:style>
  <w:style w:type="paragraph" w:customStyle="1" w:styleId="641">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42">
    <w:name w:val="Char Char Char Char Char Char Char Char Char Char"/>
    <w:basedOn w:val="1"/>
    <w:qFormat/>
    <w:uiPriority w:val="0"/>
    <w:pPr>
      <w:spacing w:line="240" w:lineRule="auto"/>
    </w:pPr>
    <w:rPr>
      <w:sz w:val="21"/>
      <w:szCs w:val="20"/>
    </w:rPr>
  </w:style>
  <w:style w:type="paragraph" w:customStyle="1" w:styleId="643">
    <w:name w:val="xl102"/>
    <w:basedOn w:val="1"/>
    <w:qFormat/>
    <w:uiPriority w:val="0"/>
    <w:pPr>
      <w:pBdr>
        <w:bottom w:val="single" w:color="auto" w:sz="8" w:space="0"/>
        <w:right w:val="single" w:color="auto" w:sz="8" w:space="0"/>
      </w:pBdr>
      <w:spacing w:before="100" w:beforeAutospacing="1" w:after="100" w:afterAutospacing="1" w:line="240" w:lineRule="auto"/>
      <w:jc w:val="center"/>
    </w:pPr>
    <w:rPr>
      <w:rFonts w:ascii="宋体" w:hAnsi="宋体" w:cs="宋体"/>
      <w:b/>
      <w:bCs/>
      <w:kern w:val="0"/>
      <w:szCs w:val="24"/>
    </w:rPr>
  </w:style>
  <w:style w:type="paragraph" w:customStyle="1" w:styleId="644">
    <w:name w:val="列出段落1"/>
    <w:basedOn w:val="1"/>
    <w:qFormat/>
    <w:uiPriority w:val="0"/>
    <w:pPr>
      <w:spacing w:line="240" w:lineRule="auto"/>
      <w:ind w:firstLine="420"/>
    </w:pPr>
    <w:rPr>
      <w:sz w:val="21"/>
    </w:rPr>
  </w:style>
  <w:style w:type="paragraph" w:customStyle="1" w:styleId="645">
    <w:name w:val="正文一"/>
    <w:basedOn w:val="646"/>
    <w:qFormat/>
    <w:uiPriority w:val="0"/>
    <w:pPr>
      <w:jc w:val="both"/>
    </w:pPr>
    <w:rPr>
      <w:rFonts w:ascii="宋体" w:eastAsia="宋体" w:cs="宋体"/>
      <w:spacing w:val="6"/>
      <w:sz w:val="24"/>
      <w:szCs w:val="24"/>
    </w:rPr>
  </w:style>
  <w:style w:type="paragraph" w:customStyle="1" w:styleId="646">
    <w:name w:val="标题居中"/>
    <w:qFormat/>
    <w:uiPriority w:val="0"/>
    <w:pPr>
      <w:adjustRightInd w:val="0"/>
      <w:snapToGrid w:val="0"/>
      <w:spacing w:line="480" w:lineRule="atLeast"/>
      <w:jc w:val="center"/>
    </w:pPr>
    <w:rPr>
      <w:rFonts w:ascii="黑体" w:hAnsi="Times New Roman" w:eastAsia="黑体" w:cs="黑体"/>
      <w:sz w:val="32"/>
      <w:szCs w:val="32"/>
      <w:lang w:val="en-US" w:eastAsia="zh-CN" w:bidi="ar-SA"/>
    </w:rPr>
  </w:style>
  <w:style w:type="paragraph" w:customStyle="1" w:styleId="647">
    <w:name w:val="表格头"/>
    <w:basedOn w:val="1"/>
    <w:qFormat/>
    <w:uiPriority w:val="0"/>
    <w:pPr>
      <w:spacing w:line="348" w:lineRule="auto"/>
      <w:jc w:val="center"/>
    </w:pPr>
    <w:rPr>
      <w:sz w:val="28"/>
      <w:szCs w:val="24"/>
    </w:rPr>
  </w:style>
  <w:style w:type="paragraph" w:customStyle="1" w:styleId="648">
    <w:name w:val="地址"/>
    <w:basedOn w:val="31"/>
    <w:qFormat/>
    <w:uiPriority w:val="0"/>
    <w:pPr>
      <w:keepLines/>
      <w:overflowPunct w:val="0"/>
      <w:autoSpaceDE w:val="0"/>
      <w:autoSpaceDN w:val="0"/>
      <w:spacing w:after="0" w:line="240" w:lineRule="auto"/>
      <w:ind w:left="-1800" w:right="1080"/>
      <w:jc w:val="center"/>
      <w:textAlignment w:val="baseline"/>
    </w:pPr>
    <w:rPr>
      <w:rFonts w:ascii="Arial" w:hAnsi="Arial"/>
      <w:i/>
      <w:sz w:val="22"/>
    </w:rPr>
  </w:style>
  <w:style w:type="paragraph" w:customStyle="1" w:styleId="649">
    <w:name w:val="样式 标题 4Char1.1.1.1标题 4.1.1.1.1款1.1.1.1 Char标4§1.1.1.1§1....1"/>
    <w:basedOn w:val="9"/>
    <w:qFormat/>
    <w:uiPriority w:val="0"/>
    <w:pPr>
      <w:tabs>
        <w:tab w:val="left" w:pos="980"/>
      </w:tabs>
      <w:spacing w:line="276" w:lineRule="auto"/>
    </w:pPr>
    <w:rPr>
      <w:rFonts w:ascii="Arial Narrow" w:hAnsi="Arial Narrow"/>
      <w:b w:val="0"/>
      <w:lang w:val="en-GB"/>
    </w:rPr>
  </w:style>
  <w:style w:type="paragraph" w:customStyle="1" w:styleId="650">
    <w:name w:val="正文1111111111"/>
    <w:basedOn w:val="1"/>
    <w:qFormat/>
    <w:uiPriority w:val="0"/>
    <w:rPr>
      <w:rFonts w:cs="宋体"/>
      <w:szCs w:val="20"/>
    </w:rPr>
  </w:style>
  <w:style w:type="paragraph" w:customStyle="1" w:styleId="651">
    <w:name w:val="表文排版"/>
    <w:basedOn w:val="31"/>
    <w:qFormat/>
    <w:uiPriority w:val="0"/>
    <w:pPr>
      <w:spacing w:after="0" w:line="240" w:lineRule="auto"/>
      <w:jc w:val="center"/>
    </w:pPr>
    <w:rPr>
      <w:kern w:val="2"/>
      <w:sz w:val="22"/>
      <w:szCs w:val="24"/>
    </w:rPr>
  </w:style>
  <w:style w:type="paragraph" w:customStyle="1" w:styleId="652">
    <w:name w:val="z正文"/>
    <w:basedOn w:val="3"/>
    <w:qFormat/>
    <w:uiPriority w:val="0"/>
    <w:pPr>
      <w:autoSpaceDE w:val="0"/>
      <w:autoSpaceDN w:val="0"/>
      <w:ind w:firstLine="200" w:firstLineChars="200"/>
      <w:textAlignment w:val="baseline"/>
    </w:pPr>
    <w:rPr>
      <w:rFonts w:ascii="Times New Roman" w:eastAsia="宋体"/>
      <w:snapToGrid/>
      <w:sz w:val="24"/>
      <w:szCs w:val="24"/>
    </w:rPr>
  </w:style>
  <w:style w:type="paragraph" w:customStyle="1" w:styleId="653">
    <w:name w:val="正文 + 小四"/>
    <w:basedOn w:val="1"/>
    <w:qFormat/>
    <w:uiPriority w:val="0"/>
    <w:pPr>
      <w:spacing w:line="480" w:lineRule="exact"/>
      <w:ind w:firstLine="560"/>
    </w:pPr>
    <w:rPr>
      <w:szCs w:val="24"/>
    </w:rPr>
  </w:style>
  <w:style w:type="paragraph" w:customStyle="1" w:styleId="654">
    <w:name w:val="样式 样式 标题2 + 段前: 0.5 行 + 段前: 0.5 行"/>
    <w:basedOn w:val="523"/>
    <w:qFormat/>
    <w:uiPriority w:val="0"/>
    <w:pPr>
      <w:snapToGrid/>
      <w:spacing w:before="156" w:afterLines="0" w:line="300" w:lineRule="auto"/>
      <w:jc w:val="both"/>
      <w:outlineLvl w:val="1"/>
    </w:pPr>
    <w:rPr>
      <w:rFonts w:ascii="黑体" w:hAnsi="Times New Roman"/>
      <w:b/>
      <w:bCs/>
      <w:kern w:val="2"/>
      <w:szCs w:val="28"/>
    </w:rPr>
  </w:style>
  <w:style w:type="paragraph" w:customStyle="1" w:styleId="655">
    <w:name w:val="小表文居中"/>
    <w:basedOn w:val="1"/>
    <w:qFormat/>
    <w:uiPriority w:val="0"/>
    <w:pPr>
      <w:autoSpaceDE w:val="0"/>
      <w:autoSpaceDN w:val="0"/>
      <w:spacing w:before="20" w:line="240" w:lineRule="auto"/>
      <w:jc w:val="center"/>
      <w:textAlignment w:val="baseline"/>
    </w:pPr>
    <w:rPr>
      <w:kern w:val="0"/>
      <w:sz w:val="18"/>
      <w:szCs w:val="20"/>
    </w:rPr>
  </w:style>
  <w:style w:type="paragraph" w:customStyle="1" w:styleId="656">
    <w:name w:val="Char Char Char Char3"/>
    <w:basedOn w:val="1"/>
    <w:qFormat/>
    <w:uiPriority w:val="0"/>
    <w:pPr>
      <w:spacing w:line="240" w:lineRule="auto"/>
    </w:pPr>
    <w:rPr>
      <w:rFonts w:ascii="宋体"/>
      <w:kern w:val="0"/>
      <w:szCs w:val="20"/>
    </w:rPr>
  </w:style>
  <w:style w:type="paragraph" w:customStyle="1" w:styleId="657">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58">
    <w:name w:val="三级条标题"/>
    <w:basedOn w:val="288"/>
    <w:next w:val="1"/>
    <w:qFormat/>
    <w:uiPriority w:val="0"/>
    <w:pPr>
      <w:outlineLvl w:val="4"/>
    </w:pPr>
  </w:style>
  <w:style w:type="paragraph" w:customStyle="1" w:styleId="659">
    <w:name w:val="xl40"/>
    <w:basedOn w:val="1"/>
    <w:qFormat/>
    <w:uiPriority w:val="0"/>
    <w:pPr>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Cs w:val="24"/>
    </w:rPr>
  </w:style>
  <w:style w:type="paragraph" w:customStyle="1" w:styleId="660">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661">
    <w:name w:val="无间隔3"/>
    <w:qFormat/>
    <w:uiPriority w:val="0"/>
    <w:pPr>
      <w:widowControl w:val="0"/>
      <w:spacing w:line="360" w:lineRule="auto"/>
      <w:jc w:val="both"/>
    </w:pPr>
    <w:rPr>
      <w:rFonts w:ascii="Calibri" w:hAnsi="Calibri" w:eastAsia="宋体" w:cs="Calibri"/>
      <w:kern w:val="2"/>
      <w:sz w:val="21"/>
      <w:szCs w:val="21"/>
      <w:lang w:val="en-US" w:eastAsia="zh-CN" w:bidi="ar-SA"/>
    </w:rPr>
  </w:style>
  <w:style w:type="paragraph" w:customStyle="1" w:styleId="662">
    <w:name w:val="日期3"/>
    <w:basedOn w:val="1"/>
    <w:next w:val="1"/>
    <w:qFormat/>
    <w:uiPriority w:val="0"/>
    <w:pPr>
      <w:spacing w:line="240" w:lineRule="auto"/>
      <w:textAlignment w:val="baseline"/>
    </w:pPr>
    <w:rPr>
      <w:sz w:val="21"/>
      <w:szCs w:val="20"/>
    </w:rPr>
  </w:style>
  <w:style w:type="paragraph" w:customStyle="1" w:styleId="663">
    <w:name w:val="Char2 Char Char Char Char Char Char"/>
    <w:basedOn w:val="1"/>
    <w:qFormat/>
    <w:uiPriority w:val="0"/>
    <w:pPr>
      <w:spacing w:line="240" w:lineRule="auto"/>
    </w:pPr>
    <w:rPr>
      <w:sz w:val="21"/>
      <w:szCs w:val="24"/>
    </w:rPr>
  </w:style>
  <w:style w:type="paragraph" w:customStyle="1" w:styleId="664">
    <w:name w:val="xl93"/>
    <w:basedOn w:val="1"/>
    <w:qFormat/>
    <w:uiPriority w:val="0"/>
    <w:pPr>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65">
    <w:name w:val="标准书脚_奇数页"/>
    <w:qFormat/>
    <w:uiPriority w:val="0"/>
    <w:pPr>
      <w:spacing w:before="120" w:line="360" w:lineRule="auto"/>
      <w:jc w:val="right"/>
    </w:pPr>
    <w:rPr>
      <w:rFonts w:ascii="Times New Roman" w:hAnsi="Times New Roman" w:eastAsia="宋体" w:cs="Times New Roman"/>
      <w:sz w:val="18"/>
      <w:lang w:val="en-US" w:eastAsia="zh-CN" w:bidi="ar-SA"/>
    </w:rPr>
  </w:style>
  <w:style w:type="paragraph" w:customStyle="1" w:styleId="666">
    <w:name w:val="Char Char Char Char2"/>
    <w:basedOn w:val="1"/>
    <w:qFormat/>
    <w:uiPriority w:val="0"/>
    <w:pPr>
      <w:spacing w:line="240" w:lineRule="auto"/>
    </w:pPr>
    <w:rPr>
      <w:sz w:val="21"/>
      <w:szCs w:val="24"/>
    </w:rPr>
  </w:style>
  <w:style w:type="paragraph" w:customStyle="1" w:styleId="667">
    <w:name w:val="缺省文本_宋体"/>
    <w:basedOn w:val="1"/>
    <w:qFormat/>
    <w:uiPriority w:val="0"/>
    <w:pPr>
      <w:tabs>
        <w:tab w:val="left" w:pos="525"/>
        <w:tab w:val="center" w:pos="5670"/>
        <w:tab w:val="right" w:pos="7655"/>
      </w:tabs>
      <w:spacing w:before="80" w:after="120"/>
      <w:outlineLvl w:val="7"/>
    </w:pPr>
    <w:rPr>
      <w:spacing w:val="16"/>
      <w:kern w:val="28"/>
      <w:szCs w:val="20"/>
    </w:rPr>
  </w:style>
  <w:style w:type="paragraph" w:customStyle="1" w:styleId="668">
    <w:name w:val="正文文本缩进1"/>
    <w:basedOn w:val="1"/>
    <w:qFormat/>
    <w:uiPriority w:val="0"/>
    <w:pPr>
      <w:spacing w:line="320" w:lineRule="exact"/>
    </w:pPr>
    <w:rPr>
      <w:sz w:val="18"/>
      <w:szCs w:val="18"/>
    </w:rPr>
  </w:style>
  <w:style w:type="paragraph" w:customStyle="1" w:styleId="669">
    <w:name w:val="Char Char1 Char Char Char Char"/>
    <w:basedOn w:val="1"/>
    <w:qFormat/>
    <w:uiPriority w:val="0"/>
    <w:pPr>
      <w:spacing w:line="240" w:lineRule="auto"/>
    </w:pPr>
    <w:rPr>
      <w:szCs w:val="24"/>
    </w:rPr>
  </w:style>
  <w:style w:type="paragraph" w:customStyle="1" w:styleId="670">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宋体" w:hAnsi="宋体"/>
      <w:kern w:val="0"/>
      <w:szCs w:val="24"/>
    </w:rPr>
  </w:style>
  <w:style w:type="paragraph" w:customStyle="1" w:styleId="671">
    <w:name w:val="样式 标题 4L4 + 行距: 最小值 24 磅"/>
    <w:basedOn w:val="9"/>
    <w:qFormat/>
    <w:uiPriority w:val="0"/>
    <w:pPr>
      <w:tabs>
        <w:tab w:val="left" w:pos="851"/>
      </w:tabs>
      <w:spacing w:line="480" w:lineRule="exact"/>
      <w:ind w:left="851" w:hanging="851"/>
    </w:pPr>
    <w:rPr>
      <w:rFonts w:ascii="宋体" w:hAnsi="宋体"/>
      <w:b w:val="0"/>
      <w:bCs/>
      <w:color w:val="000000"/>
    </w:rPr>
  </w:style>
  <w:style w:type="paragraph" w:customStyle="1" w:styleId="672">
    <w:name w:val="样式11"/>
    <w:basedOn w:val="1"/>
    <w:unhideWhenUsed/>
    <w:qFormat/>
    <w:uiPriority w:val="0"/>
    <w:pPr>
      <w:tabs>
        <w:tab w:val="left" w:pos="540"/>
      </w:tabs>
      <w:spacing w:line="400" w:lineRule="exact"/>
      <w:ind w:left="2" w:firstLine="2"/>
    </w:pPr>
    <w:rPr>
      <w:rFonts w:hint="eastAsia"/>
      <w:spacing w:val="20"/>
      <w:szCs w:val="24"/>
    </w:rPr>
  </w:style>
  <w:style w:type="paragraph" w:customStyle="1" w:styleId="673">
    <w:name w:val="样式 宋体 小四 左 行距: 固定值 22 磅"/>
    <w:basedOn w:val="1"/>
    <w:qFormat/>
    <w:uiPriority w:val="0"/>
    <w:pPr>
      <w:spacing w:line="440" w:lineRule="exact"/>
    </w:pPr>
    <w:rPr>
      <w:rFonts w:ascii="宋体" w:hAnsi="宋体" w:cs="宋体"/>
      <w:szCs w:val="20"/>
    </w:rPr>
  </w:style>
  <w:style w:type="paragraph" w:customStyle="1" w:styleId="674">
    <w:name w:val="正文（行首缩进2字）"/>
    <w:basedOn w:val="1"/>
    <w:qFormat/>
    <w:uiPriority w:val="0"/>
    <w:rPr>
      <w:rFonts w:ascii="宋体" w:hAnsi="宋体" w:cs="宋体"/>
      <w:kern w:val="0"/>
      <w:szCs w:val="24"/>
    </w:rPr>
  </w:style>
  <w:style w:type="paragraph" w:customStyle="1" w:styleId="675">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76">
    <w:name w:val="表体"/>
    <w:basedOn w:val="1"/>
    <w:qFormat/>
    <w:uiPriority w:val="0"/>
    <w:pPr>
      <w:spacing w:line="240" w:lineRule="auto"/>
      <w:jc w:val="center"/>
    </w:pPr>
    <w:rPr>
      <w:sz w:val="21"/>
    </w:rPr>
  </w:style>
  <w:style w:type="paragraph" w:customStyle="1" w:styleId="677">
    <w:name w:val="tc"/>
    <w:basedOn w:val="8"/>
    <w:qFormat/>
    <w:uiPriority w:val="0"/>
    <w:pPr>
      <w:keepNext w:val="0"/>
      <w:keepLines w:val="0"/>
      <w:tabs>
        <w:tab w:val="left" w:pos="1418"/>
      </w:tabs>
      <w:spacing w:before="100" w:beforeAutospacing="1" w:afterAutospacing="1" w:line="400" w:lineRule="exact"/>
      <w:ind w:left="1418" w:hanging="567"/>
      <w:jc w:val="both"/>
    </w:pPr>
    <w:rPr>
      <w:rFonts w:hAnsi="宋体" w:eastAsia="黑体"/>
      <w:b w:val="0"/>
      <w:bCs w:val="0"/>
      <w:color w:val="000000"/>
      <w:kern w:val="0"/>
      <w:sz w:val="24"/>
      <w:szCs w:val="30"/>
    </w:rPr>
  </w:style>
  <w:style w:type="paragraph" w:customStyle="1" w:styleId="678">
    <w:name w:val="样式13"/>
    <w:basedOn w:val="1"/>
    <w:qFormat/>
    <w:uiPriority w:val="0"/>
    <w:pPr>
      <w:autoSpaceDE w:val="0"/>
      <w:autoSpaceDN w:val="0"/>
      <w:spacing w:beforeLines="50" w:line="480" w:lineRule="exact"/>
      <w:jc w:val="center"/>
      <w:outlineLvl w:val="4"/>
    </w:pPr>
    <w:rPr>
      <w:sz w:val="26"/>
      <w:szCs w:val="26"/>
      <w:lang w:val="zh-CN"/>
    </w:rPr>
  </w:style>
  <w:style w:type="paragraph" w:customStyle="1" w:styleId="679">
    <w:name w:val="样式 样式1 + 宋体 首行缩进:  2 字符"/>
    <w:basedOn w:val="1"/>
    <w:qFormat/>
    <w:uiPriority w:val="0"/>
    <w:pPr>
      <w:spacing w:line="180" w:lineRule="atLeast"/>
      <w:ind w:firstLine="520"/>
    </w:pPr>
    <w:rPr>
      <w:rFonts w:ascii="宋体" w:hAnsi="宋体"/>
      <w:sz w:val="28"/>
      <w:szCs w:val="28"/>
    </w:rPr>
  </w:style>
  <w:style w:type="paragraph" w:customStyle="1" w:styleId="680">
    <w:name w:val="章标题"/>
    <w:next w:val="9"/>
    <w:qFormat/>
    <w:uiPriority w:val="0"/>
    <w:pPr>
      <w:tabs>
        <w:tab w:val="left" w:pos="903"/>
      </w:tabs>
      <w:spacing w:before="50" w:after="50" w:line="360" w:lineRule="auto"/>
      <w:ind w:left="903" w:hanging="315"/>
      <w:jc w:val="both"/>
      <w:outlineLvl w:val="1"/>
    </w:pPr>
    <w:rPr>
      <w:rFonts w:ascii="黑体" w:hAnsi="Times New Roman" w:eastAsia="黑体" w:cs="Times New Roman"/>
      <w:sz w:val="21"/>
      <w:lang w:val="en-US" w:eastAsia="zh-CN" w:bidi="ar-SA"/>
    </w:rPr>
  </w:style>
  <w:style w:type="paragraph" w:customStyle="1" w:styleId="681">
    <w:name w:val="首页页眉样式"/>
    <w:basedOn w:val="1"/>
    <w:qFormat/>
    <w:uiPriority w:val="0"/>
    <w:pPr>
      <w:spacing w:line="320" w:lineRule="exact"/>
      <w:jc w:val="center"/>
    </w:pPr>
    <w:rPr>
      <w:rFonts w:ascii="宋体" w:hAnsi="宋体"/>
      <w:sz w:val="21"/>
      <w:szCs w:val="20"/>
    </w:rPr>
  </w:style>
  <w:style w:type="paragraph" w:customStyle="1" w:styleId="682">
    <w:name w:val="样式 标题 3 + (中文) 黑体"/>
    <w:basedOn w:val="8"/>
    <w:qFormat/>
    <w:uiPriority w:val="0"/>
    <w:pPr>
      <w:keepLines w:val="0"/>
      <w:tabs>
        <w:tab w:val="left" w:pos="540"/>
        <w:tab w:val="left" w:pos="862"/>
      </w:tabs>
      <w:spacing w:line="240" w:lineRule="auto"/>
      <w:ind w:left="1260" w:hanging="420"/>
      <w:jc w:val="center"/>
    </w:pPr>
    <w:rPr>
      <w:rFonts w:eastAsia="黑体"/>
      <w:b w:val="0"/>
      <w:bCs w:val="0"/>
      <w:sz w:val="24"/>
      <w:szCs w:val="28"/>
    </w:rPr>
  </w:style>
  <w:style w:type="paragraph" w:customStyle="1" w:styleId="683">
    <w:name w:val="蒲正文"/>
    <w:basedOn w:val="1"/>
    <w:qFormat/>
    <w:uiPriority w:val="0"/>
    <w:pPr>
      <w:spacing w:line="440" w:lineRule="exact"/>
    </w:pPr>
    <w:rPr>
      <w:rFonts w:ascii="宋体" w:hAnsi="宋体"/>
      <w:b/>
      <w:kern w:val="0"/>
      <w:szCs w:val="24"/>
    </w:rPr>
  </w:style>
  <w:style w:type="paragraph" w:customStyle="1" w:styleId="684">
    <w:name w:val="font23"/>
    <w:basedOn w:val="1"/>
    <w:qFormat/>
    <w:uiPriority w:val="0"/>
    <w:pPr>
      <w:spacing w:before="100" w:beforeAutospacing="1" w:after="100" w:afterAutospacing="1" w:line="240" w:lineRule="auto"/>
    </w:pPr>
    <w:rPr>
      <w:rFonts w:ascii="宋体" w:hAnsi="宋体" w:cs="宋体"/>
      <w:kern w:val="0"/>
      <w:sz w:val="20"/>
      <w:szCs w:val="20"/>
    </w:rPr>
  </w:style>
  <w:style w:type="paragraph" w:customStyle="1" w:styleId="685">
    <w:name w:val="Char2"/>
    <w:basedOn w:val="1"/>
    <w:qFormat/>
    <w:uiPriority w:val="0"/>
    <w:pPr>
      <w:spacing w:line="240" w:lineRule="auto"/>
    </w:pPr>
    <w:rPr>
      <w:sz w:val="21"/>
    </w:rPr>
  </w:style>
  <w:style w:type="paragraph" w:customStyle="1" w:styleId="686">
    <w:name w:val="样式 四号 首行缩进:  2 字符"/>
    <w:basedOn w:val="1"/>
    <w:qFormat/>
    <w:uiPriority w:val="0"/>
    <w:pPr>
      <w:spacing w:line="480" w:lineRule="atLeast"/>
    </w:pPr>
    <w:rPr>
      <w:szCs w:val="24"/>
    </w:rPr>
  </w:style>
  <w:style w:type="paragraph" w:customStyle="1" w:styleId="687">
    <w:name w:val="edri-正文"/>
    <w:basedOn w:val="1"/>
    <w:qFormat/>
    <w:uiPriority w:val="0"/>
    <w:pPr>
      <w:ind w:firstLine="560"/>
    </w:pPr>
    <w:rPr>
      <w:rFonts w:ascii="宋体" w:hAnsi="宋体" w:cs="CommercialPi BT"/>
      <w:snapToGrid w:val="0"/>
      <w:kern w:val="0"/>
      <w:sz w:val="28"/>
      <w:szCs w:val="28"/>
    </w:rPr>
  </w:style>
  <w:style w:type="paragraph" w:customStyle="1" w:styleId="688">
    <w:name w:val="正文2"/>
    <w:qFormat/>
    <w:uiPriority w:val="0"/>
    <w:pPr>
      <w:adjustRightInd w:val="0"/>
      <w:snapToGrid w:val="0"/>
      <w:spacing w:line="480" w:lineRule="atLeast"/>
      <w:jc w:val="center"/>
    </w:pPr>
    <w:rPr>
      <w:rFonts w:ascii="宋体" w:hAnsi="Times New Roman" w:eastAsia="宋体" w:cs="宋体"/>
      <w:spacing w:val="6"/>
      <w:sz w:val="21"/>
      <w:szCs w:val="21"/>
      <w:lang w:val="en-US" w:eastAsia="zh-CN" w:bidi="ar-SA"/>
    </w:rPr>
  </w:style>
  <w:style w:type="paragraph" w:customStyle="1" w:styleId="689">
    <w:name w:val="样式5"/>
    <w:basedOn w:val="1"/>
    <w:link w:val="690"/>
    <w:qFormat/>
    <w:uiPriority w:val="0"/>
    <w:pPr>
      <w:spacing w:beforeLines="50" w:line="480" w:lineRule="exact"/>
      <w:jc w:val="center"/>
      <w:outlineLvl w:val="4"/>
    </w:pPr>
    <w:rPr>
      <w:bCs/>
      <w:sz w:val="26"/>
      <w:szCs w:val="26"/>
    </w:rPr>
  </w:style>
  <w:style w:type="character" w:customStyle="1" w:styleId="690">
    <w:name w:val="样式5 Char Char"/>
    <w:link w:val="689"/>
    <w:qFormat/>
    <w:uiPriority w:val="0"/>
    <w:rPr>
      <w:bCs/>
      <w:kern w:val="2"/>
      <w:sz w:val="26"/>
      <w:szCs w:val="26"/>
    </w:rPr>
  </w:style>
  <w:style w:type="paragraph" w:customStyle="1" w:styleId="691">
    <w:name w:val="样式 样式 标题2 + 段前: 0.5 行 + 段前: 0.5 行 段后: 0.5 行"/>
    <w:basedOn w:val="523"/>
    <w:qFormat/>
    <w:uiPriority w:val="0"/>
    <w:pPr>
      <w:snapToGrid/>
      <w:spacing w:before="120" w:afterLines="50"/>
      <w:jc w:val="both"/>
      <w:outlineLvl w:val="1"/>
    </w:pPr>
    <w:rPr>
      <w:rFonts w:ascii="黑体" w:hAnsi="Times New Roman"/>
      <w:b/>
      <w:bCs/>
      <w:kern w:val="2"/>
      <w:lang w:val="en-US"/>
    </w:rPr>
  </w:style>
  <w:style w:type="paragraph" w:customStyle="1" w:styleId="692">
    <w:name w:val="二级无标题条"/>
    <w:basedOn w:val="1"/>
    <w:qFormat/>
    <w:uiPriority w:val="0"/>
    <w:pPr>
      <w:spacing w:line="240" w:lineRule="auto"/>
    </w:pPr>
    <w:rPr>
      <w:sz w:val="21"/>
      <w:szCs w:val="24"/>
    </w:rPr>
  </w:style>
  <w:style w:type="paragraph" w:customStyle="1" w:styleId="693">
    <w:name w:val="样式 标题3 + 自动设置"/>
    <w:basedOn w:val="318"/>
    <w:qFormat/>
    <w:uiPriority w:val="0"/>
    <w:pPr>
      <w:keepNext/>
      <w:keepLines/>
      <w:widowControl w:val="0"/>
      <w:adjustRightInd w:val="0"/>
      <w:snapToGrid w:val="0"/>
      <w:jc w:val="both"/>
      <w:textAlignment w:val="baseline"/>
    </w:pPr>
    <w:rPr>
      <w:rFonts w:eastAsia="宋体"/>
      <w:b/>
      <w:bCs/>
      <w:sz w:val="24"/>
    </w:rPr>
  </w:style>
  <w:style w:type="paragraph" w:customStyle="1" w:styleId="694">
    <w:name w:val="正文样式 Char"/>
    <w:basedOn w:val="1"/>
    <w:qFormat/>
    <w:uiPriority w:val="0"/>
    <w:pPr>
      <w:spacing w:line="460" w:lineRule="exact"/>
    </w:pPr>
    <w:rPr>
      <w:color w:val="000000"/>
      <w:sz w:val="26"/>
      <w:szCs w:val="26"/>
    </w:rPr>
  </w:style>
  <w:style w:type="paragraph" w:customStyle="1" w:styleId="695">
    <w:name w:val="xl88"/>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96">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697">
    <w:name w:val="Char Char Char Char Char Char1"/>
    <w:basedOn w:val="1"/>
    <w:qFormat/>
    <w:uiPriority w:val="0"/>
    <w:pPr>
      <w:spacing w:line="240" w:lineRule="auto"/>
    </w:pPr>
    <w:rPr>
      <w:rFonts w:ascii="宋体" w:hAnsi="宋体"/>
      <w:szCs w:val="24"/>
    </w:rPr>
  </w:style>
  <w:style w:type="paragraph" w:customStyle="1" w:styleId="698">
    <w:name w:val="Char Char Char Char Char2 Char4"/>
    <w:basedOn w:val="1"/>
    <w:semiHidden/>
    <w:qFormat/>
    <w:uiPriority w:val="0"/>
    <w:rPr>
      <w:rFonts w:ascii="宋体" w:hAnsi="宋体" w:cs="宋体"/>
      <w:szCs w:val="26"/>
    </w:rPr>
  </w:style>
  <w:style w:type="paragraph" w:customStyle="1" w:styleId="699">
    <w:name w:val="Char2 Char Char Char Char Char Char Char Char Char Char Char Char Char Char Char Char Char Char Char Char Char"/>
    <w:basedOn w:val="1"/>
    <w:qFormat/>
    <w:uiPriority w:val="0"/>
    <w:rPr>
      <w:rFonts w:eastAsia="仿宋_GB2312"/>
      <w:szCs w:val="24"/>
    </w:rPr>
  </w:style>
  <w:style w:type="paragraph" w:customStyle="1" w:styleId="700">
    <w:name w:val="样式 标题 3 + 黑色"/>
    <w:basedOn w:val="8"/>
    <w:qFormat/>
    <w:uiPriority w:val="0"/>
    <w:pPr>
      <w:keepNext w:val="0"/>
      <w:keepLines w:val="0"/>
      <w:spacing w:line="440" w:lineRule="atLeast"/>
      <w:ind w:firstLine="482" w:firstLineChars="200"/>
      <w:jc w:val="both"/>
      <w:outlineLvl w:val="9"/>
    </w:pPr>
    <w:rPr>
      <w:rFonts w:hAnsi="宋体"/>
      <w:sz w:val="24"/>
      <w:szCs w:val="24"/>
    </w:rPr>
  </w:style>
  <w:style w:type="paragraph" w:customStyle="1" w:styleId="701">
    <w:name w:val="0"/>
    <w:basedOn w:val="1"/>
    <w:qFormat/>
    <w:uiPriority w:val="0"/>
    <w:pPr>
      <w:spacing w:line="240" w:lineRule="auto"/>
    </w:pPr>
    <w:rPr>
      <w:kern w:val="0"/>
      <w:sz w:val="20"/>
      <w:szCs w:val="20"/>
    </w:rPr>
  </w:style>
  <w:style w:type="paragraph" w:customStyle="1" w:styleId="702">
    <w:name w:val="正文文本 22"/>
    <w:basedOn w:val="1"/>
    <w:qFormat/>
    <w:uiPriority w:val="0"/>
    <w:pPr>
      <w:overflowPunct w:val="0"/>
      <w:autoSpaceDE w:val="0"/>
      <w:autoSpaceDN w:val="0"/>
      <w:spacing w:after="120"/>
      <w:textAlignment w:val="baseline"/>
    </w:pPr>
    <w:rPr>
      <w:szCs w:val="20"/>
    </w:rPr>
  </w:style>
  <w:style w:type="paragraph" w:customStyle="1" w:styleId="703">
    <w:name w:val="报告书表格"/>
    <w:basedOn w:val="1"/>
    <w:qFormat/>
    <w:uiPriority w:val="0"/>
    <w:pPr>
      <w:spacing w:before="60" w:after="60" w:line="240" w:lineRule="atLeast"/>
      <w:jc w:val="center"/>
      <w:textAlignment w:val="baseline"/>
    </w:pPr>
    <w:rPr>
      <w:kern w:val="0"/>
      <w:sz w:val="21"/>
      <w:szCs w:val="20"/>
    </w:rPr>
  </w:style>
  <w:style w:type="paragraph" w:customStyle="1" w:styleId="704">
    <w:name w:val="Char Char Char Char Char Char2"/>
    <w:basedOn w:val="1"/>
    <w:qFormat/>
    <w:uiPriority w:val="0"/>
    <w:pPr>
      <w:spacing w:line="240" w:lineRule="auto"/>
    </w:pPr>
    <w:rPr>
      <w:rFonts w:ascii="宋体" w:hAnsi="宋体"/>
      <w:szCs w:val="24"/>
    </w:rPr>
  </w:style>
  <w:style w:type="paragraph" w:customStyle="1" w:styleId="705">
    <w:name w:val="Char Char Char Char Char2 Char"/>
    <w:basedOn w:val="1"/>
    <w:qFormat/>
    <w:uiPriority w:val="0"/>
    <w:rPr>
      <w:rFonts w:ascii="宋体" w:hAnsi="宋体" w:cs="宋体"/>
      <w:szCs w:val="26"/>
    </w:rPr>
  </w:style>
  <w:style w:type="paragraph" w:customStyle="1" w:styleId="706">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707">
    <w:name w:val="xl58"/>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cs="Arial Unicode MS"/>
      <w:kern w:val="0"/>
      <w:szCs w:val="24"/>
    </w:rPr>
  </w:style>
  <w:style w:type="paragraph" w:customStyle="1" w:styleId="708">
    <w:name w:val="段"/>
    <w:qFormat/>
    <w:uiPriority w:val="0"/>
    <w:pPr>
      <w:autoSpaceDE w:val="0"/>
      <w:autoSpaceDN w:val="0"/>
      <w:spacing w:line="360" w:lineRule="auto"/>
      <w:ind w:firstLine="200" w:firstLineChars="200"/>
      <w:jc w:val="both"/>
    </w:pPr>
    <w:rPr>
      <w:rFonts w:ascii="宋体" w:hAnsi="Times New Roman" w:eastAsia="宋体" w:cs="Times New Roman"/>
      <w:sz w:val="21"/>
      <w:lang w:val="en-US" w:eastAsia="zh-CN" w:bidi="ar-SA"/>
    </w:rPr>
  </w:style>
  <w:style w:type="paragraph" w:customStyle="1" w:styleId="709">
    <w:name w:val="表字"/>
    <w:basedOn w:val="1"/>
    <w:link w:val="710"/>
    <w:qFormat/>
    <w:uiPriority w:val="0"/>
    <w:pPr>
      <w:jc w:val="center"/>
    </w:pPr>
    <w:rPr>
      <w:sz w:val="21"/>
    </w:rPr>
  </w:style>
  <w:style w:type="character" w:customStyle="1" w:styleId="710">
    <w:name w:val="表字 Char"/>
    <w:link w:val="709"/>
    <w:qFormat/>
    <w:uiPriority w:val="0"/>
    <w:rPr>
      <w:rFonts w:cs="宋体"/>
      <w:kern w:val="2"/>
      <w:sz w:val="21"/>
      <w:szCs w:val="21"/>
    </w:rPr>
  </w:style>
  <w:style w:type="paragraph" w:customStyle="1" w:styleId="711">
    <w:name w:val="CM40"/>
    <w:basedOn w:val="131"/>
    <w:next w:val="131"/>
    <w:qFormat/>
    <w:uiPriority w:val="0"/>
    <w:pPr>
      <w:adjustRightInd w:val="0"/>
      <w:spacing w:after="138"/>
    </w:pPr>
    <w:rPr>
      <w:rFonts w:ascii="隶书" w:eastAsia="隶书"/>
      <w:color w:val="auto"/>
    </w:rPr>
  </w:style>
  <w:style w:type="paragraph" w:customStyle="1" w:styleId="712">
    <w:name w:val="Char Char Char Char Char2 Char3"/>
    <w:basedOn w:val="1"/>
    <w:semiHidden/>
    <w:qFormat/>
    <w:uiPriority w:val="0"/>
    <w:rPr>
      <w:rFonts w:ascii="宋体" w:hAnsi="宋体" w:cs="宋体"/>
      <w:szCs w:val="26"/>
    </w:rPr>
  </w:style>
  <w:style w:type="paragraph" w:customStyle="1" w:styleId="713">
    <w:name w:val="样式 标题2 + 段前: 0.5 行1"/>
    <w:basedOn w:val="218"/>
    <w:qFormat/>
    <w:uiPriority w:val="0"/>
    <w:pPr>
      <w:snapToGrid/>
      <w:spacing w:beforeLines="50" w:afterLines="50"/>
      <w:jc w:val="both"/>
      <w:outlineLvl w:val="1"/>
    </w:pPr>
    <w:rPr>
      <w:rFonts w:ascii="黑体" w:hAnsi="Times New Roman" w:cs="宋体"/>
      <w:b/>
      <w:bCs/>
      <w:kern w:val="2"/>
      <w:szCs w:val="20"/>
      <w:lang w:val="en-US"/>
    </w:rPr>
  </w:style>
  <w:style w:type="paragraph" w:customStyle="1" w:styleId="714">
    <w:name w:val="xl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715">
    <w:name w:val="样式 样式3 + 首行缩进:  2 字符"/>
    <w:basedOn w:val="208"/>
    <w:qFormat/>
    <w:uiPriority w:val="0"/>
    <w:pPr>
      <w:adjustRightInd/>
      <w:snapToGrid/>
      <w:spacing w:beforeLines="0" w:afterLines="0" w:line="360" w:lineRule="auto"/>
      <w:ind w:firstLine="200" w:firstLineChars="200"/>
    </w:pPr>
    <w:rPr>
      <w:rFonts w:ascii="宋体" w:hAnsi="宋体" w:cs="宋体"/>
      <w:snapToGrid/>
      <w:color w:val="auto"/>
      <w:kern w:val="2"/>
      <w:sz w:val="24"/>
    </w:rPr>
  </w:style>
  <w:style w:type="paragraph" w:customStyle="1" w:styleId="716">
    <w:name w:val="xl100"/>
    <w:basedOn w:val="1"/>
    <w:qFormat/>
    <w:uiPriority w:val="0"/>
    <w:pPr>
      <w:pBdr>
        <w:top w:val="single" w:color="auto" w:sz="8" w:space="0"/>
        <w:right w:val="single" w:color="auto" w:sz="8" w:space="0"/>
      </w:pBdr>
      <w:spacing w:before="100" w:beforeAutospacing="1" w:after="100" w:afterAutospacing="1" w:line="240" w:lineRule="auto"/>
      <w:jc w:val="center"/>
    </w:pPr>
    <w:rPr>
      <w:rFonts w:ascii="宋体" w:hAnsi="宋体" w:cs="宋体"/>
      <w:b/>
      <w:bCs/>
      <w:kern w:val="0"/>
      <w:szCs w:val="24"/>
    </w:rPr>
  </w:style>
  <w:style w:type="paragraph" w:customStyle="1" w:styleId="717">
    <w:name w:val="Char Char Char Char Char Char Char1"/>
    <w:basedOn w:val="1"/>
    <w:qFormat/>
    <w:uiPriority w:val="0"/>
    <w:pPr>
      <w:spacing w:after="160" w:line="240" w:lineRule="exact"/>
    </w:pPr>
    <w:rPr>
      <w:rFonts w:ascii="Verdana" w:hAnsi="Verdana" w:eastAsia="仿宋_GB2312"/>
      <w:kern w:val="0"/>
      <w:szCs w:val="20"/>
      <w:lang w:eastAsia="en-US"/>
    </w:rPr>
  </w:style>
  <w:style w:type="paragraph" w:customStyle="1" w:styleId="718">
    <w:name w:val="表内文字"/>
    <w:basedOn w:val="1"/>
    <w:qFormat/>
    <w:uiPriority w:val="0"/>
    <w:pPr>
      <w:spacing w:line="240" w:lineRule="auto"/>
      <w:jc w:val="center"/>
    </w:pPr>
    <w:rPr>
      <w:sz w:val="21"/>
    </w:rPr>
  </w:style>
  <w:style w:type="paragraph" w:customStyle="1" w:styleId="719">
    <w:name w:val="样式 正文 首行缩进:  2 字符 + 首行缩进:  2 字符"/>
    <w:basedOn w:val="1"/>
    <w:qFormat/>
    <w:uiPriority w:val="0"/>
    <w:pPr>
      <w:spacing w:line="480" w:lineRule="exact"/>
      <w:ind w:firstLine="480"/>
    </w:pPr>
    <w:rPr>
      <w:rFonts w:cs="宋体"/>
      <w:b/>
      <w:bCs/>
      <w:sz w:val="32"/>
      <w:szCs w:val="24"/>
    </w:rPr>
  </w:style>
  <w:style w:type="paragraph" w:customStyle="1" w:styleId="720">
    <w:name w:val="Char4 Char Char Char1"/>
    <w:basedOn w:val="1"/>
    <w:qFormat/>
    <w:uiPriority w:val="0"/>
    <w:rPr>
      <w:rFonts w:ascii="宋体" w:hAnsi="宋体" w:cs="宋体"/>
      <w:szCs w:val="26"/>
    </w:rPr>
  </w:style>
  <w:style w:type="paragraph" w:customStyle="1" w:styleId="721">
    <w:name w:val="Char Char3 Char Char Char Char Char Char"/>
    <w:basedOn w:val="1"/>
    <w:qFormat/>
    <w:uiPriority w:val="0"/>
    <w:pPr>
      <w:tabs>
        <w:tab w:val="left" w:pos="480"/>
      </w:tabs>
      <w:spacing w:after="160" w:line="240" w:lineRule="exact"/>
    </w:pPr>
    <w:rPr>
      <w:rFonts w:ascii="Verdana" w:hAnsi="Verdana"/>
      <w:kern w:val="0"/>
      <w:sz w:val="20"/>
      <w:szCs w:val="20"/>
      <w:lang w:eastAsia="en-US"/>
    </w:rPr>
  </w:style>
  <w:style w:type="paragraph" w:customStyle="1" w:styleId="722">
    <w:name w:val="H2——H2"/>
    <w:next w:val="1"/>
    <w:qFormat/>
    <w:uiPriority w:val="0"/>
    <w:pPr>
      <w:adjustRightInd w:val="0"/>
      <w:snapToGrid w:val="0"/>
      <w:spacing w:line="348" w:lineRule="auto"/>
      <w:outlineLvl w:val="1"/>
    </w:pPr>
    <w:rPr>
      <w:rFonts w:ascii="Times New Roman" w:hAnsi="Times New Roman" w:eastAsia="Times New Roman" w:cs="Times New Roman"/>
      <w:b/>
      <w:kern w:val="44"/>
      <w:sz w:val="28"/>
      <w:szCs w:val="24"/>
      <w:lang w:val="en-US" w:eastAsia="zh-CN" w:bidi="ar-SA"/>
    </w:rPr>
  </w:style>
  <w:style w:type="paragraph" w:customStyle="1" w:styleId="723">
    <w:name w:val="xl77"/>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rPr>
  </w:style>
  <w:style w:type="paragraph" w:customStyle="1" w:styleId="724">
    <w:name w:val="Char2 Char Char Char Char Char Char1"/>
    <w:basedOn w:val="1"/>
    <w:qFormat/>
    <w:uiPriority w:val="0"/>
    <w:pPr>
      <w:spacing w:line="240" w:lineRule="auto"/>
    </w:pPr>
    <w:rPr>
      <w:sz w:val="21"/>
      <w:szCs w:val="24"/>
    </w:rPr>
  </w:style>
  <w:style w:type="paragraph" w:customStyle="1" w:styleId="725">
    <w:name w:val="Char Char1 Char Char Char Char Char Char Char"/>
    <w:basedOn w:val="1"/>
    <w:qFormat/>
    <w:uiPriority w:val="0"/>
    <w:pPr>
      <w:pageBreakBefore/>
      <w:spacing w:line="480" w:lineRule="auto"/>
    </w:pPr>
    <w:rPr>
      <w:rFonts w:ascii="宋体" w:hAnsi="宋体" w:eastAsia="仿宋_GB2312" w:cs="宋体"/>
      <w:sz w:val="28"/>
      <w:szCs w:val="28"/>
    </w:rPr>
  </w:style>
  <w:style w:type="paragraph" w:customStyle="1" w:styleId="726">
    <w:name w:val="题目封页"/>
    <w:basedOn w:val="1"/>
    <w:next w:val="1"/>
    <w:qFormat/>
    <w:uiPriority w:val="0"/>
    <w:pPr>
      <w:keepNext/>
      <w:keepLines/>
      <w:spacing w:before="1800" w:line="240" w:lineRule="atLeast"/>
      <w:ind w:firstLine="584"/>
    </w:pPr>
    <w:rPr>
      <w:rFonts w:ascii="Arial" w:hAnsi="Arial" w:cs="Arial"/>
      <w:b/>
      <w:bCs/>
      <w:spacing w:val="-48"/>
      <w:kern w:val="28"/>
      <w:sz w:val="72"/>
      <w:szCs w:val="72"/>
    </w:rPr>
  </w:style>
  <w:style w:type="paragraph" w:customStyle="1" w:styleId="727">
    <w:name w:val="表头-hao"/>
    <w:qFormat/>
    <w:uiPriority w:val="0"/>
    <w:pPr>
      <w:adjustRightInd w:val="0"/>
      <w:snapToGrid w:val="0"/>
      <w:spacing w:line="348" w:lineRule="auto"/>
      <w:jc w:val="center"/>
    </w:pPr>
    <w:rPr>
      <w:rFonts w:ascii="Times New Roman" w:hAnsi="Times New Roman" w:eastAsia="宋体" w:cs="Times New Roman"/>
      <w:b/>
      <w:bCs/>
      <w:sz w:val="24"/>
      <w:szCs w:val="28"/>
      <w:lang w:val="pt-BR" w:eastAsia="zh-CN" w:bidi="ar-SA"/>
    </w:rPr>
  </w:style>
  <w:style w:type="paragraph" w:customStyle="1" w:styleId="728">
    <w:name w:val="CM105"/>
    <w:basedOn w:val="131"/>
    <w:next w:val="131"/>
    <w:qFormat/>
    <w:uiPriority w:val="0"/>
    <w:pPr>
      <w:adjustRightInd w:val="0"/>
      <w:spacing w:after="225"/>
    </w:pPr>
    <w:rPr>
      <w:color w:val="auto"/>
    </w:rPr>
  </w:style>
  <w:style w:type="paragraph" w:customStyle="1" w:styleId="729">
    <w:name w:val="正文（首行缩进2字）"/>
    <w:basedOn w:val="1"/>
    <w:qFormat/>
    <w:uiPriority w:val="0"/>
    <w:pPr>
      <w:spacing w:line="440" w:lineRule="exact"/>
      <w:ind w:firstLine="480"/>
    </w:pPr>
    <w:rPr>
      <w:rFonts w:ascii="宋体" w:hAnsi="宋体" w:cs="宋体"/>
      <w:bCs/>
      <w:szCs w:val="24"/>
    </w:rPr>
  </w:style>
  <w:style w:type="paragraph" w:customStyle="1" w:styleId="730">
    <w:name w:val="Char22"/>
    <w:basedOn w:val="1"/>
    <w:qFormat/>
    <w:uiPriority w:val="0"/>
    <w:pPr>
      <w:spacing w:line="240" w:lineRule="auto"/>
    </w:pPr>
    <w:rPr>
      <w:sz w:val="21"/>
    </w:rPr>
  </w:style>
  <w:style w:type="paragraph" w:customStyle="1" w:styleId="731">
    <w:name w:val="xl96"/>
    <w:basedOn w:val="1"/>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cs="宋体"/>
      <w:b/>
      <w:bCs/>
      <w:kern w:val="0"/>
      <w:szCs w:val="24"/>
    </w:rPr>
  </w:style>
  <w:style w:type="paragraph" w:customStyle="1" w:styleId="732">
    <w:name w:val="TOC 标题11"/>
    <w:basedOn w:val="6"/>
    <w:next w:val="1"/>
    <w:unhideWhenUsed/>
    <w:qFormat/>
    <w:uiPriority w:val="39"/>
    <w:pPr>
      <w:spacing w:before="480" w:line="276" w:lineRule="auto"/>
      <w:jc w:val="left"/>
      <w:outlineLvl w:val="9"/>
    </w:pPr>
    <w:rPr>
      <w:rFonts w:ascii="Cambria" w:hAnsi="Cambria"/>
      <w:color w:val="365F91"/>
      <w:kern w:val="0"/>
      <w:szCs w:val="28"/>
    </w:rPr>
  </w:style>
  <w:style w:type="paragraph" w:customStyle="1" w:styleId="733">
    <w:name w:val="样式 样式3 + 小四"/>
    <w:basedOn w:val="208"/>
    <w:qFormat/>
    <w:uiPriority w:val="0"/>
    <w:pPr>
      <w:adjustRightInd/>
      <w:snapToGrid/>
      <w:spacing w:beforeLines="0" w:afterLines="0" w:line="360" w:lineRule="auto"/>
      <w:ind w:firstLine="200" w:firstLineChars="200"/>
    </w:pPr>
    <w:rPr>
      <w:rFonts w:ascii="宋体" w:hAnsi="宋体"/>
      <w:snapToGrid/>
      <w:color w:val="auto"/>
      <w:kern w:val="2"/>
      <w:sz w:val="24"/>
      <w:szCs w:val="24"/>
    </w:rPr>
  </w:style>
  <w:style w:type="paragraph" w:customStyle="1" w:styleId="734">
    <w:name w:val="xl72"/>
    <w:basedOn w:val="1"/>
    <w:qFormat/>
    <w:uiPriority w:val="0"/>
    <w:pPr>
      <w:spacing w:before="100" w:beforeAutospacing="1" w:after="100" w:afterAutospacing="1" w:line="240" w:lineRule="auto"/>
      <w:jc w:val="center"/>
    </w:pPr>
    <w:rPr>
      <w:rFonts w:ascii="宋体" w:hAnsi="宋体" w:cs="宋体"/>
      <w:kern w:val="0"/>
      <w:sz w:val="20"/>
      <w:szCs w:val="20"/>
    </w:rPr>
  </w:style>
  <w:style w:type="paragraph" w:customStyle="1" w:styleId="735">
    <w:name w:val="标题2222"/>
    <w:qFormat/>
    <w:uiPriority w:val="0"/>
    <w:pPr>
      <w:snapToGrid w:val="0"/>
      <w:spacing w:beforeLines="50" w:afterLines="50" w:line="300" w:lineRule="auto"/>
    </w:pPr>
    <w:rPr>
      <w:rFonts w:ascii="黑体" w:hAnsi="Arial" w:eastAsia="黑体" w:cs="宋体"/>
      <w:b/>
      <w:color w:val="000000"/>
      <w:kern w:val="44"/>
      <w:sz w:val="28"/>
      <w:lang w:val="en-US" w:eastAsia="zh-CN" w:bidi="ar-SA"/>
    </w:rPr>
  </w:style>
  <w:style w:type="table" w:customStyle="1" w:styleId="736">
    <w:name w:val="网格型4"/>
    <w:basedOn w:val="73"/>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7">
    <w:name w:val="网格型 51"/>
    <w:basedOn w:val="7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738">
    <w:name w:val="网格型21"/>
    <w:basedOn w:val="7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39">
    <w:name w:val="网格型12"/>
    <w:basedOn w:val="73"/>
    <w:qFormat/>
    <w:uiPriority w:val="0"/>
    <w:pPr>
      <w:widowControl w:val="0"/>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0">
    <w:name w:val="网格型5"/>
    <w:basedOn w:val="7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1">
    <w:name w:val="专业网格1"/>
    <w:basedOn w:val="7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2">
    <w:name w:val="网格型13"/>
    <w:basedOn w:val="7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3">
    <w:name w:val="网格型2"/>
    <w:basedOn w:val="73"/>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4">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table" w:customStyle="1" w:styleId="745">
    <w:name w:val="网格型31"/>
    <w:basedOn w:val="7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6">
    <w:name w:val="网格型6"/>
    <w:basedOn w:val="7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7">
    <w:name w:val="网格型7"/>
    <w:basedOn w:val="7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8">
    <w:name w:val="网格型11"/>
    <w:basedOn w:val="73"/>
    <w:qFormat/>
    <w:uiPriority w:val="0"/>
    <w:pPr>
      <w:widowControl w:val="0"/>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49">
    <w:name w:val="表格主题1"/>
    <w:basedOn w:val="73"/>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0">
    <w:name w:val="网格型3"/>
    <w:basedOn w:val="73"/>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51">
    <w:name w:val="网格型 11"/>
    <w:basedOn w:val="7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752">
    <w:name w:val="WPSOffice手动目录 1"/>
    <w:qFormat/>
    <w:uiPriority w:val="0"/>
    <w:pPr>
      <w:spacing w:line="360" w:lineRule="auto"/>
    </w:pPr>
    <w:rPr>
      <w:rFonts w:ascii="Times New Roman" w:hAnsi="Times New Roman" w:eastAsia="宋体" w:cs="Times New Roman"/>
      <w:lang w:val="en-US" w:eastAsia="zh-CN" w:bidi="ar-SA"/>
    </w:rPr>
  </w:style>
  <w:style w:type="paragraph" w:customStyle="1" w:styleId="753">
    <w:name w:val="WPSOffice手动目录 2"/>
    <w:qFormat/>
    <w:uiPriority w:val="0"/>
    <w:pPr>
      <w:spacing w:line="360" w:lineRule="auto"/>
      <w:ind w:left="200" w:leftChars="200"/>
    </w:pPr>
    <w:rPr>
      <w:rFonts w:ascii="Times New Roman" w:hAnsi="Times New Roman" w:eastAsia="宋体" w:cs="Times New Roman"/>
      <w:lang w:val="en-US" w:eastAsia="zh-CN" w:bidi="ar-SA"/>
    </w:rPr>
  </w:style>
  <w:style w:type="paragraph" w:customStyle="1" w:styleId="754">
    <w:name w:val="WPSOffice手动目录 3"/>
    <w:qFormat/>
    <w:uiPriority w:val="0"/>
    <w:pPr>
      <w:spacing w:line="360" w:lineRule="auto"/>
      <w:ind w:left="400" w:leftChars="400"/>
    </w:pPr>
    <w:rPr>
      <w:rFonts w:ascii="Times New Roman" w:hAnsi="Times New Roman" w:eastAsia="宋体" w:cs="Times New Roman"/>
      <w:lang w:val="en-US" w:eastAsia="zh-CN" w:bidi="ar-SA"/>
    </w:rPr>
  </w:style>
  <w:style w:type="paragraph" w:customStyle="1" w:styleId="755">
    <w:name w:val="表格内容"/>
    <w:basedOn w:val="1"/>
    <w:link w:val="756"/>
    <w:qFormat/>
    <w:uiPriority w:val="0"/>
    <w:pPr>
      <w:spacing w:line="240" w:lineRule="auto"/>
      <w:jc w:val="center"/>
    </w:pPr>
    <w:rPr>
      <w:sz w:val="21"/>
      <w:szCs w:val="22"/>
    </w:rPr>
  </w:style>
  <w:style w:type="character" w:customStyle="1" w:styleId="756">
    <w:name w:val="表格内容 Char"/>
    <w:link w:val="755"/>
    <w:qFormat/>
    <w:uiPriority w:val="0"/>
    <w:rPr>
      <w:kern w:val="2"/>
      <w:sz w:val="21"/>
      <w:szCs w:val="22"/>
    </w:rPr>
  </w:style>
  <w:style w:type="paragraph" w:customStyle="1" w:styleId="757">
    <w:name w:val="h正文"/>
    <w:basedOn w:val="1"/>
    <w:qFormat/>
    <w:uiPriority w:val="0"/>
  </w:style>
  <w:style w:type="paragraph" w:customStyle="1" w:styleId="758">
    <w:name w:val="表格内容111"/>
    <w:basedOn w:val="1"/>
    <w:qFormat/>
    <w:uiPriority w:val="0"/>
    <w:pPr>
      <w:spacing w:line="240" w:lineRule="auto"/>
      <w:jc w:val="center"/>
    </w:pPr>
    <w:rPr>
      <w:sz w:val="21"/>
      <w:szCs w:val="20"/>
    </w:rPr>
  </w:style>
  <w:style w:type="paragraph" w:customStyle="1" w:styleId="759">
    <w:name w:val="图像"/>
    <w:basedOn w:val="760"/>
    <w:qFormat/>
    <w:uiPriority w:val="0"/>
    <w:pPr>
      <w:spacing w:beforeLines="100" w:afterLines="0" w:line="240" w:lineRule="auto"/>
      <w:ind w:firstLine="0"/>
    </w:pPr>
    <w:rPr>
      <w:bCs w:val="0"/>
      <w:sz w:val="22"/>
    </w:rPr>
  </w:style>
  <w:style w:type="paragraph" w:customStyle="1" w:styleId="760">
    <w:name w:val="图名"/>
    <w:basedOn w:val="1"/>
    <w:link w:val="761"/>
    <w:qFormat/>
    <w:uiPriority w:val="0"/>
    <w:pPr>
      <w:spacing w:beforeLines="20" w:afterLines="20" w:line="300" w:lineRule="auto"/>
      <w:ind w:firstLine="480"/>
      <w:jc w:val="center"/>
    </w:pPr>
    <w:rPr>
      <w:b/>
      <w:bCs/>
      <w:szCs w:val="22"/>
    </w:rPr>
  </w:style>
  <w:style w:type="character" w:customStyle="1" w:styleId="761">
    <w:name w:val="图名 Char Char"/>
    <w:link w:val="760"/>
    <w:qFormat/>
    <w:uiPriority w:val="0"/>
    <w:rPr>
      <w:b/>
      <w:bCs/>
      <w:kern w:val="2"/>
      <w:sz w:val="24"/>
      <w:szCs w:val="22"/>
    </w:rPr>
  </w:style>
  <w:style w:type="paragraph" w:customStyle="1" w:styleId="762">
    <w:name w:val="yyp"/>
    <w:basedOn w:val="1"/>
    <w:link w:val="763"/>
    <w:qFormat/>
    <w:uiPriority w:val="0"/>
    <w:pPr>
      <w:spacing w:after="120"/>
      <w:ind w:firstLine="480"/>
    </w:pPr>
    <w:rPr>
      <w:rFonts w:ascii="Calibri" w:hAnsi="Calibri"/>
      <w:szCs w:val="20"/>
    </w:rPr>
  </w:style>
  <w:style w:type="character" w:customStyle="1" w:styleId="763">
    <w:name w:val="yyp Char"/>
    <w:link w:val="762"/>
    <w:qFormat/>
    <w:uiPriority w:val="0"/>
    <w:rPr>
      <w:rFonts w:ascii="Calibri" w:hAnsi="Calibri"/>
      <w:kern w:val="2"/>
      <w:sz w:val="24"/>
    </w:rPr>
  </w:style>
  <w:style w:type="paragraph" w:customStyle="1" w:styleId="764">
    <w:name w:val="表格2015"/>
    <w:basedOn w:val="1"/>
    <w:link w:val="765"/>
    <w:qFormat/>
    <w:uiPriority w:val="0"/>
    <w:pPr>
      <w:spacing w:line="240" w:lineRule="auto"/>
      <w:jc w:val="center"/>
    </w:pPr>
    <w:rPr>
      <w:rFonts w:ascii="宋体" w:hAnsi="宋体"/>
      <w:color w:val="000000"/>
      <w:sz w:val="21"/>
    </w:rPr>
  </w:style>
  <w:style w:type="character" w:customStyle="1" w:styleId="765">
    <w:name w:val="表格2015 Char"/>
    <w:basedOn w:val="81"/>
    <w:link w:val="764"/>
    <w:qFormat/>
    <w:uiPriority w:val="0"/>
    <w:rPr>
      <w:rFonts w:ascii="宋体" w:hAnsi="宋体"/>
      <w:color w:val="000000"/>
      <w:kern w:val="2"/>
      <w:sz w:val="21"/>
      <w:szCs w:val="21"/>
    </w:rPr>
  </w:style>
  <w:style w:type="paragraph" w:customStyle="1" w:styleId="766">
    <w:name w:val="表 头"/>
    <w:basedOn w:val="31"/>
    <w:next w:val="755"/>
    <w:link w:val="767"/>
    <w:qFormat/>
    <w:uiPriority w:val="0"/>
    <w:pPr>
      <w:tabs>
        <w:tab w:val="left" w:pos="993"/>
      </w:tabs>
      <w:topLinePunct/>
      <w:spacing w:after="0" w:line="240" w:lineRule="auto"/>
      <w:jc w:val="center"/>
      <w:textAlignment w:val="baseline"/>
    </w:pPr>
    <w:rPr>
      <w:rFonts w:ascii="Calibri" w:hAnsi="Calibri"/>
      <w:b/>
      <w:kern w:val="2"/>
    </w:rPr>
  </w:style>
  <w:style w:type="character" w:customStyle="1" w:styleId="767">
    <w:name w:val="表 头 Char"/>
    <w:link w:val="766"/>
    <w:qFormat/>
    <w:uiPriority w:val="0"/>
    <w:rPr>
      <w:rFonts w:ascii="Calibri" w:hAnsi="Calibri" w:eastAsia="宋体" w:cs="Times New Roman"/>
      <w:b/>
      <w:kern w:val="2"/>
      <w:sz w:val="24"/>
    </w:rPr>
  </w:style>
  <w:style w:type="table" w:customStyle="1" w:styleId="768">
    <w:name w:val="三线2"/>
    <w:basedOn w:val="7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69">
    <w:name w:val="表格内字体 Char Char"/>
    <w:qFormat/>
    <w:uiPriority w:val="0"/>
    <w:rPr>
      <w:rFonts w:eastAsia="仿宋_GB2312"/>
      <w:snapToGrid w:val="0"/>
      <w:kern w:val="21"/>
      <w:sz w:val="21"/>
      <w:szCs w:val="21"/>
      <w:lang w:val="en-US" w:eastAsia="zh-CN" w:bidi="ar-SA"/>
    </w:rPr>
  </w:style>
  <w:style w:type="paragraph" w:customStyle="1" w:styleId="770">
    <w:name w:val="报告书标题2"/>
    <w:basedOn w:val="7"/>
    <w:next w:val="206"/>
    <w:qFormat/>
    <w:uiPriority w:val="0"/>
    <w:pPr>
      <w:keepLines w:val="0"/>
      <w:spacing w:beforeLines="0" w:afterLines="0" w:line="360" w:lineRule="auto"/>
      <w:jc w:val="both"/>
    </w:pPr>
    <w:rPr>
      <w:rFonts w:ascii="Times New Roman" w:eastAsia="宋体"/>
      <w:szCs w:val="30"/>
    </w:rPr>
  </w:style>
  <w:style w:type="paragraph" w:customStyle="1" w:styleId="771">
    <w:name w:val="报告书标题3"/>
    <w:basedOn w:val="8"/>
    <w:next w:val="206"/>
    <w:qFormat/>
    <w:uiPriority w:val="0"/>
    <w:pPr>
      <w:spacing w:beforeLines="0" w:afterLines="0" w:line="360" w:lineRule="auto"/>
      <w:jc w:val="both"/>
    </w:pPr>
    <w:rPr>
      <w:b w:val="0"/>
      <w:sz w:val="24"/>
      <w:szCs w:val="24"/>
    </w:rPr>
  </w:style>
  <w:style w:type="character" w:customStyle="1" w:styleId="772">
    <w:name w:val="批注文字 Char"/>
    <w:basedOn w:val="81"/>
    <w:qFormat/>
    <w:uiPriority w:val="0"/>
    <w:rPr>
      <w:rFonts w:ascii="Times New Roman" w:hAnsi="Times New Roman" w:eastAsia="宋体" w:cs="Times New Roman"/>
      <w:sz w:val="28"/>
      <w:szCs w:val="24"/>
    </w:rPr>
  </w:style>
  <w:style w:type="paragraph" w:customStyle="1" w:styleId="773">
    <w:name w:val="正文1"/>
    <w:basedOn w:val="1"/>
    <w:link w:val="774"/>
    <w:qFormat/>
    <w:uiPriority w:val="0"/>
    <w:pPr>
      <w:spacing w:line="360" w:lineRule="atLeast"/>
      <w:textAlignment w:val="baseline"/>
    </w:pPr>
    <w:rPr>
      <w:rFonts w:ascii="宋体"/>
      <w:kern w:val="0"/>
      <w:szCs w:val="20"/>
    </w:rPr>
  </w:style>
  <w:style w:type="character" w:customStyle="1" w:styleId="774">
    <w:name w:val="正文1 Char"/>
    <w:link w:val="773"/>
    <w:qFormat/>
    <w:uiPriority w:val="0"/>
    <w:rPr>
      <w:rFonts w:ascii="宋体"/>
      <w:sz w:val="24"/>
    </w:rPr>
  </w:style>
  <w:style w:type="character" w:customStyle="1" w:styleId="775">
    <w:name w:val="表 Char"/>
    <w:qFormat/>
    <w:uiPriority w:val="0"/>
    <w:rPr>
      <w:rFonts w:ascii="Arial" w:hAnsi="Arial" w:eastAsia="黑体" w:cs="Arial"/>
      <w:kern w:val="2"/>
      <w:lang w:val="en-US" w:eastAsia="zh-CN" w:bidi="ar-SA"/>
    </w:rPr>
  </w:style>
  <w:style w:type="character" w:customStyle="1" w:styleId="776">
    <w:name w:val="副标题 Char1"/>
    <w:basedOn w:val="81"/>
    <w:qFormat/>
    <w:uiPriority w:val="0"/>
    <w:rPr>
      <w:rFonts w:ascii="Cambria" w:hAnsi="Cambria" w:eastAsia="宋体" w:cs="Times New Roman"/>
      <w:b/>
      <w:bCs/>
      <w:kern w:val="28"/>
      <w:sz w:val="32"/>
      <w:szCs w:val="32"/>
    </w:rPr>
  </w:style>
  <w:style w:type="character" w:customStyle="1" w:styleId="777">
    <w:name w:val="纯文本 Char2"/>
    <w:basedOn w:val="81"/>
    <w:link w:val="778"/>
    <w:qFormat/>
    <w:uiPriority w:val="0"/>
    <w:rPr>
      <w:rFonts w:ascii="宋体" w:hAnsi="Courier New" w:eastAsia="宋体" w:cs="Courier New"/>
      <w:szCs w:val="21"/>
    </w:rPr>
  </w:style>
  <w:style w:type="paragraph" w:customStyle="1" w:styleId="778">
    <w:name w:val="纯文本2"/>
    <w:basedOn w:val="1"/>
    <w:link w:val="777"/>
    <w:qFormat/>
    <w:uiPriority w:val="0"/>
    <w:pPr>
      <w:spacing w:line="440" w:lineRule="exact"/>
      <w:ind w:firstLine="200" w:firstLineChars="200"/>
      <w:jc w:val="both"/>
    </w:pPr>
    <w:rPr>
      <w:rFonts w:ascii="宋体" w:hAnsi="Courier New" w:cs="Courier New"/>
      <w:kern w:val="0"/>
      <w:sz w:val="20"/>
    </w:rPr>
  </w:style>
  <w:style w:type="paragraph" w:customStyle="1" w:styleId="779">
    <w:name w:val="Char Char Char"/>
    <w:basedOn w:val="1"/>
    <w:qFormat/>
    <w:uiPriority w:val="0"/>
    <w:pPr>
      <w:ind w:firstLine="420"/>
    </w:pPr>
    <w:rPr>
      <w:rFonts w:ascii="Tahoma" w:hAnsi="Tahoma"/>
      <w:szCs w:val="20"/>
    </w:rPr>
  </w:style>
  <w:style w:type="paragraph" w:customStyle="1" w:styleId="780">
    <w:name w:val="列表段落1"/>
    <w:basedOn w:val="1"/>
    <w:qFormat/>
    <w:uiPriority w:val="0"/>
    <w:pPr>
      <w:spacing w:line="240" w:lineRule="auto"/>
      <w:ind w:firstLine="420"/>
    </w:pPr>
    <w:rPr>
      <w:sz w:val="21"/>
    </w:rPr>
  </w:style>
  <w:style w:type="paragraph" w:customStyle="1" w:styleId="781">
    <w:name w:val="报告书标题1"/>
    <w:basedOn w:val="6"/>
    <w:next w:val="206"/>
    <w:qFormat/>
    <w:uiPriority w:val="0"/>
    <w:pPr>
      <w:keepLines w:val="0"/>
    </w:pPr>
    <w:rPr>
      <w:rFonts w:ascii="Times New Roman" w:hAnsi="Times New Roman"/>
      <w:kern w:val="2"/>
      <w:sz w:val="36"/>
      <w:szCs w:val="36"/>
    </w:rPr>
  </w:style>
  <w:style w:type="paragraph" w:customStyle="1" w:styleId="782">
    <w:name w:val="MY表内字"/>
    <w:link w:val="783"/>
    <w:qFormat/>
    <w:uiPriority w:val="0"/>
    <w:pPr>
      <w:spacing w:line="360" w:lineRule="auto"/>
      <w:jc w:val="center"/>
    </w:pPr>
    <w:rPr>
      <w:rFonts w:ascii="Times New Roman" w:hAnsi="Times New Roman" w:eastAsia="宋体" w:cs="Times New Roman"/>
      <w:sz w:val="21"/>
      <w:szCs w:val="24"/>
      <w:lang w:val="en-US" w:eastAsia="zh-CN" w:bidi="ar-SA"/>
    </w:rPr>
  </w:style>
  <w:style w:type="character" w:customStyle="1" w:styleId="783">
    <w:name w:val="MY表内字 Char"/>
    <w:link w:val="782"/>
    <w:qFormat/>
    <w:uiPriority w:val="0"/>
    <w:rPr>
      <w:sz w:val="21"/>
      <w:szCs w:val="24"/>
      <w:lang w:bidi="ar-SA"/>
    </w:rPr>
  </w:style>
  <w:style w:type="paragraph" w:customStyle="1" w:styleId="784">
    <w:name w:val="前言"/>
    <w:basedOn w:val="781"/>
    <w:qFormat/>
    <w:uiPriority w:val="0"/>
  </w:style>
  <w:style w:type="paragraph" w:customStyle="1" w:styleId="785">
    <w:name w:val="报告书标题4"/>
    <w:basedOn w:val="9"/>
    <w:qFormat/>
    <w:uiPriority w:val="0"/>
    <w:pPr>
      <w:keepNext/>
      <w:keepLines/>
    </w:pPr>
    <w:rPr>
      <w:b w:val="0"/>
      <w:bCs/>
      <w:szCs w:val="26"/>
      <w:lang w:val="zh-CN"/>
    </w:rPr>
  </w:style>
  <w:style w:type="character" w:customStyle="1" w:styleId="786">
    <w:name w:val="标题 2 Char"/>
    <w:basedOn w:val="81"/>
    <w:qFormat/>
    <w:uiPriority w:val="0"/>
    <w:rPr>
      <w:rFonts w:ascii="Cambria" w:hAnsi="Cambria" w:eastAsia="宋体" w:cs="Times New Roman"/>
      <w:b/>
      <w:bCs/>
      <w:kern w:val="0"/>
      <w:sz w:val="32"/>
      <w:szCs w:val="32"/>
    </w:rPr>
  </w:style>
  <w:style w:type="paragraph" w:customStyle="1" w:styleId="787">
    <w:name w:val="图"/>
    <w:basedOn w:val="1"/>
    <w:semiHidden/>
    <w:qFormat/>
    <w:uiPriority w:val="0"/>
    <w:pPr>
      <w:tabs>
        <w:tab w:val="left" w:pos="993"/>
      </w:tabs>
      <w:spacing w:beforeLines="35" w:afterLines="35"/>
      <w:jc w:val="center"/>
    </w:pPr>
    <w:rPr>
      <w:rFonts w:cs="宋体"/>
      <w:b/>
      <w:kern w:val="0"/>
      <w:szCs w:val="24"/>
    </w:rPr>
  </w:style>
  <w:style w:type="paragraph" w:customStyle="1" w:styleId="788">
    <w:name w:val="图片"/>
    <w:basedOn w:val="1"/>
    <w:qFormat/>
    <w:uiPriority w:val="0"/>
    <w:pPr>
      <w:tabs>
        <w:tab w:val="left" w:pos="993"/>
      </w:tabs>
      <w:spacing w:beforeLines="35" w:afterLines="35"/>
      <w:jc w:val="center"/>
    </w:pPr>
    <w:rPr>
      <w:rFonts w:cs="宋体"/>
      <w:b/>
      <w:kern w:val="0"/>
      <w:szCs w:val="24"/>
    </w:rPr>
  </w:style>
  <w:style w:type="paragraph" w:customStyle="1" w:styleId="789">
    <w:name w:val="CC Char Char Char Char Char Char"/>
    <w:basedOn w:val="1"/>
    <w:next w:val="1"/>
    <w:qFormat/>
    <w:uiPriority w:val="0"/>
    <w:pPr>
      <w:tabs>
        <w:tab w:val="left" w:pos="993"/>
      </w:tabs>
      <w:spacing w:after="120" w:line="480" w:lineRule="auto"/>
      <w:ind w:left="630" w:leftChars="100" w:right="100" w:rightChars="100"/>
    </w:pPr>
    <w:rPr>
      <w:rFonts w:cs="宋体"/>
      <w:kern w:val="0"/>
      <w:sz w:val="28"/>
      <w:szCs w:val="28"/>
    </w:rPr>
  </w:style>
  <w:style w:type="character" w:customStyle="1" w:styleId="790">
    <w:name w:val="content1"/>
    <w:qFormat/>
    <w:uiPriority w:val="0"/>
    <w:rPr>
      <w:sz w:val="22"/>
      <w:szCs w:val="22"/>
    </w:rPr>
  </w:style>
  <w:style w:type="character" w:customStyle="1" w:styleId="791">
    <w:name w:val="ll1"/>
    <w:qFormat/>
    <w:uiPriority w:val="0"/>
    <w:rPr>
      <w:sz w:val="23"/>
      <w:szCs w:val="23"/>
    </w:rPr>
  </w:style>
  <w:style w:type="table" w:customStyle="1" w:styleId="792">
    <w:name w:val="表格样式1"/>
    <w:basedOn w:val="74"/>
    <w:qFormat/>
    <w:uiPriority w:val="0"/>
    <w:pPr>
      <w:ind w:firstLine="0" w:firstLineChars="0"/>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793">
    <w:name w:val="highlight1"/>
    <w:qFormat/>
    <w:uiPriority w:val="0"/>
    <w:rPr>
      <w:sz w:val="26"/>
      <w:szCs w:val="26"/>
    </w:rPr>
  </w:style>
  <w:style w:type="paragraph" w:customStyle="1" w:styleId="794">
    <w:name w:val="3"/>
    <w:basedOn w:val="1"/>
    <w:qFormat/>
    <w:uiPriority w:val="0"/>
    <w:pPr>
      <w:tabs>
        <w:tab w:val="left" w:pos="993"/>
      </w:tabs>
      <w:ind w:firstLine="480"/>
    </w:pPr>
    <w:rPr>
      <w:rFonts w:ascii="宋体" w:hAnsi="宋体" w:cs="宋体"/>
      <w:szCs w:val="26"/>
    </w:rPr>
  </w:style>
  <w:style w:type="paragraph" w:customStyle="1" w:styleId="795">
    <w:name w:val="样式 标题 1 + 段前: 0.5 行 段后: 0.5 行"/>
    <w:basedOn w:val="6"/>
    <w:qFormat/>
    <w:uiPriority w:val="0"/>
    <w:pPr>
      <w:tabs>
        <w:tab w:val="left" w:pos="993"/>
      </w:tabs>
      <w:spacing w:beforeLines="50" w:after="167" w:line="420" w:lineRule="auto"/>
    </w:pPr>
    <w:rPr>
      <w:rFonts w:cs="宋体"/>
      <w:sz w:val="32"/>
      <w:szCs w:val="20"/>
    </w:rPr>
  </w:style>
  <w:style w:type="paragraph" w:customStyle="1" w:styleId="796">
    <w:name w:val="样式 标题 2 + 段前: 0.5 行 段后: 0.5 行"/>
    <w:basedOn w:val="7"/>
    <w:semiHidden/>
    <w:qFormat/>
    <w:uiPriority w:val="0"/>
    <w:pPr>
      <w:tabs>
        <w:tab w:val="left" w:pos="993"/>
      </w:tabs>
      <w:spacing w:before="120" w:after="120" w:line="415" w:lineRule="auto"/>
      <w:jc w:val="both"/>
    </w:pPr>
    <w:rPr>
      <w:rFonts w:ascii="Arial" w:hAnsi="Arial" w:eastAsia="宋体" w:cs="宋体"/>
      <w:color w:val="000000"/>
      <w:szCs w:val="20"/>
    </w:rPr>
  </w:style>
  <w:style w:type="paragraph" w:customStyle="1" w:styleId="797">
    <w:name w:val="样式 首行缩进:  2 字符"/>
    <w:basedOn w:val="1"/>
    <w:link w:val="798"/>
    <w:qFormat/>
    <w:uiPriority w:val="0"/>
    <w:pPr>
      <w:tabs>
        <w:tab w:val="left" w:pos="993"/>
      </w:tabs>
      <w:spacing w:beforeLines="50" w:afterLines="50" w:line="420" w:lineRule="atLeast"/>
      <w:ind w:firstLine="480"/>
    </w:pPr>
    <w:rPr>
      <w:szCs w:val="20"/>
    </w:rPr>
  </w:style>
  <w:style w:type="character" w:customStyle="1" w:styleId="798">
    <w:name w:val="样式 首行缩进:  2 字符 Char"/>
    <w:link w:val="797"/>
    <w:qFormat/>
    <w:uiPriority w:val="0"/>
    <w:rPr>
      <w:rFonts w:cs="宋体"/>
      <w:kern w:val="2"/>
      <w:sz w:val="24"/>
    </w:rPr>
  </w:style>
  <w:style w:type="paragraph" w:customStyle="1" w:styleId="799">
    <w:name w:val="样式 四号 居中"/>
    <w:basedOn w:val="1"/>
    <w:semiHidden/>
    <w:qFormat/>
    <w:uiPriority w:val="0"/>
    <w:pPr>
      <w:tabs>
        <w:tab w:val="left" w:pos="993"/>
      </w:tabs>
      <w:spacing w:beforeLines="50" w:afterLines="50" w:line="460" w:lineRule="exact"/>
      <w:ind w:firstLine="480"/>
      <w:jc w:val="center"/>
      <w:textAlignment w:val="baseline"/>
    </w:pPr>
    <w:rPr>
      <w:rFonts w:cs="宋体"/>
      <w:szCs w:val="20"/>
    </w:rPr>
  </w:style>
  <w:style w:type="paragraph" w:customStyle="1" w:styleId="800">
    <w:name w:val="样式 宋体 小四 行距: 固定值 23 磅"/>
    <w:basedOn w:val="1"/>
    <w:semiHidden/>
    <w:qFormat/>
    <w:uiPriority w:val="0"/>
    <w:pPr>
      <w:tabs>
        <w:tab w:val="left" w:pos="993"/>
      </w:tabs>
      <w:spacing w:beforeLines="50" w:afterLines="50" w:line="460" w:lineRule="exact"/>
      <w:ind w:firstLine="464"/>
    </w:pPr>
    <w:rPr>
      <w:rFonts w:ascii="宋体" w:hAnsi="宋体" w:cs="宋体"/>
      <w:szCs w:val="20"/>
    </w:rPr>
  </w:style>
  <w:style w:type="paragraph" w:customStyle="1" w:styleId="801">
    <w:name w:val="样式 样式 样式 首行缩进:  2 字符 + 首行缩进:  2 字符 + 首行缩进:  2 字符"/>
    <w:basedOn w:val="1"/>
    <w:semiHidden/>
    <w:qFormat/>
    <w:uiPriority w:val="0"/>
    <w:pPr>
      <w:tabs>
        <w:tab w:val="left" w:pos="993"/>
      </w:tabs>
      <w:spacing w:beforeLines="50" w:afterLines="50" w:line="420" w:lineRule="atLeast"/>
      <w:ind w:firstLine="480"/>
    </w:pPr>
    <w:rPr>
      <w:rFonts w:eastAsia="仿宋_GB2312" w:cs="宋体"/>
      <w:szCs w:val="20"/>
    </w:rPr>
  </w:style>
  <w:style w:type="paragraph" w:customStyle="1" w:styleId="802">
    <w:name w:val="样式 样式 样式 样式1 + 首行缩进:  2 字符 + 首行缩进:  2 字符 段前: 0.5 行 段后: 0.5 行 + 首..."/>
    <w:basedOn w:val="803"/>
    <w:semiHidden/>
    <w:qFormat/>
    <w:uiPriority w:val="0"/>
    <w:pPr>
      <w:tabs>
        <w:tab w:val="left" w:pos="993"/>
      </w:tabs>
      <w:ind w:firstLine="464"/>
    </w:pPr>
  </w:style>
  <w:style w:type="paragraph" w:customStyle="1" w:styleId="803">
    <w:name w:val="样式 样式 样式1 + 首行缩进:  2 字符 + 首行缩进:  2 字符 段前: 0.5 行 段后: 0.5 行"/>
    <w:basedOn w:val="557"/>
    <w:semiHidden/>
    <w:qFormat/>
    <w:uiPriority w:val="0"/>
    <w:pPr>
      <w:tabs>
        <w:tab w:val="left" w:pos="993"/>
      </w:tabs>
      <w:spacing w:beforeLines="50" w:afterLines="50" w:line="460" w:lineRule="exact"/>
      <w:ind w:firstLine="384"/>
    </w:pPr>
    <w:rPr>
      <w:rFonts w:ascii="仿宋_GB2312"/>
      <w:szCs w:val="20"/>
    </w:rPr>
  </w:style>
  <w:style w:type="paragraph" w:customStyle="1" w:styleId="804">
    <w:name w:val="样式 样式 样式 样式1 + 首行缩进:  2 字符 + 首行缩进:  2 字符 段前: 0.5 行 段后: 0.5 行 + 首...1"/>
    <w:basedOn w:val="803"/>
    <w:semiHidden/>
    <w:qFormat/>
    <w:uiPriority w:val="0"/>
    <w:pPr>
      <w:ind w:firstLine="464"/>
    </w:pPr>
  </w:style>
  <w:style w:type="paragraph" w:customStyle="1" w:styleId="805">
    <w:name w:val="样式 样式1 + 首行缩进:  2 字符 Char Char Char Char Char Char"/>
    <w:basedOn w:val="1"/>
    <w:semiHidden/>
    <w:qFormat/>
    <w:uiPriority w:val="0"/>
    <w:pPr>
      <w:tabs>
        <w:tab w:val="left" w:pos="993"/>
      </w:tabs>
      <w:spacing w:beforeLines="50" w:afterLines="50" w:line="460" w:lineRule="exact"/>
      <w:ind w:firstLine="480"/>
    </w:pPr>
    <w:rPr>
      <w:rFonts w:cs="宋体"/>
      <w:kern w:val="0"/>
      <w:szCs w:val="20"/>
      <w:lang w:val="zh-CN"/>
    </w:rPr>
  </w:style>
  <w:style w:type="paragraph" w:customStyle="1" w:styleId="806">
    <w:name w:val="样式 样式1 + 首行缩进:  2 字符 Char Char Char Char Char Char Char Char"/>
    <w:basedOn w:val="1"/>
    <w:semiHidden/>
    <w:qFormat/>
    <w:uiPriority w:val="0"/>
    <w:pPr>
      <w:tabs>
        <w:tab w:val="left" w:pos="993"/>
      </w:tabs>
      <w:spacing w:beforeLines="50" w:afterLines="50" w:line="460" w:lineRule="exact"/>
      <w:ind w:firstLine="480"/>
    </w:pPr>
    <w:rPr>
      <w:rFonts w:cs="宋体"/>
      <w:lang w:val="zh-CN"/>
    </w:rPr>
  </w:style>
  <w:style w:type="character" w:customStyle="1" w:styleId="807">
    <w:name w:val="样式1 Char Char"/>
    <w:basedOn w:val="81"/>
    <w:qFormat/>
    <w:uiPriority w:val="0"/>
    <w:rPr>
      <w:rFonts w:eastAsia="宋体"/>
      <w:sz w:val="24"/>
      <w:szCs w:val="21"/>
      <w:lang w:val="zh-CN" w:eastAsia="zh-CN" w:bidi="ar-SA"/>
    </w:rPr>
  </w:style>
  <w:style w:type="paragraph" w:customStyle="1" w:styleId="808">
    <w:name w:val="表格文字样式"/>
    <w:basedOn w:val="1"/>
    <w:qFormat/>
    <w:uiPriority w:val="0"/>
    <w:pPr>
      <w:tabs>
        <w:tab w:val="left" w:pos="567"/>
        <w:tab w:val="left" w:pos="993"/>
      </w:tabs>
      <w:spacing w:line="240" w:lineRule="auto"/>
      <w:jc w:val="center"/>
    </w:pPr>
    <w:rPr>
      <w:rFonts w:eastAsia="华文中宋"/>
      <w:spacing w:val="20"/>
      <w:szCs w:val="20"/>
    </w:rPr>
  </w:style>
  <w:style w:type="character" w:customStyle="1" w:styleId="809">
    <w:name w:val="fvu911"/>
    <w:basedOn w:val="81"/>
    <w:qFormat/>
    <w:uiPriority w:val="0"/>
  </w:style>
  <w:style w:type="paragraph" w:customStyle="1" w:styleId="810">
    <w:name w:val="fvu9111"/>
    <w:basedOn w:val="1"/>
    <w:qFormat/>
    <w:uiPriority w:val="0"/>
    <w:pPr>
      <w:tabs>
        <w:tab w:val="left" w:pos="993"/>
      </w:tabs>
      <w:spacing w:before="100" w:beforeAutospacing="1" w:after="100" w:afterAutospacing="1" w:line="240" w:lineRule="auto"/>
    </w:pPr>
    <w:rPr>
      <w:rFonts w:ascii="宋体" w:hAnsi="宋体" w:cs="宋体"/>
      <w:kern w:val="0"/>
      <w:szCs w:val="24"/>
    </w:rPr>
  </w:style>
  <w:style w:type="paragraph" w:customStyle="1" w:styleId="811">
    <w:name w:val="流程图"/>
    <w:basedOn w:val="1"/>
    <w:qFormat/>
    <w:uiPriority w:val="0"/>
    <w:pPr>
      <w:tabs>
        <w:tab w:val="left" w:pos="0"/>
        <w:tab w:val="left" w:pos="993"/>
      </w:tabs>
      <w:autoSpaceDE w:val="0"/>
      <w:autoSpaceDN w:val="0"/>
      <w:spacing w:line="240" w:lineRule="atLeast"/>
      <w:jc w:val="center"/>
      <w:textAlignment w:val="bottom"/>
    </w:pPr>
    <w:rPr>
      <w:rFonts w:ascii="宋体"/>
      <w:sz w:val="21"/>
      <w:szCs w:val="20"/>
    </w:rPr>
  </w:style>
  <w:style w:type="paragraph" w:customStyle="1" w:styleId="812">
    <w:name w:val="默认段落字体 Para Char Char Char Char Char Char Char Char Char Char"/>
    <w:basedOn w:val="1"/>
    <w:qFormat/>
    <w:uiPriority w:val="0"/>
    <w:pPr>
      <w:tabs>
        <w:tab w:val="left" w:pos="993"/>
      </w:tabs>
      <w:spacing w:line="240" w:lineRule="auto"/>
    </w:pPr>
    <w:rPr>
      <w:sz w:val="21"/>
      <w:szCs w:val="20"/>
    </w:rPr>
  </w:style>
  <w:style w:type="paragraph" w:customStyle="1" w:styleId="813">
    <w:name w:val="TOC 标题2"/>
    <w:basedOn w:val="6"/>
    <w:next w:val="1"/>
    <w:unhideWhenUsed/>
    <w:qFormat/>
    <w:uiPriority w:val="0"/>
    <w:pPr>
      <w:tabs>
        <w:tab w:val="left" w:pos="993"/>
      </w:tabs>
      <w:spacing w:before="120" w:after="120" w:line="276" w:lineRule="auto"/>
      <w:jc w:val="left"/>
      <w:outlineLvl w:val="9"/>
    </w:pPr>
    <w:rPr>
      <w:rFonts w:ascii="Cambria" w:hAnsi="Cambria"/>
      <w:color w:val="366091"/>
      <w:kern w:val="0"/>
      <w:szCs w:val="28"/>
    </w:rPr>
  </w:style>
  <w:style w:type="character" w:customStyle="1" w:styleId="814">
    <w:name w:val="headline-content4"/>
    <w:basedOn w:val="81"/>
    <w:qFormat/>
    <w:uiPriority w:val="0"/>
  </w:style>
  <w:style w:type="paragraph" w:customStyle="1" w:styleId="815">
    <w:name w:val="default"/>
    <w:basedOn w:val="1"/>
    <w:qFormat/>
    <w:uiPriority w:val="0"/>
    <w:pPr>
      <w:tabs>
        <w:tab w:val="left" w:pos="993"/>
      </w:tabs>
      <w:spacing w:before="100" w:beforeAutospacing="1" w:after="100" w:afterAutospacing="1" w:line="240" w:lineRule="auto"/>
    </w:pPr>
    <w:rPr>
      <w:rFonts w:ascii="宋体" w:hAnsi="宋体" w:cs="宋体"/>
      <w:kern w:val="0"/>
      <w:szCs w:val="24"/>
    </w:rPr>
  </w:style>
  <w:style w:type="paragraph" w:customStyle="1" w:styleId="816">
    <w:name w:val="Table Paragraph"/>
    <w:basedOn w:val="1"/>
    <w:qFormat/>
    <w:uiPriority w:val="0"/>
    <w:pPr>
      <w:tabs>
        <w:tab w:val="left" w:pos="993"/>
      </w:tabs>
      <w:spacing w:line="240" w:lineRule="auto"/>
    </w:pPr>
    <w:rPr>
      <w:kern w:val="0"/>
      <w:sz w:val="22"/>
      <w:lang w:eastAsia="en-US"/>
    </w:rPr>
  </w:style>
  <w:style w:type="paragraph" w:customStyle="1" w:styleId="817">
    <w:name w:val="表格内字体"/>
    <w:link w:val="818"/>
    <w:qFormat/>
    <w:uiPriority w:val="0"/>
    <w:pPr>
      <w:adjustRightInd w:val="0"/>
      <w:snapToGrid w:val="0"/>
      <w:spacing w:line="360" w:lineRule="auto"/>
      <w:jc w:val="center"/>
    </w:pPr>
    <w:rPr>
      <w:rFonts w:ascii="Times New Roman" w:hAnsi="Times New Roman" w:eastAsia="仿宋_GB2312" w:cs="Times New Roman"/>
      <w:snapToGrid w:val="0"/>
      <w:kern w:val="21"/>
      <w:szCs w:val="21"/>
      <w:lang w:val="en-US" w:eastAsia="zh-CN" w:bidi="ar-SA"/>
    </w:rPr>
  </w:style>
  <w:style w:type="character" w:customStyle="1" w:styleId="818">
    <w:name w:val="表格内字体 Char"/>
    <w:link w:val="817"/>
    <w:qFormat/>
    <w:uiPriority w:val="0"/>
    <w:rPr>
      <w:rFonts w:eastAsia="仿宋_GB2312"/>
      <w:snapToGrid w:val="0"/>
      <w:kern w:val="21"/>
      <w:szCs w:val="21"/>
      <w:lang w:bidi="ar-SA"/>
    </w:rPr>
  </w:style>
  <w:style w:type="character" w:customStyle="1" w:styleId="819">
    <w:name w:val="ordinary-span-edit2"/>
    <w:basedOn w:val="81"/>
    <w:qFormat/>
    <w:uiPriority w:val="0"/>
  </w:style>
  <w:style w:type="character" w:customStyle="1" w:styleId="820">
    <w:name w:val="节 Char1"/>
    <w:qFormat/>
    <w:uiPriority w:val="9"/>
    <w:rPr>
      <w:rFonts w:ascii="Times New Roman" w:hAnsi="Times New Roman" w:eastAsia="宋体" w:cs="宋体"/>
      <w:b/>
      <w:bCs/>
      <w:snapToGrid w:val="0"/>
      <w:kern w:val="0"/>
      <w:sz w:val="28"/>
      <w:szCs w:val="28"/>
    </w:rPr>
  </w:style>
  <w:style w:type="paragraph" w:customStyle="1" w:styleId="821">
    <w:name w:val="msonormal"/>
    <w:basedOn w:val="1"/>
    <w:qFormat/>
    <w:uiPriority w:val="0"/>
    <w:pPr>
      <w:spacing w:before="100" w:beforeAutospacing="1" w:after="100" w:afterAutospacing="1" w:line="240" w:lineRule="auto"/>
      <w:jc w:val="center"/>
    </w:pPr>
    <w:rPr>
      <w:rFonts w:ascii="宋体" w:hAnsi="宋体" w:cs="宋体"/>
      <w:kern w:val="0"/>
      <w:szCs w:val="24"/>
    </w:rPr>
  </w:style>
  <w:style w:type="paragraph" w:customStyle="1" w:styleId="822">
    <w:name w:val="xl63"/>
    <w:basedOn w:val="1"/>
    <w:qFormat/>
    <w:uiPriority w:val="0"/>
    <w:pPr>
      <w:pBdr>
        <w:top w:val="single" w:color="auto" w:sz="8" w:space="0"/>
        <w:right w:val="single" w:color="auto" w:sz="8" w:space="0"/>
      </w:pBdr>
      <w:spacing w:before="100" w:beforeAutospacing="1" w:after="100" w:afterAutospacing="1" w:line="240" w:lineRule="auto"/>
      <w:jc w:val="center"/>
      <w:textAlignment w:val="center"/>
    </w:pPr>
    <w:rPr>
      <w:rFonts w:ascii="宋体" w:hAnsi="宋体" w:cs="宋体"/>
      <w:color w:val="FF0000"/>
      <w:kern w:val="0"/>
      <w:sz w:val="18"/>
      <w:szCs w:val="18"/>
    </w:rPr>
  </w:style>
  <w:style w:type="paragraph" w:customStyle="1" w:styleId="823">
    <w:name w:val="xl64"/>
    <w:basedOn w:val="1"/>
    <w:qFormat/>
    <w:uiPriority w:val="0"/>
    <w:pPr>
      <w:pBdr>
        <w:bottom w:val="single" w:color="auto" w:sz="8" w:space="0"/>
        <w:right w:val="single" w:color="auto" w:sz="8" w:space="0"/>
      </w:pBdr>
      <w:spacing w:before="100" w:beforeAutospacing="1" w:after="100" w:afterAutospacing="1" w:line="240" w:lineRule="auto"/>
      <w:jc w:val="center"/>
      <w:textAlignment w:val="center"/>
    </w:pPr>
    <w:rPr>
      <w:rFonts w:ascii="宋体" w:hAnsi="宋体" w:cs="宋体"/>
      <w:color w:val="FF0000"/>
      <w:kern w:val="0"/>
      <w:sz w:val="18"/>
      <w:szCs w:val="18"/>
    </w:rPr>
  </w:style>
  <w:style w:type="paragraph" w:customStyle="1" w:styleId="824">
    <w:name w:val="xl65"/>
    <w:basedOn w:val="1"/>
    <w:qFormat/>
    <w:uiPriority w:val="0"/>
    <w:pPr>
      <w:pBdr>
        <w:bottom w:val="single" w:color="auto" w:sz="8" w:space="0"/>
        <w:right w:val="single" w:color="auto" w:sz="8" w:space="0"/>
      </w:pBdr>
      <w:spacing w:before="100" w:beforeAutospacing="1" w:after="100" w:afterAutospacing="1" w:line="240" w:lineRule="auto"/>
      <w:jc w:val="center"/>
      <w:textAlignment w:val="center"/>
    </w:pPr>
    <w:rPr>
      <w:color w:val="FF0000"/>
      <w:kern w:val="0"/>
      <w:sz w:val="18"/>
      <w:szCs w:val="18"/>
    </w:rPr>
  </w:style>
  <w:style w:type="paragraph" w:customStyle="1" w:styleId="825">
    <w:name w:val="xl66"/>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color w:val="FF0000"/>
      <w:kern w:val="0"/>
      <w:sz w:val="18"/>
      <w:szCs w:val="18"/>
    </w:rPr>
  </w:style>
  <w:style w:type="paragraph" w:customStyle="1" w:styleId="826">
    <w:name w:val="xl67"/>
    <w:basedOn w:val="1"/>
    <w:qFormat/>
    <w:uiPriority w:val="0"/>
    <w:pPr>
      <w:pBdr>
        <w:right w:val="single" w:color="auto" w:sz="8" w:space="0"/>
      </w:pBdr>
      <w:spacing w:before="100" w:beforeAutospacing="1" w:after="100" w:afterAutospacing="1" w:line="240" w:lineRule="auto"/>
      <w:jc w:val="center"/>
      <w:textAlignment w:val="center"/>
    </w:pPr>
    <w:rPr>
      <w:color w:val="FF0000"/>
      <w:kern w:val="0"/>
      <w:sz w:val="18"/>
      <w:szCs w:val="18"/>
    </w:rPr>
  </w:style>
  <w:style w:type="paragraph" w:customStyle="1" w:styleId="827">
    <w:name w:val="xl68"/>
    <w:basedOn w:val="1"/>
    <w:qFormat/>
    <w:uiPriority w:val="0"/>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宋体" w:hAnsi="宋体" w:cs="宋体"/>
      <w:color w:val="FF0000"/>
      <w:kern w:val="0"/>
      <w:sz w:val="18"/>
      <w:szCs w:val="18"/>
    </w:rPr>
  </w:style>
  <w:style w:type="paragraph" w:customStyle="1" w:styleId="828">
    <w:name w:val="xl69"/>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宋体" w:hAnsi="宋体" w:cs="宋体"/>
      <w:color w:val="FF0000"/>
      <w:kern w:val="0"/>
      <w:sz w:val="18"/>
      <w:szCs w:val="18"/>
    </w:rPr>
  </w:style>
  <w:style w:type="paragraph" w:customStyle="1" w:styleId="829">
    <w:name w:val="xl70"/>
    <w:basedOn w:val="1"/>
    <w:qFormat/>
    <w:uiPriority w:val="0"/>
    <w:pPr>
      <w:pBdr>
        <w:top w:val="single" w:color="auto" w:sz="8" w:space="0"/>
        <w:bottom w:val="single" w:color="auto" w:sz="8" w:space="0"/>
      </w:pBdr>
      <w:spacing w:before="100" w:beforeAutospacing="1" w:after="100" w:afterAutospacing="1" w:line="240" w:lineRule="auto"/>
      <w:jc w:val="center"/>
      <w:textAlignment w:val="center"/>
    </w:pPr>
    <w:rPr>
      <w:rFonts w:ascii="宋体" w:hAnsi="宋体" w:cs="宋体"/>
      <w:color w:val="FF0000"/>
      <w:kern w:val="0"/>
      <w:sz w:val="18"/>
      <w:szCs w:val="18"/>
    </w:rPr>
  </w:style>
  <w:style w:type="paragraph" w:customStyle="1" w:styleId="830">
    <w:name w:val="xl71"/>
    <w:basedOn w:val="1"/>
    <w:qFormat/>
    <w:uiPriority w:val="0"/>
    <w:pPr>
      <w:pBdr>
        <w:top w:val="single" w:color="auto" w:sz="8" w:space="0"/>
        <w:left w:val="single" w:color="auto" w:sz="8" w:space="0"/>
        <w:bottom w:val="single" w:color="auto" w:sz="8" w:space="0"/>
      </w:pBdr>
      <w:spacing w:before="100" w:beforeAutospacing="1" w:after="100" w:afterAutospacing="1" w:line="240" w:lineRule="auto"/>
      <w:jc w:val="center"/>
      <w:textAlignment w:val="center"/>
    </w:pPr>
    <w:rPr>
      <w:rFonts w:ascii="宋体" w:hAnsi="宋体" w:cs="宋体"/>
      <w:color w:val="FF0000"/>
      <w:kern w:val="0"/>
      <w:sz w:val="18"/>
      <w:szCs w:val="18"/>
    </w:rPr>
  </w:style>
  <w:style w:type="character" w:customStyle="1" w:styleId="831">
    <w:name w:val="表中文字 Char1"/>
    <w:qFormat/>
    <w:uiPriority w:val="0"/>
    <w:rPr>
      <w:rFonts w:ascii="Times New Roman" w:hAnsi="Times New Roman" w:eastAsia="宋体" w:cs="宋体"/>
      <w:sz w:val="21"/>
      <w:szCs w:val="21"/>
    </w:rPr>
  </w:style>
  <w:style w:type="character" w:customStyle="1" w:styleId="832">
    <w:name w:val="表头11 Char"/>
    <w:link w:val="833"/>
    <w:qFormat/>
    <w:uiPriority w:val="0"/>
    <w:rPr>
      <w:b/>
      <w:sz w:val="24"/>
      <w:szCs w:val="24"/>
    </w:rPr>
  </w:style>
  <w:style w:type="paragraph" w:customStyle="1" w:styleId="833">
    <w:name w:val="表头11"/>
    <w:basedOn w:val="1"/>
    <w:link w:val="832"/>
    <w:qFormat/>
    <w:uiPriority w:val="0"/>
    <w:pPr>
      <w:spacing w:beforeLines="30" w:line="460" w:lineRule="exact"/>
      <w:jc w:val="center"/>
    </w:pPr>
    <w:rPr>
      <w:b/>
      <w:kern w:val="0"/>
      <w:szCs w:val="24"/>
    </w:rPr>
  </w:style>
  <w:style w:type="table" w:customStyle="1" w:styleId="834">
    <w:name w:val="网格型浅色1"/>
    <w:basedOn w:val="73"/>
    <w:qFormat/>
    <w:uiPriority w:val="40"/>
    <w:rPr>
      <w:kern w:val="2"/>
      <w:sz w:val="21"/>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835">
    <w:name w:val="三线1"/>
    <w:basedOn w:val="73"/>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6">
    <w:name w:val="表格样式-ls"/>
    <w:basedOn w:val="73"/>
    <w:qFormat/>
    <w:uiPriority w:val="0"/>
    <w:pPr>
      <w:widowControl w:val="0"/>
      <w:adjustRightInd w:val="0"/>
      <w:spacing w:line="360" w:lineRule="exact"/>
      <w:jc w:val="center"/>
      <w:textAlignment w:val="center"/>
    </w:pPr>
    <w:rPr>
      <w:szCs w:val="21"/>
    </w:rPr>
    <w:tblPr>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Symbol"/>
        <w:b w:val="0"/>
        <w:bCs/>
        <w:color w:val="auto"/>
        <w:sz w:val="21"/>
      </w:rPr>
      <w:tcPr>
        <w:tcBorders>
          <w:top w:val="nil"/>
          <w:left w:val="nil"/>
          <w:bottom w:val="nil"/>
          <w:right w:val="nil"/>
          <w:insideH w:val="nil"/>
          <w:insideV w:val="nil"/>
          <w:tl2br w:val="nil"/>
          <w:tr2bl w:val="nil"/>
        </w:tcBorders>
        <w:shd w:val="pct20" w:color="000000" w:fill="FFFFFF"/>
      </w:tcPr>
    </w:tblStylePr>
  </w:style>
  <w:style w:type="character" w:customStyle="1" w:styleId="837">
    <w:name w:val="未处理的提及1"/>
    <w:basedOn w:val="81"/>
    <w:unhideWhenUsed/>
    <w:qFormat/>
    <w:uiPriority w:val="99"/>
    <w:rPr>
      <w:color w:val="605E5C"/>
      <w:shd w:val="clear" w:color="auto" w:fill="E1DFDD"/>
    </w:rPr>
  </w:style>
  <w:style w:type="character" w:customStyle="1" w:styleId="838">
    <w:name w:val="未处理的提及2"/>
    <w:basedOn w:val="81"/>
    <w:unhideWhenUsed/>
    <w:qFormat/>
    <w:uiPriority w:val="99"/>
    <w:rPr>
      <w:color w:val="605E5C"/>
      <w:shd w:val="clear" w:color="auto" w:fill="E1DFDD"/>
    </w:rPr>
  </w:style>
  <w:style w:type="table" w:customStyle="1" w:styleId="839">
    <w:name w:val="网格型浅色11"/>
    <w:basedOn w:val="73"/>
    <w:qFormat/>
    <w:uiPriority w:val="40"/>
    <w:rPr>
      <w:kern w:val="2"/>
      <w:sz w:val="21"/>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840">
    <w:name w:val="表格样式-ls1"/>
    <w:basedOn w:val="73"/>
    <w:qFormat/>
    <w:uiPriority w:val="0"/>
    <w:pPr>
      <w:widowControl w:val="0"/>
      <w:adjustRightInd w:val="0"/>
      <w:spacing w:line="360" w:lineRule="exact"/>
      <w:jc w:val="center"/>
      <w:textAlignment w:val="center"/>
    </w:pPr>
    <w:rPr>
      <w:szCs w:val="21"/>
    </w:rPr>
    <w:tblPr>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
    <w:trPr>
      <w:jc w:val="center"/>
    </w:trPr>
    <w:tcPr>
      <w:shd w:val="clear" w:color="auto" w:fill="auto"/>
      <w:vAlign w:val="center"/>
    </w:tcPr>
    <w:tblStylePr w:type="firstRow">
      <w:pPr>
        <w:jc w:val="center"/>
      </w:pPr>
      <w:rPr>
        <w:rFonts w:eastAsia="Symbol"/>
        <w:b w:val="0"/>
        <w:bCs/>
        <w:color w:val="auto"/>
        <w:sz w:val="21"/>
      </w:rPr>
      <w:tcPr>
        <w:tcBorders>
          <w:top w:val="nil"/>
          <w:left w:val="nil"/>
          <w:bottom w:val="nil"/>
          <w:right w:val="nil"/>
          <w:insideH w:val="nil"/>
          <w:insideV w:val="nil"/>
          <w:tl2br w:val="nil"/>
          <w:tr2bl w:val="nil"/>
        </w:tcBorders>
        <w:shd w:val="pct20" w:color="000000" w:fill="FFFFFF"/>
      </w:tcPr>
    </w:tblStylePr>
  </w:style>
  <w:style w:type="table" w:customStyle="1" w:styleId="841">
    <w:name w:val="网格型浅色12"/>
    <w:basedOn w:val="73"/>
    <w:qFormat/>
    <w:uiPriority w:val="40"/>
    <w:rPr>
      <w:kern w:val="2"/>
      <w:sz w:val="21"/>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paragraph" w:customStyle="1" w:styleId="842">
    <w:name w:val="_Style 8"/>
    <w:basedOn w:val="1"/>
    <w:qFormat/>
    <w:uiPriority w:val="0"/>
    <w:pPr>
      <w:spacing w:line="240" w:lineRule="atLeast"/>
      <w:ind w:left="420" w:firstLine="420"/>
    </w:pPr>
    <w:rPr>
      <w:kern w:val="0"/>
      <w:sz w:val="21"/>
    </w:rPr>
  </w:style>
  <w:style w:type="paragraph" w:customStyle="1" w:styleId="843">
    <w:name w:val="页脚1"/>
    <w:basedOn w:val="1"/>
    <w:next w:val="47"/>
    <w:unhideWhenUsed/>
    <w:qFormat/>
    <w:uiPriority w:val="99"/>
    <w:pPr>
      <w:tabs>
        <w:tab w:val="center" w:pos="4153"/>
        <w:tab w:val="right" w:pos="8306"/>
      </w:tabs>
      <w:spacing w:after="200"/>
    </w:pPr>
    <w:rPr>
      <w:kern w:val="0"/>
      <w:sz w:val="18"/>
      <w:szCs w:val="18"/>
    </w:rPr>
  </w:style>
  <w:style w:type="character" w:customStyle="1" w:styleId="844">
    <w:name w:val="页眉 Char1"/>
    <w:basedOn w:val="81"/>
    <w:qFormat/>
    <w:uiPriority w:val="0"/>
    <w:rPr>
      <w:kern w:val="2"/>
      <w:sz w:val="18"/>
      <w:szCs w:val="18"/>
    </w:rPr>
  </w:style>
  <w:style w:type="character" w:customStyle="1" w:styleId="845">
    <w:name w:val="页脚 Char1"/>
    <w:basedOn w:val="81"/>
    <w:qFormat/>
    <w:uiPriority w:val="0"/>
    <w:rPr>
      <w:kern w:val="2"/>
      <w:sz w:val="18"/>
      <w:szCs w:val="18"/>
    </w:rPr>
  </w:style>
  <w:style w:type="paragraph" w:customStyle="1" w:styleId="846">
    <w:name w:val="xl103"/>
    <w:basedOn w:val="1"/>
    <w:qFormat/>
    <w:uiPriority w:val="0"/>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宋体" w:hAnsi="宋体" w:cs="宋体"/>
      <w:color w:val="FF0000"/>
      <w:kern w:val="0"/>
      <w:sz w:val="21"/>
    </w:rPr>
  </w:style>
  <w:style w:type="paragraph" w:customStyle="1" w:styleId="847">
    <w:name w:val="xl104"/>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宋体" w:hAnsi="宋体" w:cs="宋体"/>
      <w:color w:val="FF0000"/>
      <w:kern w:val="0"/>
      <w:sz w:val="21"/>
    </w:rPr>
  </w:style>
  <w:style w:type="paragraph" w:customStyle="1" w:styleId="848">
    <w:name w:val="xl105"/>
    <w:basedOn w:val="1"/>
    <w:qFormat/>
    <w:uiPriority w:val="0"/>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宋体" w:hAnsi="宋体" w:cs="宋体"/>
      <w:kern w:val="0"/>
      <w:sz w:val="21"/>
    </w:rPr>
  </w:style>
  <w:style w:type="paragraph" w:customStyle="1" w:styleId="849">
    <w:name w:val="xl106"/>
    <w:basedOn w:val="1"/>
    <w:qFormat/>
    <w:uiPriority w:val="0"/>
    <w:pPr>
      <w:pBdr>
        <w:left w:val="single" w:color="auto" w:sz="8" w:space="0"/>
        <w:right w:val="single" w:color="auto" w:sz="8" w:space="0"/>
      </w:pBdr>
      <w:spacing w:before="100" w:beforeAutospacing="1" w:after="100" w:afterAutospacing="1" w:line="240" w:lineRule="auto"/>
      <w:jc w:val="center"/>
      <w:textAlignment w:val="center"/>
    </w:pPr>
    <w:rPr>
      <w:rFonts w:ascii="宋体" w:hAnsi="宋体" w:cs="宋体"/>
      <w:kern w:val="0"/>
      <w:sz w:val="21"/>
    </w:rPr>
  </w:style>
  <w:style w:type="paragraph" w:customStyle="1" w:styleId="850">
    <w:name w:val="xl107"/>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宋体" w:hAnsi="宋体" w:cs="宋体"/>
      <w:kern w:val="0"/>
      <w:sz w:val="21"/>
    </w:rPr>
  </w:style>
  <w:style w:type="paragraph" w:customStyle="1" w:styleId="851">
    <w:name w:val="xl108"/>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center"/>
      <w:textAlignment w:val="center"/>
    </w:pPr>
    <w:rPr>
      <w:kern w:val="0"/>
      <w:sz w:val="21"/>
    </w:rPr>
  </w:style>
  <w:style w:type="paragraph" w:customStyle="1" w:styleId="852">
    <w:name w:val="xl109"/>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center"/>
      <w:textAlignment w:val="center"/>
    </w:pPr>
    <w:rPr>
      <w:kern w:val="0"/>
      <w:sz w:val="21"/>
    </w:rPr>
  </w:style>
  <w:style w:type="paragraph" w:customStyle="1" w:styleId="853">
    <w:name w:val="xl110"/>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center"/>
      <w:textAlignment w:val="center"/>
    </w:pPr>
    <w:rPr>
      <w:kern w:val="0"/>
      <w:sz w:val="21"/>
    </w:rPr>
  </w:style>
  <w:style w:type="paragraph" w:customStyle="1" w:styleId="854">
    <w:name w:val="xl111"/>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center"/>
      <w:textAlignment w:val="center"/>
    </w:pPr>
    <w:rPr>
      <w:kern w:val="0"/>
      <w:sz w:val="21"/>
    </w:rPr>
  </w:style>
  <w:style w:type="paragraph" w:customStyle="1" w:styleId="855">
    <w:name w:val="xl112"/>
    <w:basedOn w:val="1"/>
    <w:qFormat/>
    <w:uiPriority w:val="0"/>
    <w:pPr>
      <w:pBdr>
        <w:top w:val="single" w:color="auto" w:sz="4" w:space="0"/>
        <w:left w:val="single" w:color="auto" w:sz="4" w:space="0"/>
      </w:pBdr>
      <w:shd w:val="clear" w:color="000000" w:fill="FFFFFF"/>
      <w:spacing w:before="100" w:beforeAutospacing="1" w:after="100" w:afterAutospacing="1" w:line="240" w:lineRule="auto"/>
      <w:jc w:val="center"/>
      <w:textAlignment w:val="center"/>
    </w:pPr>
    <w:rPr>
      <w:rFonts w:ascii="宋体" w:hAnsi="宋体" w:cs="宋体"/>
      <w:color w:val="FF0000"/>
      <w:kern w:val="0"/>
      <w:sz w:val="21"/>
    </w:rPr>
  </w:style>
  <w:style w:type="paragraph" w:customStyle="1" w:styleId="856">
    <w:name w:val="xl113"/>
    <w:basedOn w:val="1"/>
    <w:qFormat/>
    <w:uiPriority w:val="0"/>
    <w:pPr>
      <w:pBdr>
        <w:left w:val="single" w:color="auto" w:sz="4" w:space="0"/>
      </w:pBdr>
      <w:shd w:val="clear" w:color="000000" w:fill="FFFFFF"/>
      <w:spacing w:before="100" w:beforeAutospacing="1" w:after="100" w:afterAutospacing="1" w:line="240" w:lineRule="auto"/>
      <w:jc w:val="center"/>
      <w:textAlignment w:val="center"/>
    </w:pPr>
    <w:rPr>
      <w:rFonts w:ascii="宋体" w:hAnsi="宋体" w:cs="宋体"/>
      <w:color w:val="FF0000"/>
      <w:kern w:val="0"/>
      <w:sz w:val="21"/>
    </w:rPr>
  </w:style>
  <w:style w:type="paragraph" w:customStyle="1" w:styleId="857">
    <w:name w:val="xl114"/>
    <w:basedOn w:val="1"/>
    <w:qFormat/>
    <w:uiPriority w:val="0"/>
    <w:pPr>
      <w:pBdr>
        <w:left w:val="single" w:color="auto" w:sz="4" w:space="0"/>
        <w:bottom w:val="single" w:color="auto" w:sz="4" w:space="0"/>
      </w:pBdr>
      <w:shd w:val="clear" w:color="000000" w:fill="FFFFFF"/>
      <w:spacing w:before="100" w:beforeAutospacing="1" w:after="100" w:afterAutospacing="1" w:line="240" w:lineRule="auto"/>
      <w:jc w:val="center"/>
      <w:textAlignment w:val="center"/>
    </w:pPr>
    <w:rPr>
      <w:rFonts w:ascii="宋体" w:hAnsi="宋体" w:cs="宋体"/>
      <w:color w:val="FF0000"/>
      <w:kern w:val="0"/>
      <w:sz w:val="21"/>
    </w:rPr>
  </w:style>
  <w:style w:type="paragraph" w:customStyle="1" w:styleId="858">
    <w:name w:val="xl115"/>
    <w:basedOn w:val="1"/>
    <w:qFormat/>
    <w:uiPriority w:val="0"/>
    <w:pPr>
      <w:pBdr>
        <w:top w:val="single" w:color="auto" w:sz="4" w:space="0"/>
      </w:pBdr>
      <w:shd w:val="clear" w:color="000000" w:fill="FFFFFF"/>
      <w:spacing w:before="100" w:beforeAutospacing="1" w:after="100" w:afterAutospacing="1" w:line="240" w:lineRule="auto"/>
      <w:jc w:val="center"/>
      <w:textAlignment w:val="center"/>
    </w:pPr>
    <w:rPr>
      <w:rFonts w:ascii="宋体" w:hAnsi="宋体" w:cs="宋体"/>
      <w:color w:val="FF0000"/>
      <w:kern w:val="0"/>
      <w:sz w:val="21"/>
    </w:rPr>
  </w:style>
  <w:style w:type="paragraph" w:customStyle="1" w:styleId="859">
    <w:name w:val="xl116"/>
    <w:basedOn w:val="1"/>
    <w:qFormat/>
    <w:uiPriority w:val="0"/>
    <w:pPr>
      <w:shd w:val="clear" w:color="000000" w:fill="FFFFFF"/>
      <w:spacing w:before="100" w:beforeAutospacing="1" w:after="100" w:afterAutospacing="1" w:line="240" w:lineRule="auto"/>
      <w:jc w:val="center"/>
      <w:textAlignment w:val="center"/>
    </w:pPr>
    <w:rPr>
      <w:rFonts w:ascii="宋体" w:hAnsi="宋体" w:cs="宋体"/>
      <w:color w:val="FF0000"/>
      <w:kern w:val="0"/>
      <w:sz w:val="21"/>
    </w:rPr>
  </w:style>
  <w:style w:type="paragraph" w:customStyle="1" w:styleId="860">
    <w:name w:val="xl117"/>
    <w:basedOn w:val="1"/>
    <w:qFormat/>
    <w:uiPriority w:val="0"/>
    <w:pPr>
      <w:pBdr>
        <w:bottom w:val="single" w:color="auto" w:sz="4" w:space="0"/>
      </w:pBdr>
      <w:shd w:val="clear" w:color="000000" w:fill="FFFFFF"/>
      <w:spacing w:before="100" w:beforeAutospacing="1" w:after="100" w:afterAutospacing="1" w:line="240" w:lineRule="auto"/>
      <w:jc w:val="center"/>
      <w:textAlignment w:val="center"/>
    </w:pPr>
    <w:rPr>
      <w:rFonts w:ascii="宋体" w:hAnsi="宋体" w:cs="宋体"/>
      <w:color w:val="FF0000"/>
      <w:kern w:val="0"/>
      <w:sz w:val="21"/>
    </w:rPr>
  </w:style>
  <w:style w:type="paragraph" w:customStyle="1" w:styleId="861">
    <w:name w:val="xl118"/>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color w:val="FF0000"/>
      <w:kern w:val="0"/>
      <w:sz w:val="21"/>
    </w:rPr>
  </w:style>
  <w:style w:type="paragraph" w:customStyle="1" w:styleId="862">
    <w:name w:val="xl119"/>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color w:val="FF0000"/>
      <w:kern w:val="0"/>
      <w:sz w:val="21"/>
    </w:rPr>
  </w:style>
  <w:style w:type="paragraph" w:customStyle="1" w:styleId="863">
    <w:name w:val="xl1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color w:val="FF0000"/>
      <w:kern w:val="0"/>
      <w:sz w:val="21"/>
    </w:rPr>
  </w:style>
  <w:style w:type="paragraph" w:customStyle="1" w:styleId="864">
    <w:name w:val="xl1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FF0000"/>
      <w:kern w:val="0"/>
      <w:szCs w:val="24"/>
    </w:rPr>
  </w:style>
  <w:style w:type="paragraph" w:customStyle="1" w:styleId="865">
    <w:name w:val="xl1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color w:val="FF0000"/>
      <w:kern w:val="0"/>
      <w:szCs w:val="24"/>
    </w:rPr>
  </w:style>
  <w:style w:type="paragraph" w:customStyle="1" w:styleId="866">
    <w:name w:val="xl1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FF0000"/>
      <w:kern w:val="0"/>
      <w:szCs w:val="24"/>
    </w:rPr>
  </w:style>
  <w:style w:type="paragraph" w:customStyle="1" w:styleId="867">
    <w:name w:val="xl1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FF0000"/>
      <w:kern w:val="0"/>
      <w:szCs w:val="24"/>
    </w:rPr>
  </w:style>
  <w:style w:type="paragraph" w:customStyle="1" w:styleId="868">
    <w:name w:val="xl1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FF0000"/>
      <w:kern w:val="0"/>
      <w:szCs w:val="24"/>
    </w:rPr>
  </w:style>
  <w:style w:type="character" w:customStyle="1" w:styleId="869">
    <w:name w:val="txt1"/>
    <w:qFormat/>
    <w:uiPriority w:val="0"/>
    <w:rPr>
      <w:spacing w:val="60"/>
      <w:sz w:val="14"/>
      <w:szCs w:val="14"/>
    </w:rPr>
  </w:style>
  <w:style w:type="character" w:customStyle="1" w:styleId="870">
    <w:name w:val="纯文本 Char Char"/>
    <w:qFormat/>
    <w:uiPriority w:val="0"/>
    <w:rPr>
      <w:rFonts w:ascii="宋体" w:hAnsi="Courier New" w:eastAsia="宋体"/>
      <w:kern w:val="2"/>
      <w:sz w:val="21"/>
      <w:lang w:val="en-US" w:eastAsia="zh-CN" w:bidi="ar-SA"/>
    </w:rPr>
  </w:style>
  <w:style w:type="character" w:customStyle="1" w:styleId="871">
    <w:name w:val="t11"/>
    <w:qFormat/>
    <w:uiPriority w:val="0"/>
    <w:rPr>
      <w:sz w:val="21"/>
      <w:szCs w:val="21"/>
    </w:rPr>
  </w:style>
  <w:style w:type="character" w:customStyle="1" w:styleId="872">
    <w:name w:val="todaynews_14pxtitlered1"/>
    <w:qFormat/>
    <w:uiPriority w:val="0"/>
    <w:rPr>
      <w:color w:val="D56453"/>
      <w:sz w:val="21"/>
      <w:szCs w:val="21"/>
      <w:u w:val="none"/>
    </w:rPr>
  </w:style>
  <w:style w:type="character" w:customStyle="1" w:styleId="873">
    <w:name w:val="f91"/>
    <w:qFormat/>
    <w:uiPriority w:val="0"/>
    <w:rPr>
      <w:rFonts w:hint="default"/>
      <w:sz w:val="18"/>
      <w:szCs w:val="18"/>
    </w:rPr>
  </w:style>
  <w:style w:type="character" w:customStyle="1" w:styleId="874">
    <w:name w:val="标题 1 字符1"/>
    <w:qFormat/>
    <w:uiPriority w:val="9"/>
    <w:rPr>
      <w:rFonts w:ascii="宋体" w:hAnsi="宋体" w:eastAsia="宋体" w:cs="Times New Roman"/>
      <w:b/>
      <w:bCs/>
      <w:szCs w:val="24"/>
    </w:rPr>
  </w:style>
  <w:style w:type="character" w:customStyle="1" w:styleId="875">
    <w:name w:val="fontcsszw"/>
    <w:basedOn w:val="81"/>
    <w:qFormat/>
    <w:uiPriority w:val="0"/>
  </w:style>
  <w:style w:type="character" w:customStyle="1" w:styleId="876">
    <w:name w:val="large"/>
    <w:basedOn w:val="81"/>
    <w:qFormat/>
    <w:uiPriority w:val="0"/>
  </w:style>
  <w:style w:type="character" w:customStyle="1" w:styleId="877">
    <w:name w:val="正文缩进 Char"/>
    <w:link w:val="878"/>
    <w:qFormat/>
    <w:uiPriority w:val="0"/>
    <w:rPr>
      <w:rFonts w:eastAsia="宋体"/>
      <w:kern w:val="2"/>
      <w:sz w:val="28"/>
      <w:lang w:val="en-US" w:eastAsia="zh-CN" w:bidi="ar-SA"/>
    </w:rPr>
  </w:style>
  <w:style w:type="paragraph" w:customStyle="1" w:styleId="878">
    <w:name w:val="正文缩进1"/>
    <w:basedOn w:val="1"/>
    <w:link w:val="877"/>
    <w:qFormat/>
    <w:uiPriority w:val="0"/>
    <w:pPr>
      <w:spacing w:before="60" w:after="60" w:line="360" w:lineRule="exact"/>
      <w:ind w:firstLine="420" w:firstLineChars="200"/>
      <w:jc w:val="both"/>
    </w:pPr>
    <w:rPr>
      <w:sz w:val="28"/>
      <w:szCs w:val="20"/>
    </w:rPr>
  </w:style>
  <w:style w:type="character" w:customStyle="1" w:styleId="879">
    <w:name w:val="正文文本缩进 2 字符1"/>
    <w:qFormat/>
    <w:uiPriority w:val="0"/>
    <w:rPr>
      <w:rFonts w:ascii="宋体" w:hAnsi="宋体" w:eastAsia="宋体"/>
      <w:sz w:val="28"/>
    </w:rPr>
  </w:style>
  <w:style w:type="character" w:customStyle="1" w:styleId="880">
    <w:name w:val="表 Char Char"/>
    <w:qFormat/>
    <w:uiPriority w:val="0"/>
    <w:rPr>
      <w:rFonts w:ascii="宋体" w:hAnsi="宋体" w:eastAsia="宋体"/>
      <w:kern w:val="2"/>
      <w:sz w:val="21"/>
      <w:lang w:val="en-US" w:eastAsia="zh-CN" w:bidi="ar-SA"/>
    </w:rPr>
  </w:style>
  <w:style w:type="character" w:customStyle="1" w:styleId="881">
    <w:name w:val="文档结构图 字符1"/>
    <w:qFormat/>
    <w:uiPriority w:val="0"/>
    <w:rPr>
      <w:rFonts w:ascii="宋体" w:eastAsia="宋体"/>
      <w:sz w:val="18"/>
      <w:szCs w:val="18"/>
    </w:rPr>
  </w:style>
  <w:style w:type="character" w:customStyle="1" w:styleId="882">
    <w:name w:val="9points1"/>
    <w:qFormat/>
    <w:uiPriority w:val="0"/>
    <w:rPr>
      <w:rFonts w:hint="default"/>
      <w:color w:val="003366"/>
      <w:sz w:val="18"/>
      <w:szCs w:val="18"/>
      <w:u w:val="none"/>
    </w:rPr>
  </w:style>
  <w:style w:type="character" w:customStyle="1" w:styleId="883">
    <w:name w:val="样式 环评正文 + 仿宋_GB2312 加粗 Char"/>
    <w:qFormat/>
    <w:uiPriority w:val="0"/>
    <w:rPr>
      <w:rFonts w:ascii="宋体" w:hAnsi="仿宋_GB2312" w:eastAsia="宋体"/>
      <w:b/>
      <w:bCs/>
      <w:spacing w:val="10"/>
      <w:kern w:val="44"/>
      <w:sz w:val="24"/>
      <w:szCs w:val="24"/>
      <w:lang w:val="en-US" w:eastAsia="zh-CN" w:bidi="ar-SA"/>
    </w:rPr>
  </w:style>
  <w:style w:type="character" w:customStyle="1" w:styleId="884">
    <w:name w:val="td1"/>
    <w:basedOn w:val="81"/>
    <w:qFormat/>
    <w:uiPriority w:val="0"/>
  </w:style>
  <w:style w:type="character" w:customStyle="1" w:styleId="885">
    <w:name w:val="纯文本 字符1"/>
    <w:qFormat/>
    <w:uiPriority w:val="0"/>
    <w:rPr>
      <w:rFonts w:ascii="宋体" w:hAnsi="Courier New" w:eastAsia="宋体" w:cs="Courier New"/>
      <w:szCs w:val="21"/>
    </w:rPr>
  </w:style>
  <w:style w:type="character" w:customStyle="1" w:styleId="886">
    <w:name w:val="css-text3"/>
    <w:basedOn w:val="81"/>
    <w:qFormat/>
    <w:uiPriority w:val="0"/>
  </w:style>
  <w:style w:type="character" w:customStyle="1" w:styleId="887">
    <w:name w:val="style51"/>
    <w:qFormat/>
    <w:uiPriority w:val="0"/>
    <w:rPr>
      <w:rFonts w:hint="eastAsia" w:ascii="宋体" w:hAnsi="宋体" w:eastAsia="宋体" w:cs="Verdana"/>
      <w:b/>
      <w:sz w:val="21"/>
      <w:szCs w:val="21"/>
      <w:lang w:val="en-US" w:eastAsia="en-US" w:bidi="ar-SA"/>
    </w:rPr>
  </w:style>
  <w:style w:type="character" w:customStyle="1" w:styleId="888">
    <w:name w:val="表头 Char Char Char"/>
    <w:qFormat/>
    <w:uiPriority w:val="0"/>
    <w:rPr>
      <w:rFonts w:ascii="宋体" w:eastAsia="宋体"/>
      <w:sz w:val="21"/>
      <w:lang w:val="en-US" w:eastAsia="zh-CN" w:bidi="ar-SA"/>
    </w:rPr>
  </w:style>
  <w:style w:type="character" w:customStyle="1" w:styleId="889">
    <w:name w:val="ys"/>
    <w:basedOn w:val="81"/>
    <w:qFormat/>
    <w:uiPriority w:val="0"/>
  </w:style>
  <w:style w:type="paragraph" w:customStyle="1" w:styleId="890">
    <w:name w:val="王军波目录"/>
    <w:basedOn w:val="3"/>
    <w:next w:val="2"/>
    <w:link w:val="891"/>
    <w:qFormat/>
    <w:uiPriority w:val="0"/>
    <w:pPr>
      <w:spacing w:line="312" w:lineRule="auto"/>
      <w:ind w:firstLine="567" w:firstLineChars="200"/>
      <w:textAlignment w:val="baseline"/>
    </w:pPr>
    <w:rPr>
      <w:rFonts w:ascii="Arial" w:hAnsi="Arial" w:eastAsia="宋体"/>
      <w:color w:val="FF0000"/>
      <w:spacing w:val="6"/>
      <w:kern w:val="2"/>
      <w:szCs w:val="24"/>
    </w:rPr>
  </w:style>
  <w:style w:type="character" w:customStyle="1" w:styleId="891">
    <w:name w:val="正文首行缩进 2 Char"/>
    <w:link w:val="890"/>
    <w:qFormat/>
    <w:uiPriority w:val="0"/>
    <w:rPr>
      <w:rFonts w:ascii="Arial" w:hAnsi="Arial" w:eastAsia="宋体" w:cs="Times New Roman"/>
      <w:snapToGrid w:val="0"/>
      <w:color w:val="FF0000"/>
      <w:spacing w:val="6"/>
      <w:kern w:val="2"/>
      <w:sz w:val="28"/>
      <w:szCs w:val="24"/>
    </w:rPr>
  </w:style>
  <w:style w:type="paragraph" w:customStyle="1" w:styleId="892">
    <w:name w:val="bgbt"/>
    <w:basedOn w:val="1"/>
    <w:qFormat/>
    <w:uiPriority w:val="0"/>
    <w:pPr>
      <w:spacing w:line="240" w:lineRule="auto"/>
      <w:jc w:val="center"/>
    </w:pPr>
    <w:rPr>
      <w:rFonts w:ascii="宋体" w:hAnsi="宋体"/>
      <w:b/>
      <w:bCs/>
      <w:color w:val="FF0000"/>
      <w:sz w:val="21"/>
      <w:szCs w:val="24"/>
    </w:rPr>
  </w:style>
  <w:style w:type="paragraph" w:customStyle="1" w:styleId="893">
    <w:name w:val="标书标题4"/>
    <w:basedOn w:val="9"/>
    <w:qFormat/>
    <w:uiPriority w:val="0"/>
    <w:pPr>
      <w:tabs>
        <w:tab w:val="left" w:pos="2356"/>
      </w:tabs>
      <w:spacing w:line="300" w:lineRule="auto"/>
      <w:ind w:left="1984" w:hanging="708"/>
    </w:pPr>
    <w:rPr>
      <w:rFonts w:ascii="Arial Narrow" w:hAnsi="Arial Narrow" w:eastAsia="仿宋_GB2312"/>
      <w:b w:val="0"/>
      <w:kern w:val="0"/>
      <w:sz w:val="28"/>
      <w:lang w:val="zh-CN"/>
    </w:rPr>
  </w:style>
  <w:style w:type="paragraph" w:customStyle="1" w:styleId="894">
    <w:name w:val="标题5"/>
    <w:basedOn w:val="13"/>
    <w:qFormat/>
    <w:uiPriority w:val="0"/>
    <w:pPr>
      <w:tabs>
        <w:tab w:val="left" w:pos="900"/>
      </w:tabs>
      <w:ind w:left="900" w:hanging="900"/>
    </w:pPr>
    <w:rPr>
      <w:rFonts w:ascii="Calibri" w:hAnsi="Calibri"/>
      <w:b/>
      <w:spacing w:val="10"/>
      <w:sz w:val="28"/>
    </w:rPr>
  </w:style>
  <w:style w:type="paragraph" w:customStyle="1" w:styleId="895">
    <w:name w:val="直接正文"/>
    <w:qFormat/>
    <w:uiPriority w:val="0"/>
    <w:pPr>
      <w:spacing w:afterLines="50" w:line="480" w:lineRule="exact"/>
      <w:ind w:firstLine="459"/>
    </w:pPr>
    <w:rPr>
      <w:rFonts w:ascii="宋体" w:hAnsi="宋体" w:eastAsia="宋体" w:cs="Times New Roman"/>
      <w:bCs/>
      <w:spacing w:val="-5"/>
      <w:kern w:val="10"/>
      <w:sz w:val="24"/>
      <w:lang w:val="en-US" w:eastAsia="zh-CN" w:bidi="he-IL"/>
    </w:rPr>
  </w:style>
  <w:style w:type="paragraph" w:customStyle="1" w:styleId="896">
    <w:name w:val="正式"/>
    <w:basedOn w:val="1"/>
    <w:qFormat/>
    <w:uiPriority w:val="0"/>
    <w:pPr>
      <w:spacing w:beforeLines="50" w:afterLines="50" w:line="480" w:lineRule="auto"/>
    </w:pPr>
    <w:rPr>
      <w:rFonts w:hAnsi="宋体"/>
      <w:kern w:val="0"/>
    </w:rPr>
  </w:style>
  <w:style w:type="paragraph" w:customStyle="1" w:styleId="897">
    <w:name w:val="报告书标题5"/>
    <w:basedOn w:val="10"/>
    <w:qFormat/>
    <w:uiPriority w:val="0"/>
    <w:pPr>
      <w:keepNext w:val="0"/>
      <w:keepLines w:val="0"/>
    </w:pPr>
    <w:rPr>
      <w:b w:val="0"/>
      <w:kern w:val="2"/>
      <w:sz w:val="26"/>
      <w:szCs w:val="26"/>
      <w:lang w:val="zh-CN"/>
    </w:rPr>
  </w:style>
  <w:style w:type="paragraph" w:customStyle="1" w:styleId="898">
    <w:name w:val="标题03"/>
    <w:basedOn w:val="1"/>
    <w:next w:val="1"/>
    <w:qFormat/>
    <w:uiPriority w:val="0"/>
    <w:pPr>
      <w:spacing w:line="480" w:lineRule="atLeast"/>
      <w:ind w:firstLine="480"/>
    </w:pPr>
    <w:rPr>
      <w:b/>
      <w:szCs w:val="20"/>
    </w:rPr>
  </w:style>
  <w:style w:type="paragraph" w:customStyle="1" w:styleId="899">
    <w:name w:val="01"/>
    <w:basedOn w:val="1"/>
    <w:qFormat/>
    <w:uiPriority w:val="0"/>
    <w:rPr>
      <w:rFonts w:ascii="宋体" w:hAnsi="宋体"/>
      <w:szCs w:val="26"/>
    </w:rPr>
  </w:style>
  <w:style w:type="paragraph" w:customStyle="1" w:styleId="900">
    <w:name w:val="样式 正文（首行缩进两字） + 宋体"/>
    <w:basedOn w:val="13"/>
    <w:qFormat/>
    <w:uiPriority w:val="0"/>
    <w:pPr>
      <w:ind w:firstLine="0"/>
    </w:pPr>
    <w:rPr>
      <w:rFonts w:ascii="宋体" w:hAnsi="宋体"/>
      <w:sz w:val="28"/>
    </w:rPr>
  </w:style>
  <w:style w:type="paragraph" w:customStyle="1" w:styleId="901">
    <w:name w:val="文本框"/>
    <w:basedOn w:val="1"/>
    <w:qFormat/>
    <w:uiPriority w:val="0"/>
    <w:pPr>
      <w:spacing w:after="6" w:line="240" w:lineRule="auto"/>
      <w:jc w:val="center"/>
    </w:pPr>
    <w:rPr>
      <w:rFonts w:eastAsia="仿宋_GB2312"/>
      <w:sz w:val="21"/>
      <w:szCs w:val="24"/>
    </w:rPr>
  </w:style>
  <w:style w:type="paragraph" w:customStyle="1" w:styleId="902">
    <w:name w:val="ygs正文"/>
    <w:basedOn w:val="1"/>
    <w:qFormat/>
    <w:uiPriority w:val="0"/>
    <w:pPr>
      <w:spacing w:line="440" w:lineRule="exact"/>
      <w:ind w:firstLine="480"/>
    </w:pPr>
    <w:rPr>
      <w:rFonts w:ascii="宋体" w:hAnsi="宋体"/>
      <w:bCs/>
      <w:szCs w:val="24"/>
    </w:rPr>
  </w:style>
  <w:style w:type="paragraph" w:customStyle="1" w:styleId="903">
    <w:name w:val="hcr4"/>
    <w:qFormat/>
    <w:uiPriority w:val="0"/>
    <w:pPr>
      <w:spacing w:line="360" w:lineRule="auto"/>
      <w:ind w:firstLine="200" w:firstLineChars="200"/>
    </w:pPr>
    <w:rPr>
      <w:rFonts w:ascii="仿宋_GB2312" w:hAnsi="Times New Roman" w:eastAsia="仿宋_GB2312" w:cs="Times New Roman"/>
      <w:bCs/>
      <w:sz w:val="28"/>
      <w:lang w:val="en-US" w:eastAsia="zh-CN" w:bidi="ar-SA"/>
    </w:rPr>
  </w:style>
  <w:style w:type="paragraph" w:customStyle="1" w:styleId="904">
    <w:name w:val="p16"/>
    <w:basedOn w:val="1"/>
    <w:qFormat/>
    <w:uiPriority w:val="0"/>
    <w:pPr>
      <w:jc w:val="center"/>
    </w:pPr>
    <w:rPr>
      <w:rFonts w:ascii="宋体" w:hAnsi="宋体" w:cs="宋体"/>
      <w:kern w:val="0"/>
      <w:sz w:val="21"/>
    </w:rPr>
  </w:style>
  <w:style w:type="paragraph" w:customStyle="1" w:styleId="905">
    <w:name w:val="Body Text First Indent3"/>
    <w:basedOn w:val="13"/>
    <w:qFormat/>
    <w:uiPriority w:val="0"/>
    <w:pPr>
      <w:tabs>
        <w:tab w:val="left" w:pos="1134"/>
        <w:tab w:val="left" w:pos="1287"/>
      </w:tabs>
      <w:autoSpaceDE w:val="0"/>
      <w:autoSpaceDN w:val="0"/>
      <w:spacing w:line="360" w:lineRule="auto"/>
      <w:ind w:firstLine="567"/>
    </w:pPr>
    <w:rPr>
      <w:rFonts w:ascii="Garamond" w:hAnsi="Garamond"/>
      <w:sz w:val="28"/>
    </w:rPr>
  </w:style>
  <w:style w:type="paragraph" w:customStyle="1" w:styleId="906">
    <w:name w:val="图编号"/>
    <w:basedOn w:val="255"/>
    <w:qFormat/>
    <w:uiPriority w:val="0"/>
    <w:pPr>
      <w:tabs>
        <w:tab w:val="left" w:pos="720"/>
        <w:tab w:val="left" w:pos="780"/>
      </w:tabs>
      <w:adjustRightInd/>
      <w:spacing w:before="300" w:after="300" w:line="360" w:lineRule="auto"/>
      <w:ind w:left="425" w:hanging="425"/>
      <w:textAlignment w:val="auto"/>
    </w:pPr>
    <w:rPr>
      <w:kern w:val="2"/>
      <w:sz w:val="24"/>
      <w:szCs w:val="24"/>
    </w:rPr>
  </w:style>
  <w:style w:type="paragraph" w:customStyle="1" w:styleId="907">
    <w:name w:val="编号正文"/>
    <w:basedOn w:val="1"/>
    <w:qFormat/>
    <w:uiPriority w:val="0"/>
    <w:pPr>
      <w:tabs>
        <w:tab w:val="left" w:pos="473"/>
        <w:tab w:val="left" w:pos="1260"/>
      </w:tabs>
      <w:spacing w:afterLines="50" w:line="300" w:lineRule="auto"/>
      <w:ind w:left="1260" w:hanging="806"/>
    </w:pPr>
    <w:rPr>
      <w:rFonts w:ascii="Arial Narrow" w:hAnsi="Arial Narrow" w:eastAsia="仿宋_GB2312"/>
      <w:sz w:val="28"/>
      <w:szCs w:val="28"/>
    </w:rPr>
  </w:style>
  <w:style w:type="paragraph" w:customStyle="1" w:styleId="908">
    <w:name w:val="xl23"/>
    <w:basedOn w:val="1"/>
    <w:qFormat/>
    <w:uiPriority w:val="0"/>
    <w:pPr>
      <w:pBdr>
        <w:bottom w:val="single" w:color="auto" w:sz="4" w:space="0"/>
        <w:right w:val="single" w:color="auto" w:sz="4" w:space="0"/>
      </w:pBdr>
      <w:spacing w:before="100" w:beforeAutospacing="1" w:after="100" w:afterAutospacing="1" w:line="240" w:lineRule="auto"/>
      <w:jc w:val="center"/>
    </w:pPr>
    <w:rPr>
      <w:rFonts w:ascii="Garamond" w:hAnsi="Garamond" w:eastAsia="Arial Unicode MS"/>
      <w:color w:val="000000"/>
      <w:kern w:val="28"/>
      <w:sz w:val="21"/>
    </w:rPr>
  </w:style>
  <w:style w:type="paragraph" w:customStyle="1" w:styleId="909">
    <w:name w:val="报告书表头"/>
    <w:basedOn w:val="1"/>
    <w:link w:val="910"/>
    <w:qFormat/>
    <w:uiPriority w:val="0"/>
    <w:pPr>
      <w:jc w:val="center"/>
    </w:pPr>
    <w:rPr>
      <w:rFonts w:ascii="宋体" w:hAnsi="宋体"/>
      <w:bCs/>
      <w:sz w:val="21"/>
    </w:rPr>
  </w:style>
  <w:style w:type="character" w:customStyle="1" w:styleId="910">
    <w:name w:val="报告书表头 Char Char"/>
    <w:link w:val="909"/>
    <w:qFormat/>
    <w:uiPriority w:val="0"/>
    <w:rPr>
      <w:rFonts w:ascii="宋体" w:hAnsi="宋体"/>
      <w:bCs/>
      <w:kern w:val="2"/>
      <w:sz w:val="21"/>
      <w:szCs w:val="21"/>
    </w:rPr>
  </w:style>
  <w:style w:type="paragraph" w:customStyle="1" w:styleId="911">
    <w:name w:val="样式 (符号) 宋体 四号 行距: 固定值 27 磅"/>
    <w:basedOn w:val="1"/>
    <w:qFormat/>
    <w:uiPriority w:val="0"/>
    <w:pPr>
      <w:textAlignment w:val="baseline"/>
    </w:pPr>
    <w:rPr>
      <w:rFonts w:ascii="宋体" w:hAnsi="宋体" w:cs="宋体"/>
      <w:sz w:val="28"/>
      <w:szCs w:val="20"/>
    </w:rPr>
  </w:style>
  <w:style w:type="paragraph" w:customStyle="1" w:styleId="912">
    <w:name w:val="Char Char1 Char Char1 Char Char"/>
    <w:basedOn w:val="1"/>
    <w:semiHidden/>
    <w:qFormat/>
    <w:uiPriority w:val="0"/>
    <w:rPr>
      <w:sz w:val="28"/>
      <w:szCs w:val="20"/>
    </w:rPr>
  </w:style>
  <w:style w:type="paragraph" w:customStyle="1" w:styleId="913">
    <w:name w:val="样式1 表格内容"/>
    <w:basedOn w:val="1"/>
    <w:link w:val="914"/>
    <w:qFormat/>
    <w:uiPriority w:val="0"/>
    <w:pPr>
      <w:tabs>
        <w:tab w:val="left" w:pos="784"/>
      </w:tabs>
      <w:spacing w:line="240" w:lineRule="auto"/>
    </w:pPr>
    <w:rPr>
      <w:rFonts w:ascii="宋体" w:hAnsi="宋体"/>
      <w:color w:val="000000"/>
      <w:sz w:val="21"/>
      <w:szCs w:val="24"/>
    </w:rPr>
  </w:style>
  <w:style w:type="character" w:customStyle="1" w:styleId="914">
    <w:name w:val="样式1 表格内容 Char"/>
    <w:link w:val="913"/>
    <w:qFormat/>
    <w:uiPriority w:val="0"/>
    <w:rPr>
      <w:rFonts w:ascii="宋体" w:hAnsi="宋体"/>
      <w:color w:val="000000"/>
      <w:kern w:val="2"/>
      <w:sz w:val="21"/>
      <w:szCs w:val="24"/>
    </w:rPr>
  </w:style>
  <w:style w:type="character" w:customStyle="1" w:styleId="915">
    <w:name w:val="标题 6 字符1"/>
    <w:qFormat/>
    <w:uiPriority w:val="9"/>
    <w:rPr>
      <w:rFonts w:ascii="宋体" w:hAnsi="Arial" w:eastAsia="宋体" w:cs="Times New Roman"/>
      <w:szCs w:val="20"/>
      <w:lang w:val="zh-CN" w:eastAsia="zh-CN"/>
    </w:rPr>
  </w:style>
  <w:style w:type="character" w:customStyle="1" w:styleId="916">
    <w:name w:val="正文文本_"/>
    <w:link w:val="917"/>
    <w:qFormat/>
    <w:uiPriority w:val="0"/>
    <w:rPr>
      <w:rFonts w:eastAsia="Times New Roman"/>
      <w:shd w:val="clear" w:color="auto" w:fill="FFFFFF"/>
    </w:rPr>
  </w:style>
  <w:style w:type="paragraph" w:customStyle="1" w:styleId="917">
    <w:name w:val="正文文本1"/>
    <w:basedOn w:val="1"/>
    <w:link w:val="916"/>
    <w:qFormat/>
    <w:uiPriority w:val="0"/>
    <w:pPr>
      <w:shd w:val="clear" w:color="auto" w:fill="FFFFFF"/>
      <w:spacing w:line="240" w:lineRule="auto"/>
    </w:pPr>
    <w:rPr>
      <w:rFonts w:eastAsia="Times New Roman"/>
      <w:kern w:val="0"/>
      <w:sz w:val="20"/>
      <w:szCs w:val="20"/>
    </w:rPr>
  </w:style>
  <w:style w:type="character" w:customStyle="1" w:styleId="918">
    <w:name w:val="正文文本 + MingLiU"/>
    <w:qFormat/>
    <w:uiPriority w:val="0"/>
    <w:rPr>
      <w:rFonts w:ascii="MingLiU" w:hAnsi="MingLiU" w:eastAsia="MingLiU" w:cs="MingLiU"/>
      <w:color w:val="000000"/>
      <w:spacing w:val="0"/>
      <w:w w:val="100"/>
      <w:position w:val="0"/>
      <w:sz w:val="14"/>
      <w:szCs w:val="14"/>
      <w:u w:val="none"/>
      <w:lang w:val="zh-TW"/>
    </w:rPr>
  </w:style>
  <w:style w:type="character" w:customStyle="1" w:styleId="919">
    <w:name w:val="正文文本 + AngsanaUPC"/>
    <w:qFormat/>
    <w:uiPriority w:val="0"/>
    <w:rPr>
      <w:rFonts w:ascii="AngsanaUPC" w:hAnsi="AngsanaUPC" w:eastAsia="AngsanaUPC" w:cs="AngsanaUPC"/>
      <w:i/>
      <w:iCs/>
      <w:color w:val="000000"/>
      <w:spacing w:val="0"/>
      <w:w w:val="100"/>
      <w:position w:val="0"/>
      <w:sz w:val="22"/>
      <w:szCs w:val="22"/>
      <w:u w:val="none"/>
      <w:lang w:val="zh-TW"/>
    </w:rPr>
  </w:style>
  <w:style w:type="paragraph" w:customStyle="1" w:styleId="920">
    <w:name w:val="样式 报告书正文 + 宋体"/>
    <w:basedOn w:val="205"/>
    <w:next w:val="205"/>
    <w:qFormat/>
    <w:uiPriority w:val="0"/>
    <w:pPr>
      <w:tabs>
        <w:tab w:val="clear" w:pos="6300"/>
      </w:tabs>
      <w:spacing w:line="360" w:lineRule="auto"/>
      <w:ind w:firstLine="520"/>
    </w:pPr>
    <w:rPr>
      <w:rFonts w:hAnsi="宋体"/>
      <w:snapToGrid w:val="0"/>
      <w:color w:val="auto"/>
      <w:kern w:val="2"/>
      <w:sz w:val="26"/>
      <w:szCs w:val="26"/>
    </w:rPr>
  </w:style>
  <w:style w:type="paragraph" w:customStyle="1" w:styleId="921">
    <w:name w:val="四级目录"/>
    <w:basedOn w:val="1"/>
    <w:link w:val="922"/>
    <w:qFormat/>
    <w:uiPriority w:val="0"/>
    <w:pPr>
      <w:spacing w:line="480" w:lineRule="exact"/>
    </w:pPr>
    <w:rPr>
      <w:b/>
      <w:szCs w:val="22"/>
      <w:lang w:val="zh-CN"/>
    </w:rPr>
  </w:style>
  <w:style w:type="character" w:customStyle="1" w:styleId="922">
    <w:name w:val="四级目录 Char"/>
    <w:link w:val="921"/>
    <w:qFormat/>
    <w:uiPriority w:val="0"/>
    <w:rPr>
      <w:b/>
      <w:kern w:val="2"/>
      <w:sz w:val="24"/>
      <w:szCs w:val="22"/>
      <w:lang w:val="zh-CN"/>
    </w:rPr>
  </w:style>
  <w:style w:type="paragraph" w:customStyle="1" w:styleId="923">
    <w:name w:val="表格文字1"/>
    <w:basedOn w:val="70"/>
    <w:next w:val="1"/>
    <w:link w:val="924"/>
    <w:qFormat/>
    <w:uiPriority w:val="0"/>
    <w:pPr>
      <w:spacing w:line="360" w:lineRule="auto"/>
      <w:jc w:val="center"/>
    </w:pPr>
    <w:rPr>
      <w:rFonts w:ascii="Times New Roman" w:hAnsi="Times New Roman"/>
      <w:b w:val="0"/>
      <w:bCs w:val="0"/>
      <w:iCs/>
      <w:sz w:val="21"/>
      <w:szCs w:val="24"/>
    </w:rPr>
  </w:style>
  <w:style w:type="character" w:customStyle="1" w:styleId="924">
    <w:name w:val="表格文字1 Char"/>
    <w:link w:val="923"/>
    <w:qFormat/>
    <w:uiPriority w:val="0"/>
    <w:rPr>
      <w:iCs/>
      <w:kern w:val="2"/>
      <w:sz w:val="21"/>
      <w:szCs w:val="24"/>
    </w:rPr>
  </w:style>
  <w:style w:type="character" w:customStyle="1" w:styleId="925">
    <w:name w:val="00-正文 Char Char Char"/>
    <w:link w:val="926"/>
    <w:qFormat/>
    <w:uiPriority w:val="0"/>
    <w:rPr>
      <w:rFonts w:eastAsia="Times New Roman"/>
      <w:sz w:val="28"/>
      <w:szCs w:val="28"/>
    </w:rPr>
  </w:style>
  <w:style w:type="paragraph" w:customStyle="1" w:styleId="926">
    <w:name w:val="00-正文 Char Char"/>
    <w:basedOn w:val="1"/>
    <w:link w:val="925"/>
    <w:qFormat/>
    <w:uiPriority w:val="0"/>
    <w:pPr>
      <w:spacing w:line="348" w:lineRule="auto"/>
    </w:pPr>
    <w:rPr>
      <w:rFonts w:eastAsia="Times New Roman"/>
      <w:kern w:val="0"/>
      <w:sz w:val="28"/>
      <w:szCs w:val="28"/>
    </w:rPr>
  </w:style>
  <w:style w:type="character" w:customStyle="1" w:styleId="927">
    <w:name w:val="页脚 字符1"/>
    <w:qFormat/>
    <w:uiPriority w:val="0"/>
    <w:rPr>
      <w:rFonts w:ascii="Times New Roman" w:hAnsi="Times New Roman" w:eastAsia="宋体" w:cs="Times New Roman"/>
      <w:sz w:val="18"/>
      <w:szCs w:val="18"/>
      <w:lang w:val="zh-CN" w:eastAsia="zh-CN"/>
    </w:rPr>
  </w:style>
  <w:style w:type="paragraph" w:customStyle="1" w:styleId="928">
    <w:name w:val="标题 81"/>
    <w:basedOn w:val="1"/>
    <w:qFormat/>
    <w:uiPriority w:val="1"/>
    <w:pPr>
      <w:spacing w:before="29" w:line="240" w:lineRule="auto"/>
      <w:ind w:left="217"/>
      <w:outlineLvl w:val="8"/>
    </w:pPr>
    <w:rPr>
      <w:rFonts w:ascii="宋体" w:hAnsi="宋体"/>
      <w:b/>
      <w:bCs/>
      <w:kern w:val="0"/>
      <w:szCs w:val="24"/>
      <w:lang w:eastAsia="en-US"/>
    </w:rPr>
  </w:style>
  <w:style w:type="paragraph" w:customStyle="1" w:styleId="929">
    <w:name w:val="样式222"/>
    <w:basedOn w:val="1"/>
    <w:link w:val="930"/>
    <w:qFormat/>
    <w:uiPriority w:val="0"/>
    <w:pPr>
      <w:spacing w:line="240" w:lineRule="auto"/>
    </w:pPr>
    <w:rPr>
      <w:rFonts w:ascii="宋体" w:hAnsi="宋体"/>
      <w:sz w:val="21"/>
      <w:lang w:val="zh-CN"/>
    </w:rPr>
  </w:style>
  <w:style w:type="character" w:customStyle="1" w:styleId="930">
    <w:name w:val="样式222 Char"/>
    <w:link w:val="929"/>
    <w:qFormat/>
    <w:uiPriority w:val="0"/>
    <w:rPr>
      <w:rFonts w:ascii="宋体" w:hAnsi="宋体"/>
      <w:kern w:val="2"/>
      <w:sz w:val="21"/>
      <w:szCs w:val="21"/>
      <w:lang w:val="zh-CN"/>
    </w:rPr>
  </w:style>
  <w:style w:type="character" w:customStyle="1" w:styleId="931">
    <w:name w:val="表格小 Char"/>
    <w:link w:val="932"/>
    <w:qFormat/>
    <w:uiPriority w:val="0"/>
    <w:rPr>
      <w:sz w:val="18"/>
    </w:rPr>
  </w:style>
  <w:style w:type="paragraph" w:customStyle="1" w:styleId="932">
    <w:name w:val="表格小"/>
    <w:basedOn w:val="1"/>
    <w:link w:val="931"/>
    <w:qFormat/>
    <w:uiPriority w:val="0"/>
    <w:pPr>
      <w:spacing w:line="240" w:lineRule="auto"/>
      <w:jc w:val="center"/>
      <w:textAlignment w:val="baseline"/>
    </w:pPr>
    <w:rPr>
      <w:kern w:val="0"/>
      <w:sz w:val="18"/>
      <w:szCs w:val="20"/>
    </w:rPr>
  </w:style>
  <w:style w:type="paragraph" w:customStyle="1" w:styleId="933">
    <w:name w:val="表格文字2"/>
    <w:basedOn w:val="1"/>
    <w:link w:val="934"/>
    <w:qFormat/>
    <w:uiPriority w:val="0"/>
    <w:pPr>
      <w:tabs>
        <w:tab w:val="left" w:pos="277"/>
        <w:tab w:val="left" w:pos="600"/>
        <w:tab w:val="left" w:pos="780"/>
        <w:tab w:val="left" w:pos="2517"/>
      </w:tabs>
      <w:spacing w:before="60"/>
      <w:jc w:val="center"/>
      <w:textAlignment w:val="baseline"/>
    </w:pPr>
    <w:rPr>
      <w:kern w:val="0"/>
      <w:sz w:val="21"/>
      <w:szCs w:val="20"/>
      <w:lang w:val="zh-CN"/>
    </w:rPr>
  </w:style>
  <w:style w:type="character" w:customStyle="1" w:styleId="934">
    <w:name w:val="表格文字2 Char Char"/>
    <w:link w:val="933"/>
    <w:qFormat/>
    <w:uiPriority w:val="0"/>
    <w:rPr>
      <w:sz w:val="21"/>
      <w:lang w:val="zh-CN"/>
    </w:rPr>
  </w:style>
  <w:style w:type="character" w:customStyle="1" w:styleId="935">
    <w:name w:val="cucd-0 Char"/>
    <w:link w:val="936"/>
    <w:qFormat/>
    <w:uiPriority w:val="0"/>
    <w:rPr>
      <w:rFonts w:eastAsia="Times New Roman"/>
      <w:sz w:val="24"/>
      <w:lang w:val="en-US" w:eastAsia="zh-CN" w:bidi="ar-SA"/>
    </w:rPr>
  </w:style>
  <w:style w:type="paragraph" w:customStyle="1" w:styleId="936">
    <w:name w:val="cucd-0"/>
    <w:link w:val="935"/>
    <w:qFormat/>
    <w:uiPriority w:val="0"/>
    <w:pPr>
      <w:spacing w:line="360" w:lineRule="auto"/>
      <w:ind w:firstLine="480" w:firstLineChars="200"/>
    </w:pPr>
    <w:rPr>
      <w:rFonts w:ascii="Times New Roman" w:hAnsi="Times New Roman" w:eastAsia="Times New Roman" w:cs="Times New Roman"/>
      <w:sz w:val="24"/>
      <w:lang w:val="en-US" w:eastAsia="zh-CN" w:bidi="ar-SA"/>
    </w:rPr>
  </w:style>
  <w:style w:type="character" w:customStyle="1" w:styleId="937">
    <w:name w:val="标题 1 Char Char Char Char1"/>
    <w:qFormat/>
    <w:uiPriority w:val="0"/>
    <w:rPr>
      <w:rFonts w:eastAsia="黑体"/>
      <w:kern w:val="44"/>
      <w:sz w:val="32"/>
      <w:lang w:val="en-US" w:eastAsia="zh-CN" w:bidi="ar-SA"/>
    </w:rPr>
  </w:style>
  <w:style w:type="character" w:customStyle="1" w:styleId="938">
    <w:name w:val="标题 4 字符1"/>
    <w:qFormat/>
    <w:uiPriority w:val="9"/>
    <w:rPr>
      <w:rFonts w:ascii="Arial" w:hAnsi="Arial" w:eastAsia="黑体" w:cs="Times New Roman"/>
      <w:sz w:val="28"/>
      <w:szCs w:val="20"/>
      <w:lang w:val="zh-CN" w:eastAsia="zh-CN"/>
    </w:rPr>
  </w:style>
  <w:style w:type="character" w:customStyle="1" w:styleId="939">
    <w:name w:val="正文文本 字符1"/>
    <w:qFormat/>
    <w:uiPriority w:val="0"/>
    <w:rPr>
      <w:rFonts w:ascii="Times New Roman" w:hAnsi="Times New Roman" w:eastAsia="宋体" w:cs="Times New Roman"/>
      <w:color w:val="000000"/>
      <w:kern w:val="0"/>
      <w:sz w:val="28"/>
      <w:szCs w:val="20"/>
      <w:lang w:val="zh-CN" w:eastAsia="zh-CN"/>
    </w:rPr>
  </w:style>
  <w:style w:type="character" w:customStyle="1" w:styleId="940">
    <w:name w:val="正文首行缩进 Char"/>
    <w:qFormat/>
    <w:uiPriority w:val="0"/>
    <w:rPr>
      <w:color w:val="000000"/>
      <w:kern w:val="2"/>
      <w:sz w:val="28"/>
    </w:rPr>
  </w:style>
  <w:style w:type="character" w:customStyle="1" w:styleId="941">
    <w:name w:val="表头 Char1"/>
    <w:qFormat/>
    <w:uiPriority w:val="0"/>
    <w:rPr>
      <w:rFonts w:eastAsia="黑体"/>
      <w:b/>
      <w:shadow/>
      <w:kern w:val="2"/>
      <w:sz w:val="24"/>
      <w:szCs w:val="24"/>
      <w:lang w:val="en-US" w:eastAsia="zh-CN" w:bidi="ar-SA"/>
    </w:rPr>
  </w:style>
  <w:style w:type="paragraph" w:customStyle="1" w:styleId="942">
    <w:name w:val="纯文本1"/>
    <w:basedOn w:val="1"/>
    <w:qFormat/>
    <w:uiPriority w:val="0"/>
    <w:pPr>
      <w:spacing w:line="240" w:lineRule="auto"/>
      <w:textAlignment w:val="baseline"/>
    </w:pPr>
    <w:rPr>
      <w:rFonts w:ascii="宋体" w:hAnsi="Courier New"/>
      <w:sz w:val="21"/>
      <w:szCs w:val="20"/>
    </w:rPr>
  </w:style>
  <w:style w:type="paragraph" w:customStyle="1" w:styleId="943">
    <w:name w:val="小标题2"/>
    <w:basedOn w:val="1"/>
    <w:qFormat/>
    <w:uiPriority w:val="0"/>
    <w:pPr>
      <w:ind w:firstLine="480"/>
    </w:pPr>
    <w:rPr>
      <w:color w:val="000000"/>
      <w:szCs w:val="24"/>
    </w:rPr>
  </w:style>
  <w:style w:type="character" w:customStyle="1" w:styleId="944">
    <w:name w:val="style81"/>
    <w:qFormat/>
    <w:uiPriority w:val="0"/>
    <w:rPr>
      <w:sz w:val="24"/>
      <w:szCs w:val="24"/>
    </w:rPr>
  </w:style>
  <w:style w:type="paragraph" w:customStyle="1" w:styleId="945">
    <w:name w:val="插图标题"/>
    <w:basedOn w:val="1"/>
    <w:qFormat/>
    <w:uiPriority w:val="0"/>
    <w:pPr>
      <w:tabs>
        <w:tab w:val="left" w:pos="1134"/>
        <w:tab w:val="right" w:pos="7371"/>
      </w:tabs>
      <w:overflowPunct w:val="0"/>
      <w:spacing w:line="240" w:lineRule="auto"/>
      <w:ind w:firstLine="567"/>
      <w:jc w:val="center"/>
      <w:textAlignment w:val="baseline"/>
    </w:pPr>
    <w:rPr>
      <w:rFonts w:ascii="黑体" w:eastAsia="黑体"/>
      <w:kern w:val="0"/>
      <w:sz w:val="28"/>
      <w:szCs w:val="20"/>
    </w:rPr>
  </w:style>
  <w:style w:type="paragraph" w:customStyle="1" w:styleId="946">
    <w:name w:val="正1"/>
    <w:basedOn w:val="1"/>
    <w:qFormat/>
    <w:uiPriority w:val="0"/>
    <w:pPr>
      <w:spacing w:before="60" w:after="60" w:line="400" w:lineRule="exact"/>
      <w:ind w:right="32" w:firstLine="612"/>
    </w:pPr>
    <w:rPr>
      <w:rFonts w:ascii="宋体"/>
      <w:sz w:val="28"/>
      <w:szCs w:val="20"/>
    </w:rPr>
  </w:style>
  <w:style w:type="paragraph" w:customStyle="1" w:styleId="947">
    <w:name w:val="正文表标题"/>
    <w:next w:val="1"/>
    <w:semiHidden/>
    <w:qFormat/>
    <w:uiPriority w:val="0"/>
    <w:pPr>
      <w:tabs>
        <w:tab w:val="left" w:pos="1005"/>
      </w:tabs>
      <w:spacing w:line="360" w:lineRule="auto"/>
      <w:ind w:left="1005" w:hanging="465"/>
      <w:jc w:val="center"/>
    </w:pPr>
    <w:rPr>
      <w:rFonts w:ascii="黑体" w:hAnsi="Times New Roman" w:eastAsia="黑体" w:cs="黑体"/>
      <w:sz w:val="21"/>
      <w:szCs w:val="21"/>
      <w:lang w:val="en-US" w:eastAsia="zh-CN" w:bidi="ar-SA"/>
    </w:rPr>
  </w:style>
  <w:style w:type="paragraph" w:customStyle="1" w:styleId="948">
    <w:name w:val="6表格"/>
    <w:basedOn w:val="1"/>
    <w:qFormat/>
    <w:uiPriority w:val="0"/>
    <w:pPr>
      <w:spacing w:before="60" w:line="240" w:lineRule="atLeast"/>
      <w:jc w:val="center"/>
    </w:pPr>
    <w:rPr>
      <w:snapToGrid w:val="0"/>
      <w:kern w:val="0"/>
      <w:sz w:val="21"/>
      <w:szCs w:val="20"/>
    </w:rPr>
  </w:style>
  <w:style w:type="paragraph" w:customStyle="1" w:styleId="949">
    <w:name w:val="表格居中"/>
    <w:qFormat/>
    <w:uiPriority w:val="0"/>
    <w:pPr>
      <w:widowControl w:val="0"/>
      <w:spacing w:line="360" w:lineRule="auto"/>
      <w:jc w:val="center"/>
    </w:pPr>
    <w:rPr>
      <w:rFonts w:hint="eastAsia" w:ascii="宋体" w:hAnsi="Arial" w:eastAsia="宋体" w:cs="Times New Roman"/>
      <w:kern w:val="2"/>
      <w:sz w:val="21"/>
      <w:lang w:val="en-US" w:eastAsia="zh-CN" w:bidi="ar-SA"/>
    </w:rPr>
  </w:style>
  <w:style w:type="paragraph" w:customStyle="1" w:styleId="950">
    <w:name w:val="正文表格"/>
    <w:basedOn w:val="1"/>
    <w:link w:val="951"/>
    <w:qFormat/>
    <w:uiPriority w:val="0"/>
    <w:pPr>
      <w:keepNext/>
      <w:keepLines/>
      <w:overflowPunct w:val="0"/>
      <w:spacing w:before="80" w:line="240" w:lineRule="auto"/>
      <w:jc w:val="center"/>
      <w:textAlignment w:val="bottom"/>
    </w:pPr>
    <w:rPr>
      <w:kern w:val="0"/>
      <w:sz w:val="28"/>
      <w:szCs w:val="20"/>
    </w:rPr>
  </w:style>
  <w:style w:type="character" w:customStyle="1" w:styleId="951">
    <w:name w:val="正文表格 Char Char"/>
    <w:link w:val="950"/>
    <w:qFormat/>
    <w:uiPriority w:val="0"/>
    <w:rPr>
      <w:sz w:val="28"/>
    </w:rPr>
  </w:style>
  <w:style w:type="paragraph" w:customStyle="1" w:styleId="952">
    <w:name w:val="xl4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Unicode MS" w:hAnsi="Arial Unicode MS" w:eastAsia="Arial Unicode MS"/>
      <w:kern w:val="0"/>
      <w:szCs w:val="20"/>
    </w:rPr>
  </w:style>
  <w:style w:type="paragraph" w:customStyle="1" w:styleId="953">
    <w:name w:val="报告书"/>
    <w:basedOn w:val="1"/>
    <w:qFormat/>
    <w:uiPriority w:val="0"/>
    <w:pPr>
      <w:autoSpaceDE w:val="0"/>
      <w:autoSpaceDN w:val="0"/>
      <w:ind w:firstLine="505"/>
      <w:textAlignment w:val="bottom"/>
    </w:pPr>
    <w:rPr>
      <w:kern w:val="0"/>
      <w:szCs w:val="20"/>
    </w:rPr>
  </w:style>
  <w:style w:type="paragraph" w:customStyle="1" w:styleId="954">
    <w:name w:val="段落"/>
    <w:basedOn w:val="1"/>
    <w:qFormat/>
    <w:uiPriority w:val="0"/>
    <w:pPr>
      <w:spacing w:afterLines="25" w:line="240" w:lineRule="auto"/>
      <w:ind w:firstLine="510"/>
      <w:textAlignment w:val="baseline"/>
    </w:pPr>
    <w:rPr>
      <w:rFonts w:eastAsia="楷体"/>
      <w:kern w:val="0"/>
      <w:sz w:val="28"/>
      <w:szCs w:val="20"/>
    </w:rPr>
  </w:style>
  <w:style w:type="paragraph" w:customStyle="1" w:styleId="955">
    <w:name w:val="正文样式"/>
    <w:basedOn w:val="1"/>
    <w:qFormat/>
    <w:uiPriority w:val="0"/>
    <w:pPr>
      <w:autoSpaceDE w:val="0"/>
      <w:autoSpaceDN w:val="0"/>
      <w:spacing w:line="348" w:lineRule="auto"/>
      <w:jc w:val="center"/>
      <w:textAlignment w:val="baseline"/>
    </w:pPr>
    <w:rPr>
      <w:snapToGrid w:val="0"/>
      <w:kern w:val="0"/>
      <w:szCs w:val="20"/>
    </w:rPr>
  </w:style>
  <w:style w:type="paragraph" w:customStyle="1" w:styleId="956">
    <w:name w:val="AFTERTITLE"/>
    <w:basedOn w:val="1"/>
    <w:qFormat/>
    <w:uiPriority w:val="0"/>
    <w:pPr>
      <w:spacing w:afterLines="25" w:line="360" w:lineRule="atLeast"/>
      <w:jc w:val="center"/>
    </w:pPr>
    <w:rPr>
      <w:b/>
      <w:caps/>
      <w:kern w:val="0"/>
      <w:szCs w:val="20"/>
      <w:lang w:val="fr-FR"/>
    </w:rPr>
  </w:style>
  <w:style w:type="paragraph" w:customStyle="1" w:styleId="957">
    <w:name w:val="样式 正文缩进正文（首行缩进两字）正文（首行缩进两字） Char Char Char Char Char Char Char..."/>
    <w:basedOn w:val="13"/>
    <w:qFormat/>
    <w:uiPriority w:val="0"/>
    <w:pPr>
      <w:tabs>
        <w:tab w:val="left" w:pos="3360"/>
      </w:tabs>
      <w:spacing w:line="360" w:lineRule="auto"/>
      <w:ind w:firstLine="560" w:firstLineChars="200"/>
      <w:jc w:val="center"/>
      <w:textAlignment w:val="baseline"/>
    </w:pPr>
    <w:rPr>
      <w:rFonts w:ascii="Calibri" w:hAnsi="Calibri"/>
      <w:snapToGrid w:val="0"/>
      <w:color w:val="FF0000"/>
      <w:kern w:val="0"/>
      <w:sz w:val="28"/>
      <w:szCs w:val="28"/>
    </w:rPr>
  </w:style>
  <w:style w:type="paragraph" w:customStyle="1" w:styleId="958">
    <w:name w:val="正文图"/>
    <w:basedOn w:val="1"/>
    <w:qFormat/>
    <w:uiPriority w:val="0"/>
    <w:pPr>
      <w:spacing w:before="40" w:line="240" w:lineRule="auto"/>
      <w:jc w:val="center"/>
      <w:textAlignment w:val="baseline"/>
    </w:pPr>
    <w:rPr>
      <w:rFonts w:ascii="宋体"/>
      <w:kern w:val="0"/>
      <w:szCs w:val="20"/>
    </w:rPr>
  </w:style>
  <w:style w:type="paragraph" w:customStyle="1" w:styleId="959">
    <w:name w:val="正文图五"/>
    <w:basedOn w:val="1"/>
    <w:qFormat/>
    <w:uiPriority w:val="0"/>
    <w:pPr>
      <w:spacing w:line="240" w:lineRule="auto"/>
      <w:jc w:val="center"/>
    </w:pPr>
    <w:rPr>
      <w:rFonts w:ascii="仿宋_GB2312" w:hAnsi="华文宋体" w:eastAsia="仿宋_GB2312"/>
      <w:snapToGrid w:val="0"/>
      <w:spacing w:val="6"/>
      <w:sz w:val="18"/>
      <w:szCs w:val="18"/>
    </w:rPr>
  </w:style>
  <w:style w:type="paragraph" w:customStyle="1" w:styleId="960">
    <w:name w:val="正文图小四"/>
    <w:basedOn w:val="1"/>
    <w:qFormat/>
    <w:uiPriority w:val="0"/>
    <w:pPr>
      <w:spacing w:line="240" w:lineRule="auto"/>
      <w:jc w:val="center"/>
      <w:textAlignment w:val="baseline"/>
    </w:pPr>
    <w:rPr>
      <w:rFonts w:ascii="宋体"/>
      <w:kern w:val="0"/>
      <w:szCs w:val="24"/>
    </w:rPr>
  </w:style>
  <w:style w:type="paragraph" w:customStyle="1" w:styleId="961">
    <w:name w:val="公式"/>
    <w:basedOn w:val="1"/>
    <w:qFormat/>
    <w:uiPriority w:val="0"/>
    <w:pPr>
      <w:spacing w:afterLines="25" w:line="394" w:lineRule="atLeast"/>
      <w:ind w:firstLine="510"/>
      <w:jc w:val="center"/>
      <w:textAlignment w:val="baseline"/>
    </w:pPr>
    <w:rPr>
      <w:rFonts w:ascii="宋体"/>
      <w:kern w:val="0"/>
      <w:sz w:val="28"/>
      <w:szCs w:val="28"/>
    </w:rPr>
  </w:style>
  <w:style w:type="paragraph" w:customStyle="1" w:styleId="962">
    <w:name w:val="表标题"/>
    <w:basedOn w:val="1"/>
    <w:link w:val="963"/>
    <w:qFormat/>
    <w:uiPriority w:val="0"/>
    <w:pPr>
      <w:keepNext/>
      <w:spacing w:before="60" w:afterLines="25" w:line="397" w:lineRule="atLeast"/>
      <w:jc w:val="center"/>
    </w:pPr>
    <w:rPr>
      <w:b/>
      <w:color w:val="000000"/>
      <w:kern w:val="0"/>
      <w:szCs w:val="20"/>
    </w:rPr>
  </w:style>
  <w:style w:type="character" w:customStyle="1" w:styleId="963">
    <w:name w:val="表标题 Char Char"/>
    <w:link w:val="962"/>
    <w:qFormat/>
    <w:uiPriority w:val="0"/>
    <w:rPr>
      <w:b/>
      <w:color w:val="000000"/>
      <w:sz w:val="24"/>
    </w:rPr>
  </w:style>
  <w:style w:type="paragraph" w:customStyle="1" w:styleId="964">
    <w:name w:val="xl42"/>
    <w:basedOn w:val="1"/>
    <w:qFormat/>
    <w:uiPriority w:val="0"/>
    <w:pPr>
      <w:pBdr>
        <w:left w:val="single" w:color="auto" w:sz="4" w:space="0"/>
        <w:right w:val="single" w:color="auto" w:sz="4" w:space="0"/>
      </w:pBdr>
      <w:spacing w:before="100" w:beforeAutospacing="1" w:afterLines="25" w:afterAutospacing="1" w:line="240" w:lineRule="auto"/>
      <w:jc w:val="center"/>
    </w:pPr>
    <w:rPr>
      <w:rFonts w:ascii="Arial Unicode MS" w:hAnsi="Arial Unicode MS" w:eastAsia="Arial Unicode MS"/>
      <w:b/>
      <w:bCs/>
      <w:kern w:val="0"/>
      <w:sz w:val="18"/>
      <w:szCs w:val="18"/>
    </w:rPr>
  </w:style>
  <w:style w:type="paragraph" w:customStyle="1" w:styleId="965">
    <w:name w:val="xl43"/>
    <w:basedOn w:val="1"/>
    <w:qFormat/>
    <w:uiPriority w:val="0"/>
    <w:pPr>
      <w:pBdr>
        <w:left w:val="single" w:color="auto" w:sz="4" w:space="0"/>
        <w:right w:val="single" w:color="auto" w:sz="4" w:space="0"/>
      </w:pBdr>
      <w:spacing w:before="100" w:beforeAutospacing="1" w:afterLines="25" w:afterAutospacing="1" w:line="240" w:lineRule="auto"/>
      <w:jc w:val="center"/>
    </w:pPr>
    <w:rPr>
      <w:rFonts w:hint="eastAsia" w:ascii="仿宋_GB2312" w:hAnsi="Arial Unicode MS" w:eastAsia="仿宋_GB2312"/>
      <w:kern w:val="0"/>
      <w:sz w:val="18"/>
      <w:szCs w:val="18"/>
    </w:rPr>
  </w:style>
  <w:style w:type="paragraph" w:customStyle="1" w:styleId="966">
    <w:name w:val="xl45"/>
    <w:basedOn w:val="1"/>
    <w:qFormat/>
    <w:uiPriority w:val="0"/>
    <w:pPr>
      <w:pBdr>
        <w:top w:val="single" w:color="auto" w:sz="4" w:space="0"/>
        <w:left w:val="single" w:color="auto" w:sz="4" w:space="0"/>
        <w:right w:val="single" w:color="auto" w:sz="4" w:space="0"/>
      </w:pBdr>
      <w:spacing w:before="100" w:beforeAutospacing="1" w:afterLines="25" w:afterAutospacing="1" w:line="240" w:lineRule="auto"/>
      <w:jc w:val="center"/>
    </w:pPr>
    <w:rPr>
      <w:rFonts w:ascii="Arial Unicode MS" w:hAnsi="Arial Unicode MS" w:eastAsia="Arial Unicode MS"/>
      <w:b/>
      <w:bCs/>
      <w:kern w:val="0"/>
      <w:sz w:val="18"/>
      <w:szCs w:val="18"/>
    </w:rPr>
  </w:style>
  <w:style w:type="paragraph" w:customStyle="1" w:styleId="967">
    <w:name w:val="xl46"/>
    <w:basedOn w:val="1"/>
    <w:qFormat/>
    <w:uiPriority w:val="0"/>
    <w:pPr>
      <w:pBdr>
        <w:left w:val="single" w:color="auto" w:sz="4" w:space="0"/>
        <w:bottom w:val="single" w:color="auto" w:sz="4" w:space="0"/>
        <w:right w:val="single" w:color="auto" w:sz="4" w:space="0"/>
      </w:pBdr>
      <w:spacing w:before="100" w:beforeAutospacing="1" w:afterLines="25" w:afterAutospacing="1" w:line="240" w:lineRule="auto"/>
      <w:jc w:val="center"/>
      <w:textAlignment w:val="top"/>
    </w:pPr>
    <w:rPr>
      <w:rFonts w:ascii="Arial Unicode MS" w:hAnsi="Arial Unicode MS" w:eastAsia="Arial Unicode MS"/>
      <w:b/>
      <w:bCs/>
      <w:color w:val="000000"/>
      <w:kern w:val="0"/>
      <w:sz w:val="18"/>
      <w:szCs w:val="18"/>
    </w:rPr>
  </w:style>
  <w:style w:type="paragraph" w:customStyle="1" w:styleId="968">
    <w:name w:val="xl47"/>
    <w:basedOn w:val="1"/>
    <w:qFormat/>
    <w:uiPriority w:val="0"/>
    <w:pPr>
      <w:pBdr>
        <w:top w:val="single" w:color="auto" w:sz="4" w:space="0"/>
        <w:left w:val="single" w:color="auto" w:sz="4" w:space="0"/>
      </w:pBdr>
      <w:spacing w:before="100" w:beforeAutospacing="1" w:afterLines="25" w:afterAutospacing="1" w:line="240" w:lineRule="auto"/>
      <w:textAlignment w:val="top"/>
    </w:pPr>
    <w:rPr>
      <w:rFonts w:ascii="Arial Unicode MS" w:hAnsi="Arial Unicode MS" w:eastAsia="Arial Unicode MS"/>
      <w:b/>
      <w:bCs/>
      <w:color w:val="000000"/>
      <w:kern w:val="0"/>
      <w:sz w:val="18"/>
      <w:szCs w:val="18"/>
    </w:rPr>
  </w:style>
  <w:style w:type="paragraph" w:customStyle="1" w:styleId="969">
    <w:name w:val="xl48"/>
    <w:basedOn w:val="1"/>
    <w:qFormat/>
    <w:uiPriority w:val="0"/>
    <w:pPr>
      <w:pBdr>
        <w:left w:val="single" w:color="auto" w:sz="4" w:space="0"/>
      </w:pBdr>
      <w:spacing w:before="100" w:beforeAutospacing="1" w:afterLines="25" w:afterAutospacing="1" w:line="240" w:lineRule="auto"/>
    </w:pPr>
    <w:rPr>
      <w:rFonts w:ascii="Arial Unicode MS" w:hAnsi="Arial Unicode MS" w:eastAsia="Arial Unicode MS"/>
      <w:kern w:val="0"/>
      <w:szCs w:val="24"/>
    </w:rPr>
  </w:style>
  <w:style w:type="paragraph" w:customStyle="1" w:styleId="970">
    <w:name w:val="xl49"/>
    <w:basedOn w:val="1"/>
    <w:qFormat/>
    <w:uiPriority w:val="0"/>
    <w:pPr>
      <w:pBdr>
        <w:left w:val="single" w:color="auto" w:sz="4" w:space="0"/>
        <w:bottom w:val="single" w:color="auto" w:sz="4" w:space="0"/>
      </w:pBdr>
      <w:spacing w:before="100" w:beforeAutospacing="1" w:afterLines="25" w:afterAutospacing="1" w:line="240" w:lineRule="auto"/>
      <w:textAlignment w:val="top"/>
    </w:pPr>
    <w:rPr>
      <w:rFonts w:ascii="Arial Unicode MS" w:hAnsi="Arial Unicode MS" w:eastAsia="Arial Unicode MS"/>
      <w:b/>
      <w:bCs/>
      <w:color w:val="000000"/>
      <w:kern w:val="0"/>
      <w:sz w:val="18"/>
      <w:szCs w:val="18"/>
    </w:rPr>
  </w:style>
  <w:style w:type="paragraph" w:customStyle="1" w:styleId="971">
    <w:name w:val="xl50"/>
    <w:basedOn w:val="1"/>
    <w:qFormat/>
    <w:uiPriority w:val="0"/>
    <w:pPr>
      <w:pBdr>
        <w:top w:val="single" w:color="auto" w:sz="4" w:space="0"/>
        <w:left w:val="single" w:color="auto" w:sz="4" w:space="0"/>
        <w:bottom w:val="single" w:color="auto" w:sz="4" w:space="0"/>
        <w:right w:val="single" w:color="auto" w:sz="4" w:space="0"/>
      </w:pBdr>
      <w:spacing w:before="100" w:beforeAutospacing="1" w:afterLines="25" w:afterAutospacing="1" w:line="240" w:lineRule="auto"/>
      <w:jc w:val="center"/>
    </w:pPr>
    <w:rPr>
      <w:rFonts w:ascii="Arial Unicode MS" w:hAnsi="Arial Unicode MS" w:eastAsia="Arial Unicode MS"/>
      <w:kern w:val="0"/>
      <w:sz w:val="18"/>
      <w:szCs w:val="18"/>
    </w:rPr>
  </w:style>
  <w:style w:type="paragraph" w:customStyle="1" w:styleId="972">
    <w:name w:val="xl51"/>
    <w:basedOn w:val="1"/>
    <w:qFormat/>
    <w:uiPriority w:val="0"/>
    <w:pPr>
      <w:pBdr>
        <w:bottom w:val="single" w:color="auto" w:sz="4" w:space="0"/>
        <w:right w:val="single" w:color="auto" w:sz="4" w:space="0"/>
      </w:pBdr>
      <w:spacing w:before="100" w:beforeAutospacing="1" w:afterLines="25" w:afterAutospacing="1" w:line="240" w:lineRule="auto"/>
      <w:jc w:val="center"/>
    </w:pPr>
    <w:rPr>
      <w:rFonts w:eastAsia="Arial Unicode MS"/>
      <w:kern w:val="0"/>
      <w:sz w:val="18"/>
      <w:szCs w:val="18"/>
    </w:rPr>
  </w:style>
  <w:style w:type="paragraph" w:customStyle="1" w:styleId="973">
    <w:name w:val="xl53"/>
    <w:basedOn w:val="1"/>
    <w:qFormat/>
    <w:uiPriority w:val="0"/>
    <w:pPr>
      <w:pBdr>
        <w:top w:val="single" w:color="auto" w:sz="4" w:space="0"/>
        <w:left w:val="single" w:color="auto" w:sz="4" w:space="0"/>
        <w:bottom w:val="single" w:color="auto" w:sz="4" w:space="0"/>
        <w:right w:val="single" w:color="auto" w:sz="4" w:space="0"/>
      </w:pBdr>
      <w:spacing w:before="100" w:beforeAutospacing="1" w:afterLines="25" w:afterAutospacing="1" w:line="240" w:lineRule="auto"/>
      <w:jc w:val="center"/>
    </w:pPr>
    <w:rPr>
      <w:rFonts w:ascii="Arial Unicode MS" w:hAnsi="Arial Unicode MS" w:eastAsia="Arial Unicode MS"/>
      <w:kern w:val="0"/>
      <w:sz w:val="18"/>
      <w:szCs w:val="18"/>
    </w:rPr>
  </w:style>
  <w:style w:type="paragraph" w:customStyle="1" w:styleId="974">
    <w:name w:val="xl54"/>
    <w:basedOn w:val="1"/>
    <w:qFormat/>
    <w:uiPriority w:val="0"/>
    <w:pPr>
      <w:pBdr>
        <w:top w:val="single" w:color="auto" w:sz="4" w:space="0"/>
        <w:left w:val="single" w:color="auto" w:sz="4" w:space="0"/>
        <w:bottom w:val="single" w:color="auto" w:sz="4" w:space="0"/>
        <w:right w:val="single" w:color="auto" w:sz="4" w:space="0"/>
      </w:pBdr>
      <w:spacing w:before="100" w:beforeAutospacing="1" w:afterLines="25" w:afterAutospacing="1" w:line="240" w:lineRule="auto"/>
      <w:jc w:val="center"/>
    </w:pPr>
    <w:rPr>
      <w:rFonts w:ascii="Arial Unicode MS" w:hAnsi="Arial Unicode MS" w:eastAsia="Arial Unicode MS"/>
      <w:kern w:val="0"/>
      <w:sz w:val="18"/>
      <w:szCs w:val="18"/>
    </w:rPr>
  </w:style>
  <w:style w:type="paragraph" w:customStyle="1" w:styleId="975">
    <w:name w:val="xl55"/>
    <w:basedOn w:val="1"/>
    <w:qFormat/>
    <w:uiPriority w:val="0"/>
    <w:pPr>
      <w:pBdr>
        <w:top w:val="single" w:color="auto" w:sz="4" w:space="0"/>
        <w:bottom w:val="single" w:color="auto" w:sz="4" w:space="0"/>
        <w:right w:val="single" w:color="auto" w:sz="4" w:space="0"/>
      </w:pBdr>
      <w:spacing w:before="100" w:beforeAutospacing="1" w:afterLines="25" w:afterAutospacing="1" w:line="240" w:lineRule="auto"/>
      <w:jc w:val="center"/>
    </w:pPr>
    <w:rPr>
      <w:rFonts w:ascii="Arial Unicode MS" w:hAnsi="Arial Unicode MS" w:eastAsia="Arial Unicode MS"/>
      <w:kern w:val="0"/>
      <w:sz w:val="18"/>
      <w:szCs w:val="18"/>
    </w:rPr>
  </w:style>
  <w:style w:type="paragraph" w:customStyle="1" w:styleId="976">
    <w:name w:val="xl56"/>
    <w:basedOn w:val="1"/>
    <w:qFormat/>
    <w:uiPriority w:val="0"/>
    <w:pPr>
      <w:pBdr>
        <w:top w:val="single" w:color="auto" w:sz="4" w:space="0"/>
        <w:left w:val="single" w:color="auto" w:sz="4" w:space="0"/>
        <w:bottom w:val="single" w:color="auto" w:sz="4" w:space="0"/>
        <w:right w:val="single" w:color="auto" w:sz="4" w:space="0"/>
      </w:pBdr>
      <w:spacing w:before="100" w:beforeAutospacing="1" w:afterLines="25" w:afterAutospacing="1" w:line="240" w:lineRule="auto"/>
      <w:jc w:val="center"/>
    </w:pPr>
    <w:rPr>
      <w:rFonts w:eastAsia="Arial Unicode MS"/>
      <w:kern w:val="0"/>
      <w:sz w:val="18"/>
      <w:szCs w:val="18"/>
    </w:rPr>
  </w:style>
  <w:style w:type="paragraph" w:customStyle="1" w:styleId="977">
    <w:name w:val="xl57"/>
    <w:basedOn w:val="1"/>
    <w:qFormat/>
    <w:uiPriority w:val="0"/>
    <w:pPr>
      <w:pBdr>
        <w:top w:val="single" w:color="auto" w:sz="4" w:space="0"/>
        <w:left w:val="single" w:color="auto" w:sz="4" w:space="0"/>
        <w:bottom w:val="single" w:color="auto" w:sz="4" w:space="0"/>
        <w:right w:val="single" w:color="auto" w:sz="4" w:space="0"/>
      </w:pBdr>
      <w:spacing w:before="100" w:beforeAutospacing="1" w:afterLines="25" w:afterAutospacing="1" w:line="240" w:lineRule="auto"/>
    </w:pPr>
    <w:rPr>
      <w:rFonts w:ascii="Arial Unicode MS" w:hAnsi="Arial Unicode MS" w:eastAsia="Arial Unicode MS"/>
      <w:kern w:val="0"/>
      <w:sz w:val="18"/>
      <w:szCs w:val="18"/>
    </w:rPr>
  </w:style>
  <w:style w:type="paragraph" w:customStyle="1" w:styleId="978">
    <w:name w:val="xl59"/>
    <w:basedOn w:val="1"/>
    <w:qFormat/>
    <w:uiPriority w:val="0"/>
    <w:pPr>
      <w:pBdr>
        <w:top w:val="single" w:color="auto" w:sz="4" w:space="0"/>
        <w:left w:val="single" w:color="auto" w:sz="4" w:space="0"/>
        <w:bottom w:val="single" w:color="auto" w:sz="4" w:space="0"/>
        <w:right w:val="single" w:color="auto" w:sz="4" w:space="0"/>
      </w:pBdr>
      <w:spacing w:before="100" w:beforeAutospacing="1" w:afterLines="25" w:afterAutospacing="1" w:line="240" w:lineRule="auto"/>
      <w:jc w:val="center"/>
    </w:pPr>
    <w:rPr>
      <w:rFonts w:ascii="Arial Unicode MS" w:hAnsi="Arial Unicode MS" w:eastAsia="Arial Unicode MS"/>
      <w:kern w:val="0"/>
      <w:sz w:val="18"/>
      <w:szCs w:val="18"/>
    </w:rPr>
  </w:style>
  <w:style w:type="paragraph" w:customStyle="1" w:styleId="979">
    <w:name w:val="xl60"/>
    <w:basedOn w:val="1"/>
    <w:qFormat/>
    <w:uiPriority w:val="0"/>
    <w:pPr>
      <w:pBdr>
        <w:top w:val="single" w:color="auto" w:sz="4" w:space="0"/>
        <w:left w:val="single" w:color="auto" w:sz="4" w:space="0"/>
        <w:bottom w:val="single" w:color="auto" w:sz="4" w:space="0"/>
      </w:pBdr>
      <w:spacing w:before="100" w:beforeAutospacing="1" w:afterLines="25" w:afterAutospacing="1" w:line="240" w:lineRule="auto"/>
      <w:jc w:val="center"/>
    </w:pPr>
    <w:rPr>
      <w:rFonts w:ascii="Arial Unicode MS" w:hAnsi="Arial Unicode MS" w:eastAsia="Arial Unicode MS"/>
      <w:kern w:val="0"/>
      <w:sz w:val="18"/>
      <w:szCs w:val="18"/>
    </w:rPr>
  </w:style>
  <w:style w:type="paragraph" w:customStyle="1" w:styleId="980">
    <w:name w:val="xl61"/>
    <w:basedOn w:val="1"/>
    <w:qFormat/>
    <w:uiPriority w:val="0"/>
    <w:pPr>
      <w:spacing w:before="100" w:beforeAutospacing="1" w:afterLines="25" w:afterAutospacing="1" w:line="240" w:lineRule="auto"/>
      <w:jc w:val="center"/>
    </w:pPr>
    <w:rPr>
      <w:rFonts w:ascii="Arial Unicode MS" w:hAnsi="Arial Unicode MS" w:eastAsia="Arial Unicode MS"/>
      <w:b/>
      <w:bCs/>
      <w:kern w:val="0"/>
      <w:sz w:val="18"/>
      <w:szCs w:val="18"/>
    </w:rPr>
  </w:style>
  <w:style w:type="paragraph" w:customStyle="1" w:styleId="981">
    <w:name w:val="xl62"/>
    <w:basedOn w:val="1"/>
    <w:qFormat/>
    <w:uiPriority w:val="0"/>
    <w:pPr>
      <w:spacing w:before="100" w:beforeAutospacing="1" w:afterLines="25" w:afterAutospacing="1" w:line="240" w:lineRule="auto"/>
      <w:jc w:val="center"/>
    </w:pPr>
    <w:rPr>
      <w:rFonts w:hint="eastAsia" w:ascii="黑体" w:hAnsi="Arial Unicode MS" w:eastAsia="黑体"/>
      <w:b/>
      <w:bCs/>
      <w:kern w:val="0"/>
      <w:sz w:val="28"/>
      <w:szCs w:val="28"/>
    </w:rPr>
  </w:style>
  <w:style w:type="paragraph" w:customStyle="1" w:styleId="982">
    <w:name w:val="样式 标题 2 + 宋体 小四"/>
    <w:basedOn w:val="7"/>
    <w:qFormat/>
    <w:uiPriority w:val="0"/>
    <w:pPr>
      <w:tabs>
        <w:tab w:val="left" w:pos="567"/>
      </w:tabs>
      <w:spacing w:beforeLines="0" w:afterLines="25" w:line="288" w:lineRule="auto"/>
      <w:ind w:firstLine="200" w:firstLineChars="200"/>
      <w:jc w:val="both"/>
    </w:pPr>
    <w:rPr>
      <w:rFonts w:ascii="宋体" w:hAnsi="宋体" w:eastAsia="宋体"/>
      <w:sz w:val="24"/>
      <w:szCs w:val="24"/>
    </w:rPr>
  </w:style>
  <w:style w:type="paragraph" w:customStyle="1" w:styleId="983">
    <w:name w:val="样式 小四 首行缩进:  2.5 字符"/>
    <w:basedOn w:val="1"/>
    <w:qFormat/>
    <w:uiPriority w:val="0"/>
    <w:pPr>
      <w:spacing w:afterLines="25" w:line="240" w:lineRule="auto"/>
    </w:pPr>
    <w:rPr>
      <w:szCs w:val="20"/>
    </w:rPr>
  </w:style>
  <w:style w:type="paragraph" w:customStyle="1" w:styleId="984">
    <w:name w:val="样式2 Char Char"/>
    <w:basedOn w:val="13"/>
    <w:qFormat/>
    <w:uiPriority w:val="0"/>
    <w:pPr>
      <w:tabs>
        <w:tab w:val="left" w:pos="3360"/>
      </w:tabs>
      <w:spacing w:line="360" w:lineRule="auto"/>
      <w:ind w:left="-2" w:leftChars="-1" w:firstLine="567"/>
      <w:textAlignment w:val="baseline"/>
    </w:pPr>
    <w:rPr>
      <w:rFonts w:ascii="Arial" w:hAnsi="Arial" w:cs="Arial"/>
      <w:bCs/>
      <w:spacing w:val="6"/>
      <w:sz w:val="24"/>
      <w:szCs w:val="24"/>
    </w:rPr>
  </w:style>
  <w:style w:type="paragraph" w:customStyle="1" w:styleId="985">
    <w:name w:val="正文仿宋"/>
    <w:basedOn w:val="1"/>
    <w:qFormat/>
    <w:uiPriority w:val="0"/>
    <w:pPr>
      <w:ind w:firstLine="567"/>
    </w:pPr>
    <w:rPr>
      <w:rFonts w:eastAsia="仿宋_GB2312"/>
      <w:snapToGrid w:val="0"/>
      <w:kern w:val="0"/>
      <w:szCs w:val="20"/>
    </w:rPr>
  </w:style>
  <w:style w:type="paragraph" w:customStyle="1" w:styleId="986">
    <w:name w:val="正文图五左"/>
    <w:basedOn w:val="959"/>
    <w:qFormat/>
    <w:uiPriority w:val="0"/>
  </w:style>
  <w:style w:type="paragraph" w:customStyle="1" w:styleId="987">
    <w:name w:val="生物附录"/>
    <w:qFormat/>
    <w:uiPriority w:val="0"/>
    <w:pPr>
      <w:spacing w:line="360" w:lineRule="auto"/>
      <w:jc w:val="both"/>
    </w:pPr>
    <w:rPr>
      <w:rFonts w:ascii="Times New Roman" w:hAnsi="Times New Roman" w:eastAsia="宋体" w:cs="Times New Roman"/>
      <w:b/>
      <w:spacing w:val="20"/>
      <w:sz w:val="28"/>
      <w:lang w:val="en-US" w:eastAsia="zh-CN" w:bidi="ar-SA"/>
    </w:rPr>
  </w:style>
  <w:style w:type="character" w:customStyle="1" w:styleId="988">
    <w:name w:val="样式 标题 1 + 黑体 四号 非加粗 Char"/>
    <w:qFormat/>
    <w:uiPriority w:val="0"/>
    <w:rPr>
      <w:rFonts w:eastAsia="黑体"/>
      <w:bCs/>
      <w:kern w:val="44"/>
      <w:sz w:val="28"/>
      <w:szCs w:val="28"/>
      <w:lang w:val="en-US" w:eastAsia="zh-CN" w:bidi="ar-SA"/>
    </w:rPr>
  </w:style>
  <w:style w:type="character" w:customStyle="1" w:styleId="989">
    <w:name w:val="样式 标题 2 + 仿宋_GB2312 四号 非加粗 Char"/>
    <w:qFormat/>
    <w:uiPriority w:val="0"/>
    <w:rPr>
      <w:rFonts w:eastAsia="仿宋_GB2312"/>
      <w:bCs/>
      <w:kern w:val="2"/>
      <w:sz w:val="28"/>
      <w:szCs w:val="28"/>
      <w:lang w:val="en-US" w:eastAsia="zh-CN" w:bidi="ar-SA"/>
    </w:rPr>
  </w:style>
  <w:style w:type="paragraph" w:customStyle="1" w:styleId="990">
    <w:name w:val="样式 正文文本缩进特点标题表内左齐 + 首行缩进:  2 字符"/>
    <w:basedOn w:val="3"/>
    <w:qFormat/>
    <w:uiPriority w:val="0"/>
    <w:pPr>
      <w:ind w:firstLine="200" w:firstLineChars="200"/>
    </w:pPr>
    <w:rPr>
      <w:rFonts w:ascii="Times New Roman" w:eastAsia="仿宋_GB2312"/>
      <w:color w:val="000000"/>
      <w:spacing w:val="4"/>
      <w:sz w:val="24"/>
      <w:szCs w:val="24"/>
      <w:lang w:val="zh-CN"/>
    </w:rPr>
  </w:style>
  <w:style w:type="character" w:customStyle="1" w:styleId="991">
    <w:name w:val="样式 标题 3 + 小四 非加粗 Char"/>
    <w:qFormat/>
    <w:uiPriority w:val="0"/>
    <w:rPr>
      <w:rFonts w:eastAsia="仿宋_GB2312"/>
      <w:b/>
      <w:bCs/>
      <w:kern w:val="2"/>
      <w:sz w:val="24"/>
      <w:szCs w:val="24"/>
      <w:lang w:val="en-US" w:eastAsia="zh-CN" w:bidi="ar-SA"/>
    </w:rPr>
  </w:style>
  <w:style w:type="character" w:customStyle="1" w:styleId="992">
    <w:name w:val="样式 标题 2 + (西文) Times New Roman (中文) 仿宋_GB2312 四号 非加粗 Char"/>
    <w:qFormat/>
    <w:uiPriority w:val="0"/>
    <w:rPr>
      <w:rFonts w:eastAsia="仿宋_GB2312"/>
      <w:bCs/>
      <w:kern w:val="2"/>
      <w:sz w:val="28"/>
      <w:szCs w:val="28"/>
      <w:lang w:val="en-US" w:eastAsia="zh-CN" w:bidi="ar-SA"/>
    </w:rPr>
  </w:style>
  <w:style w:type="character" w:customStyle="1" w:styleId="993">
    <w:name w:val="样式 样式 样式 标题 2 + (西文) Times New Roman (中文) 仿宋_GB2312 四号 非加粗 + Ari... Char"/>
    <w:qFormat/>
    <w:uiPriority w:val="0"/>
    <w:rPr>
      <w:rFonts w:eastAsia="仿宋_GB2312"/>
      <w:bCs/>
      <w:kern w:val="2"/>
      <w:sz w:val="28"/>
      <w:szCs w:val="28"/>
      <w:lang w:val="en-US" w:eastAsia="zh-CN" w:bidi="ar-SA"/>
    </w:rPr>
  </w:style>
  <w:style w:type="paragraph" w:customStyle="1" w:styleId="994">
    <w:name w:val="样式 标题 2 + 加粗 行距: 1.5 倍行距"/>
    <w:basedOn w:val="7"/>
    <w:qFormat/>
    <w:uiPriority w:val="0"/>
    <w:pPr>
      <w:tabs>
        <w:tab w:val="left" w:pos="567"/>
      </w:tabs>
      <w:spacing w:beforeLines="0" w:afterLines="0" w:line="360" w:lineRule="auto"/>
      <w:jc w:val="both"/>
    </w:pPr>
    <w:rPr>
      <w:rFonts w:ascii="Times New Roman" w:eastAsia="仿宋_GB2312"/>
      <w:sz w:val="24"/>
      <w:szCs w:val="20"/>
    </w:rPr>
  </w:style>
  <w:style w:type="character" w:customStyle="1" w:styleId="995">
    <w:name w:val="样式 样式 标题 3 + 小四 非加粗 + Char"/>
    <w:qFormat/>
    <w:uiPriority w:val="0"/>
  </w:style>
  <w:style w:type="character" w:customStyle="1" w:styleId="996">
    <w:name w:val="样式 样式 样式 标题 3 + 小四 非加粗 + + Char"/>
    <w:qFormat/>
    <w:uiPriority w:val="0"/>
  </w:style>
  <w:style w:type="character" w:customStyle="1" w:styleId="997">
    <w:name w:val="f9"/>
    <w:qFormat/>
    <w:uiPriority w:val="0"/>
    <w:rPr>
      <w:rFonts w:ascii="Times New Roman" w:hAnsi="Times New Roman" w:eastAsia="仿宋_GB2312"/>
      <w:sz w:val="24"/>
    </w:rPr>
  </w:style>
  <w:style w:type="paragraph" w:customStyle="1" w:styleId="998">
    <w:name w:val="框图sq"/>
    <w:basedOn w:val="1"/>
    <w:qFormat/>
    <w:uiPriority w:val="0"/>
    <w:pPr>
      <w:spacing w:line="0" w:lineRule="atLeast"/>
      <w:textAlignment w:val="baseline"/>
    </w:pPr>
    <w:rPr>
      <w:rFonts w:ascii="宋体"/>
      <w:kern w:val="0"/>
      <w:sz w:val="21"/>
      <w:szCs w:val="20"/>
    </w:rPr>
  </w:style>
  <w:style w:type="paragraph" w:customStyle="1" w:styleId="999">
    <w:name w:val="列项——"/>
    <w:qFormat/>
    <w:uiPriority w:val="0"/>
    <w:pPr>
      <w:widowControl w:val="0"/>
      <w:tabs>
        <w:tab w:val="left" w:pos="630"/>
      </w:tabs>
      <w:spacing w:line="360" w:lineRule="auto"/>
      <w:ind w:left="630" w:hanging="630"/>
      <w:jc w:val="both"/>
    </w:pPr>
    <w:rPr>
      <w:rFonts w:ascii="宋体" w:hAnsi="Times New Roman" w:eastAsia="宋体" w:cs="Times New Roman"/>
      <w:sz w:val="21"/>
      <w:lang w:val="en-US" w:eastAsia="zh-CN" w:bidi="ar-SA"/>
    </w:rPr>
  </w:style>
  <w:style w:type="character" w:customStyle="1" w:styleId="1000">
    <w:name w:val="style1"/>
    <w:qFormat/>
    <w:uiPriority w:val="0"/>
  </w:style>
  <w:style w:type="paragraph" w:customStyle="1" w:styleId="1001">
    <w:name w:val="样式 正文文本缩进正文文字缩进特点标题表内左齐 + (中文) 仿宋_GB2312 11 磅 两端对齐 行距: 1.5..."/>
    <w:basedOn w:val="3"/>
    <w:qFormat/>
    <w:uiPriority w:val="0"/>
    <w:pPr>
      <w:autoSpaceDE w:val="0"/>
      <w:autoSpaceDN w:val="0"/>
      <w:ind w:firstLine="440" w:firstLineChars="200"/>
    </w:pPr>
    <w:rPr>
      <w:rFonts w:ascii="Times New Roman" w:eastAsia="仿宋_GB2312"/>
      <w:snapToGrid/>
      <w:sz w:val="22"/>
      <w:szCs w:val="24"/>
      <w:lang w:val="zh-CN"/>
    </w:rPr>
  </w:style>
  <w:style w:type="paragraph" w:customStyle="1" w:styleId="1002">
    <w:name w:val="样式 正文文本缩进正文文字缩进特点标题表内左齐 + (中文) 仿宋_GB2312 11 磅 两端对齐 行距: 1.5...1"/>
    <w:basedOn w:val="3"/>
    <w:qFormat/>
    <w:uiPriority w:val="0"/>
    <w:pPr>
      <w:autoSpaceDE w:val="0"/>
      <w:autoSpaceDN w:val="0"/>
      <w:ind w:firstLine="440" w:firstLineChars="200"/>
    </w:pPr>
    <w:rPr>
      <w:rFonts w:ascii="Times New Roman" w:eastAsia="仿宋_GB2312"/>
      <w:snapToGrid/>
      <w:sz w:val="22"/>
      <w:szCs w:val="24"/>
      <w:lang w:val="zh-CN"/>
    </w:rPr>
  </w:style>
  <w:style w:type="paragraph" w:customStyle="1" w:styleId="1003">
    <w:name w:val="样式 正文文字缩进 3 + (西文) Times New Roman (中文) 仿宋_GB2312 11 磅"/>
    <w:basedOn w:val="2"/>
    <w:next w:val="1002"/>
    <w:qFormat/>
    <w:uiPriority w:val="0"/>
    <w:pPr>
      <w:widowControl w:val="0"/>
      <w:spacing w:after="0" w:line="312" w:lineRule="auto"/>
      <w:ind w:left="0" w:leftChars="0" w:firstLine="330" w:firstLineChars="150"/>
      <w:jc w:val="both"/>
      <w:textAlignment w:val="baseline"/>
    </w:pPr>
    <w:rPr>
      <w:rFonts w:ascii="Times New Roman" w:hAnsi="Arial" w:eastAsia="仿宋_GB2312" w:cs="Times New Roman"/>
      <w:snapToGrid w:val="0"/>
      <w:color w:val="FF0000"/>
      <w:spacing w:val="6"/>
      <w:kern w:val="2"/>
      <w:sz w:val="22"/>
      <w:lang w:val="zh-CN"/>
    </w:rPr>
  </w:style>
  <w:style w:type="character" w:customStyle="1" w:styleId="1004">
    <w:name w:val="正文文本缩进 字符1"/>
    <w:qFormat/>
    <w:uiPriority w:val="0"/>
    <w:rPr>
      <w:rFonts w:ascii="宋体" w:hAnsi="宋体" w:eastAsia="宋体" w:cs="Times New Roman"/>
      <w:b/>
      <w:bCs/>
      <w:color w:val="FF0000"/>
      <w:sz w:val="28"/>
      <w:szCs w:val="24"/>
      <w:lang w:val="zh-CN" w:eastAsia="zh-CN"/>
    </w:rPr>
  </w:style>
  <w:style w:type="paragraph" w:customStyle="1" w:styleId="1005">
    <w:name w:val="样式 正文文本缩进正文文字缩进特点标题表内左齐 + (中文) 仿宋_GB2312 11.5 磅 两端对齐 行距: 1..."/>
    <w:basedOn w:val="43"/>
    <w:qFormat/>
    <w:uiPriority w:val="0"/>
    <w:pPr>
      <w:spacing w:after="0" w:line="360" w:lineRule="auto"/>
      <w:ind w:left="0" w:leftChars="0" w:firstLine="460"/>
    </w:pPr>
    <w:rPr>
      <w:rFonts w:eastAsia="仿宋_GB2312"/>
      <w:sz w:val="23"/>
      <w:szCs w:val="22"/>
    </w:rPr>
  </w:style>
  <w:style w:type="paragraph" w:customStyle="1" w:styleId="1006">
    <w:name w:val="标题正文"/>
    <w:basedOn w:val="1"/>
    <w:qFormat/>
    <w:uiPriority w:val="0"/>
    <w:pPr>
      <w:ind w:firstLine="480"/>
    </w:pPr>
    <w:rPr>
      <w:rFonts w:eastAsia="仿宋_GB2312"/>
      <w:szCs w:val="20"/>
    </w:rPr>
  </w:style>
  <w:style w:type="paragraph" w:customStyle="1" w:styleId="1007">
    <w:name w:val="文本正文"/>
    <w:basedOn w:val="1"/>
    <w:link w:val="1008"/>
    <w:qFormat/>
    <w:uiPriority w:val="0"/>
    <w:pPr>
      <w:ind w:firstLine="480"/>
    </w:pPr>
    <w:rPr>
      <w:rFonts w:eastAsia="仿宋_GB2312"/>
      <w:szCs w:val="24"/>
      <w:lang w:val="zh-CN"/>
    </w:rPr>
  </w:style>
  <w:style w:type="character" w:customStyle="1" w:styleId="1008">
    <w:name w:val="文本正文 Char"/>
    <w:link w:val="1007"/>
    <w:qFormat/>
    <w:uiPriority w:val="0"/>
    <w:rPr>
      <w:rFonts w:eastAsia="仿宋_GB2312"/>
      <w:kern w:val="2"/>
      <w:sz w:val="24"/>
      <w:szCs w:val="24"/>
      <w:lang w:val="zh-CN"/>
    </w:rPr>
  </w:style>
  <w:style w:type="paragraph" w:customStyle="1" w:styleId="1009">
    <w:name w:val="样式 表头 + 两端对齐"/>
    <w:basedOn w:val="149"/>
    <w:qFormat/>
    <w:uiPriority w:val="0"/>
    <w:pPr>
      <w:keepNext/>
      <w:keepLines/>
      <w:spacing w:before="60" w:line="360" w:lineRule="auto"/>
      <w:ind w:firstLine="200" w:firstLineChars="200"/>
      <w:jc w:val="both"/>
    </w:pPr>
    <w:rPr>
      <w:rFonts w:ascii="Times New Roman" w:eastAsia="仿宋_GB2312"/>
      <w:snapToGrid w:val="0"/>
      <w:sz w:val="24"/>
    </w:rPr>
  </w:style>
  <w:style w:type="character" w:customStyle="1" w:styleId="1010">
    <w:name w:val="unnamed1"/>
    <w:qFormat/>
    <w:uiPriority w:val="0"/>
  </w:style>
  <w:style w:type="paragraph" w:customStyle="1" w:styleId="1011">
    <w:name w:val="bw1"/>
    <w:basedOn w:val="1"/>
    <w:qFormat/>
    <w:uiPriority w:val="0"/>
    <w:pPr>
      <w:spacing w:line="240" w:lineRule="atLeast"/>
      <w:ind w:left="-57" w:right="-57"/>
      <w:jc w:val="center"/>
    </w:pPr>
    <w:rPr>
      <w:rFonts w:ascii="Arial Narrow" w:hAnsi="Arial Narrow" w:eastAsia="楷体_GB2312"/>
      <w:w w:val="90"/>
      <w:sz w:val="18"/>
      <w:szCs w:val="20"/>
    </w:rPr>
  </w:style>
  <w:style w:type="paragraph" w:customStyle="1" w:styleId="1012">
    <w:name w:val="bt1"/>
    <w:basedOn w:val="1"/>
    <w:qFormat/>
    <w:uiPriority w:val="0"/>
    <w:pPr>
      <w:spacing w:before="240" w:line="380" w:lineRule="atLeast"/>
      <w:ind w:firstLine="1201" w:firstLineChars="491"/>
    </w:pPr>
    <w:rPr>
      <w:rFonts w:ascii="Arial Narrow" w:hAnsi="Arial Narrow" w:eastAsia="黑体"/>
      <w:spacing w:val="-4"/>
      <w:w w:val="90"/>
      <w:sz w:val="28"/>
      <w:szCs w:val="28"/>
    </w:rPr>
  </w:style>
  <w:style w:type="paragraph" w:customStyle="1" w:styleId="1013">
    <w:name w:val="样式 表格文字 + 五号 黑色"/>
    <w:basedOn w:val="39"/>
    <w:qFormat/>
    <w:uiPriority w:val="0"/>
    <w:pPr>
      <w:spacing w:beforeLines="20" w:line="240" w:lineRule="atLeast"/>
      <w:jc w:val="center"/>
      <w:textAlignment w:val="baseline"/>
    </w:pPr>
    <w:rPr>
      <w:color w:val="000000"/>
      <w:sz w:val="21"/>
      <w:szCs w:val="21"/>
    </w:rPr>
  </w:style>
  <w:style w:type="paragraph" w:customStyle="1" w:styleId="1014">
    <w:name w:val="样式 表标题 + 段前: 0.5 行"/>
    <w:basedOn w:val="962"/>
    <w:qFormat/>
    <w:uiPriority w:val="0"/>
    <w:pPr>
      <w:keepLines/>
      <w:spacing w:beforeLines="50" w:afterLines="0" w:line="348" w:lineRule="auto"/>
    </w:pPr>
    <w:rPr>
      <w:b w:val="0"/>
      <w:snapToGrid w:val="0"/>
      <w:color w:val="auto"/>
      <w:szCs w:val="24"/>
    </w:rPr>
  </w:style>
  <w:style w:type="character" w:customStyle="1" w:styleId="1015">
    <w:name w:val="标题 4 Char Char Char Char Char Char Char Char Char Char Char Char Char Char Char Char Char Char Char"/>
    <w:qFormat/>
    <w:uiPriority w:val="0"/>
    <w:rPr>
      <w:rFonts w:ascii="Arial" w:hAnsi="Arial" w:eastAsia="黑体"/>
      <w:b/>
      <w:bCs/>
      <w:snapToGrid w:val="0"/>
      <w:sz w:val="24"/>
      <w:szCs w:val="28"/>
      <w:lang w:val="en-US" w:eastAsia="zh-CN" w:bidi="ar-SA"/>
    </w:rPr>
  </w:style>
  <w:style w:type="paragraph" w:customStyle="1" w:styleId="1016">
    <w:name w:val="表内"/>
    <w:basedOn w:val="1"/>
    <w:next w:val="1"/>
    <w:qFormat/>
    <w:uiPriority w:val="0"/>
    <w:pPr>
      <w:spacing w:before="120" w:after="120" w:line="288" w:lineRule="auto"/>
      <w:jc w:val="center"/>
    </w:pPr>
    <w:rPr>
      <w:snapToGrid w:val="0"/>
      <w:sz w:val="21"/>
      <w:szCs w:val="20"/>
    </w:rPr>
  </w:style>
  <w:style w:type="paragraph" w:customStyle="1" w:styleId="1017">
    <w:name w:val="样式 标题 1 + 仿宋_GB2312 加粗 首行缩进:  2 字符"/>
    <w:basedOn w:val="6"/>
    <w:qFormat/>
    <w:uiPriority w:val="0"/>
    <w:pPr>
      <w:ind w:firstLine="562"/>
      <w:jc w:val="both"/>
      <w:textAlignment w:val="baseline"/>
    </w:pPr>
    <w:rPr>
      <w:rFonts w:ascii="仿宋_GB2312" w:hAnsi="Times New Roman" w:eastAsia="Times New Roman"/>
      <w:snapToGrid w:val="0"/>
      <w:kern w:val="0"/>
      <w:szCs w:val="20"/>
    </w:rPr>
  </w:style>
  <w:style w:type="paragraph" w:customStyle="1" w:styleId="1018">
    <w:name w:val="文本框五号 Char"/>
    <w:qFormat/>
    <w:uiPriority w:val="0"/>
    <w:pPr>
      <w:spacing w:line="360" w:lineRule="auto"/>
      <w:jc w:val="center"/>
    </w:pPr>
    <w:rPr>
      <w:rFonts w:ascii="Times New Roman" w:hAnsi="Times New Roman" w:eastAsia="仿宋_GB2312" w:cs="Times New Roman"/>
      <w:kern w:val="2"/>
      <w:sz w:val="21"/>
      <w:szCs w:val="21"/>
      <w:lang w:val="en-US" w:eastAsia="zh-CN" w:bidi="ar-SA"/>
    </w:rPr>
  </w:style>
  <w:style w:type="character" w:customStyle="1" w:styleId="1019">
    <w:name w:val="文本框五号 Char Char"/>
    <w:qFormat/>
    <w:uiPriority w:val="0"/>
    <w:rPr>
      <w:rFonts w:eastAsia="仿宋_GB2312"/>
      <w:kern w:val="2"/>
      <w:sz w:val="21"/>
      <w:szCs w:val="21"/>
      <w:lang w:val="en-US" w:eastAsia="zh-CN" w:bidi="ar-SA"/>
    </w:rPr>
  </w:style>
  <w:style w:type="paragraph" w:customStyle="1" w:styleId="1020">
    <w:name w:val="文本框5号两端齐"/>
    <w:basedOn w:val="1018"/>
    <w:qFormat/>
    <w:uiPriority w:val="0"/>
    <w:pPr>
      <w:jc w:val="both"/>
    </w:pPr>
    <w:rPr>
      <w:sz w:val="15"/>
      <w:szCs w:val="15"/>
    </w:rPr>
  </w:style>
  <w:style w:type="paragraph" w:customStyle="1" w:styleId="1021">
    <w:name w:val="正文单倍行距"/>
    <w:basedOn w:val="1"/>
    <w:qFormat/>
    <w:uiPriority w:val="0"/>
    <w:pPr>
      <w:tabs>
        <w:tab w:val="left" w:pos="8640"/>
      </w:tabs>
      <w:jc w:val="center"/>
    </w:pPr>
    <w:rPr>
      <w:rFonts w:eastAsia="仿宋_GB2312"/>
      <w:sz w:val="18"/>
      <w:szCs w:val="18"/>
    </w:rPr>
  </w:style>
  <w:style w:type="paragraph" w:customStyle="1" w:styleId="1022">
    <w:name w:val="码头表"/>
    <w:basedOn w:val="1"/>
    <w:qFormat/>
    <w:uiPriority w:val="0"/>
    <w:pPr>
      <w:spacing w:line="240" w:lineRule="auto"/>
      <w:jc w:val="center"/>
    </w:pPr>
    <w:rPr>
      <w:rFonts w:eastAsia="仿宋_GB2312"/>
      <w:color w:val="FF6600"/>
      <w:sz w:val="21"/>
      <w:szCs w:val="24"/>
    </w:rPr>
  </w:style>
  <w:style w:type="paragraph" w:customStyle="1" w:styleId="1023">
    <w:name w:val="湛江码头表"/>
    <w:basedOn w:val="1"/>
    <w:qFormat/>
    <w:uiPriority w:val="0"/>
    <w:pPr>
      <w:spacing w:line="240" w:lineRule="auto"/>
      <w:jc w:val="center"/>
    </w:pPr>
    <w:rPr>
      <w:rFonts w:eastAsia="仿宋_GB2312"/>
      <w:kern w:val="0"/>
      <w:sz w:val="21"/>
      <w:szCs w:val="24"/>
      <w:lang w:eastAsia="zh-TW"/>
    </w:rPr>
  </w:style>
  <w:style w:type="paragraph" w:customStyle="1" w:styleId="1024">
    <w:name w:val="注："/>
    <w:next w:val="1"/>
    <w:qFormat/>
    <w:uiPriority w:val="0"/>
    <w:pPr>
      <w:widowControl w:val="0"/>
      <w:tabs>
        <w:tab w:val="left" w:pos="360"/>
      </w:tabs>
      <w:autoSpaceDE w:val="0"/>
      <w:autoSpaceDN w:val="0"/>
      <w:spacing w:line="360" w:lineRule="auto"/>
      <w:ind w:left="360" w:hanging="360"/>
      <w:jc w:val="both"/>
    </w:pPr>
    <w:rPr>
      <w:rFonts w:ascii="宋体" w:hAnsi="Times New Roman" w:eastAsia="宋体" w:cs="Times New Roman"/>
      <w:sz w:val="18"/>
      <w:lang w:val="en-US" w:eastAsia="zh-CN" w:bidi="ar-SA"/>
    </w:rPr>
  </w:style>
  <w:style w:type="character" w:customStyle="1" w:styleId="1025">
    <w:name w:val="文本框五号 Char Char Char"/>
    <w:qFormat/>
    <w:uiPriority w:val="0"/>
    <w:rPr>
      <w:rFonts w:eastAsia="仿宋_GB2312"/>
      <w:kern w:val="2"/>
      <w:sz w:val="21"/>
      <w:szCs w:val="21"/>
      <w:lang w:val="en-US" w:eastAsia="zh-CN" w:bidi="ar-SA"/>
    </w:rPr>
  </w:style>
  <w:style w:type="paragraph" w:customStyle="1" w:styleId="1026">
    <w:name w:val="文本框五号1.5倍行距"/>
    <w:basedOn w:val="1018"/>
    <w:qFormat/>
    <w:uiPriority w:val="0"/>
  </w:style>
  <w:style w:type="character" w:customStyle="1" w:styleId="1027">
    <w:name w:val="文本框五号1.5倍行距 Char"/>
    <w:qFormat/>
    <w:uiPriority w:val="0"/>
  </w:style>
  <w:style w:type="character" w:customStyle="1" w:styleId="1028">
    <w:name w:val="文本框五号 Char Char Char Char"/>
    <w:qFormat/>
    <w:uiPriority w:val="0"/>
    <w:rPr>
      <w:rFonts w:eastAsia="仿宋_GB2312"/>
      <w:kern w:val="2"/>
      <w:sz w:val="21"/>
      <w:szCs w:val="21"/>
      <w:lang w:val="en-US" w:eastAsia="zh-CN" w:bidi="ar-SA"/>
    </w:rPr>
  </w:style>
  <w:style w:type="character" w:customStyle="1" w:styleId="1029">
    <w:name w:val="文本框五号1.5倍行距 Char Char"/>
    <w:qFormat/>
    <w:uiPriority w:val="0"/>
    <w:rPr>
      <w:rFonts w:eastAsia="仿宋_GB2312"/>
      <w:kern w:val="2"/>
      <w:sz w:val="21"/>
      <w:szCs w:val="21"/>
      <w:lang w:val="en-US" w:eastAsia="zh-CN" w:bidi="ar-SA"/>
    </w:rPr>
  </w:style>
  <w:style w:type="paragraph" w:customStyle="1" w:styleId="1030">
    <w:name w:val="表格文字五"/>
    <w:basedOn w:val="1"/>
    <w:qFormat/>
    <w:uiPriority w:val="0"/>
    <w:pPr>
      <w:spacing w:beforeLines="20" w:afterLines="20" w:line="312" w:lineRule="auto"/>
    </w:pPr>
    <w:rPr>
      <w:rFonts w:eastAsia="仿宋_GB2312"/>
      <w:sz w:val="21"/>
    </w:rPr>
  </w:style>
  <w:style w:type="character" w:customStyle="1" w:styleId="1031">
    <w:name w:val="contenttext1"/>
    <w:qFormat/>
    <w:uiPriority w:val="0"/>
  </w:style>
  <w:style w:type="paragraph" w:customStyle="1" w:styleId="1032">
    <w:name w:val="9"/>
    <w:basedOn w:val="1"/>
    <w:next w:val="43"/>
    <w:qFormat/>
    <w:uiPriority w:val="0"/>
    <w:pPr>
      <w:spacing w:line="520" w:lineRule="exact"/>
      <w:ind w:firstLine="560"/>
    </w:pPr>
    <w:rPr>
      <w:sz w:val="28"/>
      <w:szCs w:val="24"/>
    </w:rPr>
  </w:style>
  <w:style w:type="paragraph" w:customStyle="1" w:styleId="1033">
    <w:name w:val="样式 图表 + 首行缩进:  2 字符1"/>
    <w:basedOn w:val="1"/>
    <w:qFormat/>
    <w:uiPriority w:val="0"/>
    <w:pPr>
      <w:spacing w:beforeLines="20" w:afterLines="20" w:line="240" w:lineRule="auto"/>
      <w:ind w:left="-105" w:leftChars="-50" w:right="-105" w:rightChars="-50"/>
      <w:jc w:val="center"/>
    </w:pPr>
    <w:rPr>
      <w:rFonts w:eastAsia="仿宋_GB2312"/>
      <w:color w:val="000000"/>
      <w:sz w:val="21"/>
      <w:szCs w:val="24"/>
    </w:rPr>
  </w:style>
  <w:style w:type="paragraph" w:customStyle="1" w:styleId="1034">
    <w:name w:val="表格2"/>
    <w:basedOn w:val="1"/>
    <w:next w:val="1"/>
    <w:qFormat/>
    <w:uiPriority w:val="0"/>
    <w:pPr>
      <w:autoSpaceDE w:val="0"/>
      <w:autoSpaceDN w:val="0"/>
      <w:spacing w:line="240" w:lineRule="auto"/>
      <w:jc w:val="center"/>
    </w:pPr>
    <w:rPr>
      <w:rFonts w:ascii="宋体" w:hAnsi="Impact" w:eastAsia="仿宋_GB2312"/>
      <w:kern w:val="24"/>
      <w:position w:val="-28"/>
    </w:rPr>
  </w:style>
  <w:style w:type="paragraph" w:customStyle="1" w:styleId="1035">
    <w:name w:val="表名称"/>
    <w:basedOn w:val="1"/>
    <w:qFormat/>
    <w:uiPriority w:val="0"/>
    <w:pPr>
      <w:tabs>
        <w:tab w:val="left" w:pos="-120"/>
      </w:tabs>
      <w:overflowPunct w:val="0"/>
      <w:topLinePunct/>
      <w:autoSpaceDE w:val="0"/>
      <w:spacing w:before="240" w:after="120" w:line="240" w:lineRule="atLeast"/>
      <w:textAlignment w:val="baseline"/>
    </w:pPr>
    <w:rPr>
      <w:rFonts w:eastAsia="仿宋_GB2312"/>
      <w:spacing w:val="16"/>
      <w:kern w:val="0"/>
      <w:szCs w:val="24"/>
    </w:rPr>
  </w:style>
  <w:style w:type="paragraph" w:customStyle="1" w:styleId="1036">
    <w:name w:val="样式 样式4 + 字距调整小四"/>
    <w:basedOn w:val="1"/>
    <w:qFormat/>
    <w:uiPriority w:val="0"/>
    <w:pPr>
      <w:spacing w:line="240" w:lineRule="auto"/>
    </w:pPr>
    <w:rPr>
      <w:rFonts w:ascii="Arial" w:hAnsi="Arial" w:eastAsia="楷体_GB2312" w:cs="Arial"/>
      <w:kern w:val="24"/>
      <w:szCs w:val="24"/>
    </w:rPr>
  </w:style>
  <w:style w:type="paragraph" w:customStyle="1" w:styleId="1037">
    <w:name w:val="表格五中"/>
    <w:qFormat/>
    <w:uiPriority w:val="0"/>
    <w:pPr>
      <w:adjustRightInd w:val="0"/>
      <w:snapToGrid w:val="0"/>
      <w:spacing w:line="240" w:lineRule="atLeast"/>
      <w:jc w:val="center"/>
    </w:pPr>
    <w:rPr>
      <w:rFonts w:ascii="Times New Roman" w:hAnsi="Times New Roman" w:eastAsia="宋体" w:cs="Times New Roman"/>
      <w:sz w:val="21"/>
      <w:lang w:val="en-US" w:eastAsia="zh-CN" w:bidi="ar-SA"/>
    </w:rPr>
  </w:style>
  <w:style w:type="paragraph" w:customStyle="1" w:styleId="1038">
    <w:name w:val="lff"/>
    <w:link w:val="1039"/>
    <w:qFormat/>
    <w:uiPriority w:val="0"/>
    <w:pPr>
      <w:adjustRightInd w:val="0"/>
      <w:snapToGrid w:val="0"/>
      <w:spacing w:line="360" w:lineRule="auto"/>
      <w:ind w:firstLine="200" w:firstLineChars="200"/>
    </w:pPr>
    <w:rPr>
      <w:rFonts w:ascii="Calibri" w:hAnsi="Calibri" w:eastAsia="仿宋_GB2312" w:cs="Times New Roman"/>
      <w:color w:val="000000"/>
      <w:kern w:val="2"/>
      <w:sz w:val="21"/>
      <w:szCs w:val="21"/>
      <w:lang w:val="zh-CN" w:eastAsia="zh-CN" w:bidi="ar-SA"/>
    </w:rPr>
  </w:style>
  <w:style w:type="character" w:customStyle="1" w:styleId="1039">
    <w:name w:val="lff Char Char"/>
    <w:link w:val="1038"/>
    <w:qFormat/>
    <w:uiPriority w:val="0"/>
    <w:rPr>
      <w:rFonts w:ascii="Calibri" w:hAnsi="Calibri" w:eastAsia="仿宋_GB2312"/>
      <w:color w:val="000000"/>
      <w:kern w:val="2"/>
      <w:sz w:val="21"/>
      <w:szCs w:val="21"/>
      <w:lang w:val="zh-CN" w:bidi="ar-SA"/>
    </w:rPr>
  </w:style>
  <w:style w:type="character" w:customStyle="1" w:styleId="1040">
    <w:name w:val="lff Char"/>
    <w:qFormat/>
    <w:uiPriority w:val="0"/>
    <w:rPr>
      <w:rFonts w:eastAsia="仿宋_GB2312"/>
      <w:color w:val="000000"/>
      <w:kern w:val="2"/>
      <w:sz w:val="21"/>
      <w:szCs w:val="21"/>
      <w:lang w:val="en-US" w:eastAsia="zh-CN" w:bidi="ar-SA"/>
    </w:rPr>
  </w:style>
  <w:style w:type="paragraph" w:customStyle="1" w:styleId="1041">
    <w:name w:val="编号4号"/>
    <w:basedOn w:val="1"/>
    <w:qFormat/>
    <w:uiPriority w:val="0"/>
    <w:pPr>
      <w:spacing w:line="312" w:lineRule="auto"/>
    </w:pPr>
    <w:rPr>
      <w:rFonts w:ascii="Arial" w:hAnsi="Arial" w:cs="Arial"/>
      <w:sz w:val="21"/>
      <w:szCs w:val="24"/>
    </w:rPr>
  </w:style>
  <w:style w:type="character" w:customStyle="1" w:styleId="1042">
    <w:name w:val="11p1"/>
    <w:qFormat/>
    <w:uiPriority w:val="0"/>
    <w:rPr>
      <w:sz w:val="30"/>
      <w:szCs w:val="30"/>
    </w:rPr>
  </w:style>
  <w:style w:type="character" w:customStyle="1" w:styleId="1043">
    <w:name w:val="td11"/>
    <w:qFormat/>
    <w:uiPriority w:val="0"/>
    <w:rPr>
      <w:rFonts w:hint="default" w:ascii="ˎ̥" w:hAnsi="ˎ̥"/>
      <w:color w:val="000000"/>
      <w:sz w:val="18"/>
      <w:szCs w:val="18"/>
    </w:rPr>
  </w:style>
  <w:style w:type="paragraph" w:customStyle="1" w:styleId="1044">
    <w:name w:val="tit"/>
    <w:basedOn w:val="1"/>
    <w:qFormat/>
    <w:uiPriority w:val="0"/>
    <w:pPr>
      <w:spacing w:line="240" w:lineRule="auto"/>
      <w:jc w:val="center"/>
      <w:textAlignment w:val="baseline"/>
    </w:pPr>
    <w:rPr>
      <w:kern w:val="0"/>
      <w:sz w:val="21"/>
      <w:szCs w:val="20"/>
    </w:rPr>
  </w:style>
  <w:style w:type="paragraph" w:customStyle="1" w:styleId="1045">
    <w:name w:val="7"/>
    <w:basedOn w:val="1"/>
    <w:qFormat/>
    <w:uiPriority w:val="0"/>
    <w:pPr>
      <w:spacing w:line="240" w:lineRule="auto"/>
    </w:pPr>
    <w:rPr>
      <w:sz w:val="21"/>
      <w:szCs w:val="24"/>
    </w:rPr>
  </w:style>
  <w:style w:type="paragraph" w:customStyle="1" w:styleId="1046">
    <w:name w:val="样式 标题 2节标题 1.1b21.1标题2h2l22nd levelTitre2Header 2标题2b2..."/>
    <w:basedOn w:val="7"/>
    <w:qFormat/>
    <w:uiPriority w:val="0"/>
    <w:pPr>
      <w:keepNext w:val="0"/>
      <w:keepLines w:val="0"/>
      <w:tabs>
        <w:tab w:val="left" w:pos="567"/>
      </w:tabs>
      <w:spacing w:beforeLines="0" w:afterLines="0" w:line="360" w:lineRule="auto"/>
      <w:textAlignment w:val="baseline"/>
    </w:pPr>
    <w:rPr>
      <w:rFonts w:ascii="Times New Roman" w:eastAsia="仿宋_GB2312" w:cs="宋体"/>
      <w:kern w:val="0"/>
      <w:sz w:val="24"/>
      <w:szCs w:val="20"/>
    </w:rPr>
  </w:style>
  <w:style w:type="paragraph" w:customStyle="1" w:styleId="1047">
    <w:name w:val="Char Char Char1 Char Char Char Char Char Char Char"/>
    <w:basedOn w:val="1"/>
    <w:qFormat/>
    <w:uiPriority w:val="0"/>
    <w:pPr>
      <w:spacing w:line="240" w:lineRule="auto"/>
    </w:pPr>
    <w:rPr>
      <w:rFonts w:ascii="Tahoma" w:hAnsi="Tahoma"/>
      <w:szCs w:val="20"/>
    </w:rPr>
  </w:style>
  <w:style w:type="character" w:customStyle="1" w:styleId="1048">
    <w:name w:val="style11"/>
    <w:qFormat/>
    <w:uiPriority w:val="0"/>
    <w:rPr>
      <w:color w:val="333333"/>
      <w:sz w:val="19"/>
      <w:szCs w:val="19"/>
      <w:u w:val="none"/>
    </w:rPr>
  </w:style>
  <w:style w:type="paragraph" w:customStyle="1" w:styleId="1049">
    <w:name w:val="样式 样式 正文 楷体_GB2312 四号 行距: 固定值 30 磅 + 首行缩进:  2 字符1 + 首行缩进:  2 字符"/>
    <w:basedOn w:val="1"/>
    <w:qFormat/>
    <w:uiPriority w:val="0"/>
    <w:pPr>
      <w:spacing w:line="348" w:lineRule="auto"/>
      <w:ind w:firstLine="560"/>
      <w:jc w:val="center"/>
    </w:pPr>
    <w:rPr>
      <w:rFonts w:hAnsi="宋体"/>
      <w:color w:val="000000"/>
      <w:kern w:val="0"/>
      <w:sz w:val="28"/>
      <w:szCs w:val="20"/>
    </w:rPr>
  </w:style>
  <w:style w:type="paragraph" w:customStyle="1" w:styleId="1050">
    <w:name w:val="Char Char Char1 Char Char Char Char Char Char Char Char Char Char"/>
    <w:basedOn w:val="1"/>
    <w:qFormat/>
    <w:uiPriority w:val="0"/>
    <w:rPr>
      <w:rFonts w:ascii="宋体" w:hAnsi="宋体" w:cs="宋体"/>
      <w:szCs w:val="26"/>
    </w:rPr>
  </w:style>
  <w:style w:type="paragraph" w:customStyle="1" w:styleId="1051">
    <w:name w:val="样式8"/>
    <w:basedOn w:val="1052"/>
    <w:link w:val="1053"/>
    <w:qFormat/>
    <w:uiPriority w:val="0"/>
    <w:pPr>
      <w:tabs>
        <w:tab w:val="left" w:pos="0"/>
        <w:tab w:val="left" w:pos="432"/>
      </w:tabs>
      <w:autoSpaceDE w:val="0"/>
      <w:autoSpaceDN w:val="0"/>
      <w:spacing w:line="348" w:lineRule="auto"/>
    </w:pPr>
    <w:rPr>
      <w:rFonts w:ascii="AdobeSongStd-Light" w:eastAsia="Times New Roman"/>
      <w:b w:val="0"/>
      <w:bCs w:val="0"/>
      <w:kern w:val="0"/>
      <w:sz w:val="21"/>
      <w:szCs w:val="18"/>
    </w:rPr>
  </w:style>
  <w:style w:type="paragraph" w:customStyle="1" w:styleId="1052">
    <w:name w:val="标题 11"/>
    <w:basedOn w:val="1"/>
    <w:next w:val="1"/>
    <w:qFormat/>
    <w:uiPriority w:val="0"/>
    <w:pPr>
      <w:keepNext/>
      <w:keepLines/>
      <w:tabs>
        <w:tab w:val="left" w:pos="0"/>
        <w:tab w:val="left" w:pos="432"/>
      </w:tabs>
      <w:spacing w:before="240" w:after="240"/>
      <w:jc w:val="center"/>
      <w:outlineLvl w:val="0"/>
    </w:pPr>
    <w:rPr>
      <w:b/>
      <w:bCs/>
      <w:kern w:val="44"/>
      <w:sz w:val="36"/>
      <w:szCs w:val="44"/>
    </w:rPr>
  </w:style>
  <w:style w:type="character" w:customStyle="1" w:styleId="1053">
    <w:name w:val="样式8 Char Char"/>
    <w:link w:val="1051"/>
    <w:qFormat/>
    <w:uiPriority w:val="0"/>
    <w:rPr>
      <w:rFonts w:ascii="AdobeSongStd-Light" w:eastAsia="Times New Roman" w:cs="AdobeSongStd-Light"/>
      <w:sz w:val="21"/>
      <w:szCs w:val="18"/>
    </w:rPr>
  </w:style>
  <w:style w:type="paragraph" w:customStyle="1" w:styleId="1054">
    <w:name w:val="样式9"/>
    <w:basedOn w:val="1"/>
    <w:link w:val="1055"/>
    <w:qFormat/>
    <w:uiPriority w:val="0"/>
    <w:pPr>
      <w:autoSpaceDE w:val="0"/>
      <w:autoSpaceDN w:val="0"/>
      <w:spacing w:line="348" w:lineRule="auto"/>
    </w:pPr>
    <w:rPr>
      <w:kern w:val="0"/>
      <w:sz w:val="21"/>
      <w:szCs w:val="18"/>
    </w:rPr>
  </w:style>
  <w:style w:type="character" w:customStyle="1" w:styleId="1055">
    <w:name w:val="样式9 Char Char"/>
    <w:link w:val="1054"/>
    <w:qFormat/>
    <w:uiPriority w:val="0"/>
    <w:rPr>
      <w:rFonts w:cs="AdobeSongStd-Light"/>
      <w:sz w:val="21"/>
      <w:szCs w:val="18"/>
    </w:rPr>
  </w:style>
  <w:style w:type="paragraph" w:customStyle="1" w:styleId="1056">
    <w:name w:val="样式10"/>
    <w:basedOn w:val="1"/>
    <w:link w:val="1057"/>
    <w:qFormat/>
    <w:uiPriority w:val="0"/>
    <w:pPr>
      <w:spacing w:line="348" w:lineRule="auto"/>
      <w:ind w:firstLine="560"/>
      <w:textAlignment w:val="baseline"/>
    </w:pPr>
    <w:rPr>
      <w:snapToGrid w:val="0"/>
      <w:kern w:val="0"/>
      <w:sz w:val="21"/>
      <w:szCs w:val="20"/>
    </w:rPr>
  </w:style>
  <w:style w:type="character" w:customStyle="1" w:styleId="1057">
    <w:name w:val="样式10 Char Char"/>
    <w:link w:val="1056"/>
    <w:qFormat/>
    <w:uiPriority w:val="0"/>
    <w:rPr>
      <w:snapToGrid w:val="0"/>
      <w:sz w:val="21"/>
    </w:rPr>
  </w:style>
  <w:style w:type="paragraph" w:customStyle="1" w:styleId="1058">
    <w:name w:val="Body Text First Indent2"/>
    <w:basedOn w:val="31"/>
    <w:qFormat/>
    <w:uiPriority w:val="0"/>
    <w:pPr>
      <w:spacing w:after="0" w:line="312" w:lineRule="auto"/>
      <w:ind w:firstLine="567"/>
      <w:textAlignment w:val="baseline"/>
    </w:pPr>
    <w:rPr>
      <w:rFonts w:eastAsia="Wingdings"/>
      <w:sz w:val="28"/>
      <w:lang w:val="zh-CN"/>
    </w:rPr>
  </w:style>
  <w:style w:type="paragraph" w:customStyle="1" w:styleId="1059">
    <w:name w:val="Body Text First Indent1"/>
    <w:basedOn w:val="31"/>
    <w:qFormat/>
    <w:uiPriority w:val="0"/>
    <w:pPr>
      <w:spacing w:after="0" w:line="480" w:lineRule="exact"/>
      <w:ind w:firstLine="567"/>
      <w:textAlignment w:val="baseline"/>
    </w:pPr>
    <w:rPr>
      <w:rFonts w:eastAsia="Wingdings"/>
      <w:sz w:val="28"/>
      <w:lang w:val="zh-CN"/>
    </w:rPr>
  </w:style>
  <w:style w:type="paragraph" w:customStyle="1" w:styleId="1060">
    <w:name w:val="正文文本缩进 21"/>
    <w:basedOn w:val="1"/>
    <w:qFormat/>
    <w:uiPriority w:val="0"/>
    <w:pPr>
      <w:spacing w:line="348" w:lineRule="auto"/>
      <w:ind w:firstLine="573"/>
      <w:textAlignment w:val="baseline"/>
    </w:pPr>
    <w:rPr>
      <w:rFonts w:eastAsia="Wingdings"/>
      <w:sz w:val="28"/>
      <w:szCs w:val="20"/>
    </w:rPr>
  </w:style>
  <w:style w:type="paragraph" w:customStyle="1" w:styleId="1061">
    <w:name w:val="标题样式"/>
    <w:basedOn w:val="955"/>
    <w:qFormat/>
    <w:uiPriority w:val="0"/>
    <w:pPr>
      <w:snapToGrid/>
      <w:spacing w:line="288" w:lineRule="auto"/>
      <w:jc w:val="left"/>
    </w:pPr>
    <w:rPr>
      <w:rFonts w:eastAsia="Wingdings"/>
      <w:snapToGrid/>
      <w:spacing w:val="10"/>
      <w:sz w:val="28"/>
    </w:rPr>
  </w:style>
  <w:style w:type="paragraph" w:customStyle="1" w:styleId="1062">
    <w:name w:val="文档结构图1"/>
    <w:basedOn w:val="1"/>
    <w:qFormat/>
    <w:uiPriority w:val="0"/>
    <w:pPr>
      <w:shd w:val="clear" w:color="auto" w:fill="000080"/>
      <w:spacing w:line="360" w:lineRule="atLeast"/>
      <w:textAlignment w:val="baseline"/>
    </w:pPr>
    <w:rPr>
      <w:rFonts w:eastAsia="Wingdings"/>
      <w:kern w:val="0"/>
      <w:szCs w:val="20"/>
    </w:rPr>
  </w:style>
  <w:style w:type="paragraph" w:customStyle="1" w:styleId="1063">
    <w:name w:val="样式 正文文本1 + 首行缩进:  2 字符2"/>
    <w:basedOn w:val="1"/>
    <w:qFormat/>
    <w:uiPriority w:val="0"/>
    <w:pPr>
      <w:spacing w:line="348" w:lineRule="auto"/>
    </w:pPr>
    <w:rPr>
      <w:sz w:val="28"/>
      <w:szCs w:val="20"/>
    </w:rPr>
  </w:style>
  <w:style w:type="paragraph" w:customStyle="1" w:styleId="1064">
    <w:name w:val="正文 楷体_GB2312 四号 行距: 固定值 30 磅"/>
    <w:basedOn w:val="1"/>
    <w:qFormat/>
    <w:uiPriority w:val="0"/>
    <w:pPr>
      <w:spacing w:line="400" w:lineRule="exact"/>
      <w:jc w:val="center"/>
    </w:pPr>
    <w:rPr>
      <w:rFonts w:ascii="Arial" w:hAnsi="Arial" w:cs="Arial"/>
      <w:sz w:val="21"/>
    </w:rPr>
  </w:style>
  <w:style w:type="character" w:customStyle="1" w:styleId="1065">
    <w:name w:val="正文文本1 Char"/>
    <w:qFormat/>
    <w:uiPriority w:val="0"/>
    <w:rPr>
      <w:rFonts w:ascii="宋体" w:hAnsi="华文宋体" w:eastAsia="宋体" w:cs="宋体"/>
      <w:w w:val="80"/>
      <w:kern w:val="2"/>
      <w:sz w:val="28"/>
      <w:lang w:val="en-US" w:eastAsia="zh-CN" w:bidi="ar-SA"/>
    </w:rPr>
  </w:style>
  <w:style w:type="character" w:customStyle="1" w:styleId="1066">
    <w:name w:val="da"/>
    <w:qFormat/>
    <w:uiPriority w:val="0"/>
  </w:style>
  <w:style w:type="paragraph" w:customStyle="1" w:styleId="1067">
    <w:name w:val="Char Char Char Char Char Char1 Char"/>
    <w:basedOn w:val="1"/>
    <w:link w:val="1068"/>
    <w:qFormat/>
    <w:uiPriority w:val="0"/>
    <w:pPr>
      <w:spacing w:line="240" w:lineRule="auto"/>
    </w:pPr>
    <w:rPr>
      <w:sz w:val="21"/>
      <w:szCs w:val="24"/>
      <w:lang w:val="zh-CN"/>
    </w:rPr>
  </w:style>
  <w:style w:type="character" w:customStyle="1" w:styleId="1068">
    <w:name w:val="Char Char Char Char Char Char1 Char Char"/>
    <w:link w:val="1067"/>
    <w:qFormat/>
    <w:uiPriority w:val="0"/>
    <w:rPr>
      <w:kern w:val="2"/>
      <w:sz w:val="21"/>
      <w:szCs w:val="24"/>
      <w:lang w:val="zh-CN"/>
    </w:rPr>
  </w:style>
  <w:style w:type="paragraph" w:customStyle="1" w:styleId="1069">
    <w:name w:val="样式 正文文字 + 首行缩进:  2 字符"/>
    <w:basedOn w:val="1"/>
    <w:qFormat/>
    <w:uiPriority w:val="0"/>
    <w:pPr>
      <w:spacing w:before="20" w:line="348" w:lineRule="auto"/>
    </w:pPr>
    <w:rPr>
      <w:snapToGrid w:val="0"/>
      <w:color w:val="000000"/>
      <w:kern w:val="0"/>
      <w:sz w:val="28"/>
      <w:szCs w:val="20"/>
    </w:rPr>
  </w:style>
  <w:style w:type="paragraph" w:customStyle="1" w:styleId="1070">
    <w:name w:val="样式 正文首行缩进 + 段后: 0 磅"/>
    <w:qFormat/>
    <w:uiPriority w:val="0"/>
    <w:pPr>
      <w:adjustRightInd w:val="0"/>
      <w:snapToGrid w:val="0"/>
      <w:spacing w:line="348" w:lineRule="auto"/>
      <w:ind w:firstLine="200" w:firstLineChars="200"/>
      <w:textAlignment w:val="baseline"/>
    </w:pPr>
    <w:rPr>
      <w:rFonts w:ascii="Calibri" w:hAnsi="Calibri" w:eastAsia="宋体" w:cs="宋体"/>
      <w:snapToGrid w:val="0"/>
      <w:color w:val="000000"/>
      <w:sz w:val="28"/>
      <w:lang w:val="zh-CN" w:eastAsia="zh-CN" w:bidi="ar-SA"/>
    </w:rPr>
  </w:style>
  <w:style w:type="paragraph" w:customStyle="1" w:styleId="1071">
    <w:name w:val="样式 样式 正文文字 + 首行缩进:  2 字符 + 首行缩进:  2 字符"/>
    <w:basedOn w:val="1069"/>
    <w:qFormat/>
    <w:uiPriority w:val="0"/>
    <w:pPr>
      <w:spacing w:before="0"/>
    </w:pPr>
    <w:rPr>
      <w:rFonts w:cs="宋体"/>
      <w:szCs w:val="28"/>
    </w:rPr>
  </w:style>
  <w:style w:type="paragraph" w:customStyle="1" w:styleId="1072">
    <w:name w:val="正文缩进（首行缩进两字）"/>
    <w:basedOn w:val="1"/>
    <w:qFormat/>
    <w:uiPriority w:val="0"/>
    <w:pPr>
      <w:spacing w:line="348" w:lineRule="auto"/>
      <w:ind w:firstLine="560"/>
      <w:textAlignment w:val="baseline"/>
    </w:pPr>
    <w:rPr>
      <w:rFonts w:cs="宋体"/>
      <w:snapToGrid w:val="0"/>
      <w:color w:val="000000"/>
      <w:kern w:val="16"/>
      <w:sz w:val="28"/>
      <w:szCs w:val="20"/>
    </w:rPr>
  </w:style>
  <w:style w:type="paragraph" w:customStyle="1" w:styleId="1073">
    <w:name w:val="样式 正文缩进正文（首行缩进两字）."/>
    <w:basedOn w:val="13"/>
    <w:qFormat/>
    <w:uiPriority w:val="0"/>
    <w:pPr>
      <w:spacing w:line="348" w:lineRule="auto"/>
      <w:ind w:firstLine="200" w:firstLineChars="200"/>
      <w:textAlignment w:val="baseline"/>
    </w:pPr>
    <w:rPr>
      <w:rFonts w:ascii="Calibri" w:hAnsi="Calibri" w:cs="宋体"/>
      <w:snapToGrid w:val="0"/>
      <w:kern w:val="0"/>
      <w:sz w:val="28"/>
      <w:szCs w:val="28"/>
    </w:rPr>
  </w:style>
  <w:style w:type="paragraph" w:customStyle="1" w:styleId="1074">
    <w:name w:val="样式 正文文字 + 宋体"/>
    <w:basedOn w:val="447"/>
    <w:qFormat/>
    <w:uiPriority w:val="0"/>
    <w:pPr>
      <w:spacing w:beforeLines="0" w:line="348" w:lineRule="auto"/>
      <w:ind w:firstLine="200" w:firstLineChars="200"/>
    </w:pPr>
    <w:rPr>
      <w:rFonts w:ascii="Times New Roman" w:hAnsi="Times New Roman" w:eastAsia="宋体" w:cs="Times New Roman"/>
      <w:bCs w:val="0"/>
      <w:snapToGrid w:val="0"/>
      <w:color w:val="000000"/>
      <w:sz w:val="28"/>
      <w:szCs w:val="28"/>
      <w:lang w:val="en-US"/>
    </w:rPr>
  </w:style>
  <w:style w:type="paragraph" w:customStyle="1" w:styleId="1075">
    <w:name w:val="样式 正文文字 + 宋体 首行缩进:  2 字符"/>
    <w:basedOn w:val="447"/>
    <w:qFormat/>
    <w:uiPriority w:val="0"/>
    <w:pPr>
      <w:spacing w:beforeLines="0" w:line="348" w:lineRule="auto"/>
      <w:ind w:firstLine="560" w:firstLineChars="200"/>
    </w:pPr>
    <w:rPr>
      <w:rFonts w:ascii="Times New Roman" w:hAnsi="Times New Roman" w:eastAsia="宋体" w:cs="宋体"/>
      <w:bCs w:val="0"/>
      <w:snapToGrid w:val="0"/>
      <w:color w:val="000000"/>
      <w:sz w:val="28"/>
      <w:szCs w:val="28"/>
      <w:lang w:val="en-US"/>
    </w:rPr>
  </w:style>
  <w:style w:type="paragraph" w:customStyle="1" w:styleId="1076">
    <w:name w:val="样式 正文首行缩进 + 首行缩进:  0.99 厘米"/>
    <w:qFormat/>
    <w:uiPriority w:val="0"/>
    <w:pPr>
      <w:adjustRightInd w:val="0"/>
      <w:snapToGrid w:val="0"/>
      <w:spacing w:line="348" w:lineRule="auto"/>
      <w:ind w:firstLine="200" w:firstLineChars="200"/>
      <w:textAlignment w:val="baseline"/>
    </w:pPr>
    <w:rPr>
      <w:rFonts w:ascii="Calibri" w:hAnsi="Calibri" w:eastAsia="宋体" w:cs="宋体"/>
      <w:snapToGrid w:val="0"/>
      <w:color w:val="000000"/>
      <w:sz w:val="28"/>
      <w:szCs w:val="28"/>
      <w:lang w:val="zh-CN" w:eastAsia="zh-CN" w:bidi="ar-SA"/>
    </w:rPr>
  </w:style>
  <w:style w:type="paragraph" w:customStyle="1" w:styleId="1077">
    <w:name w:val="样式 标题 3"/>
    <w:basedOn w:val="8"/>
    <w:link w:val="1078"/>
    <w:qFormat/>
    <w:uiPriority w:val="0"/>
    <w:pPr>
      <w:spacing w:beforeLines="0" w:afterLines="0" w:line="348" w:lineRule="auto"/>
      <w:textAlignment w:val="baseline"/>
    </w:pPr>
    <w:rPr>
      <w:b w:val="0"/>
      <w:bCs w:val="0"/>
      <w:snapToGrid w:val="0"/>
      <w:kern w:val="0"/>
      <w:szCs w:val="28"/>
      <w:lang w:val="zh-CN"/>
    </w:rPr>
  </w:style>
  <w:style w:type="character" w:customStyle="1" w:styleId="1078">
    <w:name w:val="样式 标题 3 Char"/>
    <w:link w:val="1077"/>
    <w:qFormat/>
    <w:uiPriority w:val="0"/>
    <w:rPr>
      <w:snapToGrid w:val="0"/>
      <w:sz w:val="28"/>
      <w:szCs w:val="28"/>
      <w:lang w:val="zh-CN"/>
    </w:rPr>
  </w:style>
  <w:style w:type="paragraph" w:customStyle="1" w:styleId="1079">
    <w:name w:val="初设段落"/>
    <w:basedOn w:val="1"/>
    <w:qFormat/>
    <w:uiPriority w:val="0"/>
    <w:pPr>
      <w:spacing w:line="348" w:lineRule="auto"/>
    </w:pPr>
    <w:rPr>
      <w:snapToGrid w:val="0"/>
      <w:sz w:val="28"/>
      <w:szCs w:val="24"/>
    </w:rPr>
  </w:style>
  <w:style w:type="paragraph" w:customStyle="1" w:styleId="1080">
    <w:name w:val="样式 正文缩进 + 首行缩进:  2 字符"/>
    <w:basedOn w:val="13"/>
    <w:qFormat/>
    <w:uiPriority w:val="0"/>
    <w:pPr>
      <w:spacing w:line="348" w:lineRule="auto"/>
      <w:ind w:firstLine="200" w:firstLineChars="200"/>
      <w:textAlignment w:val="baseline"/>
    </w:pPr>
    <w:rPr>
      <w:rFonts w:ascii="Calibri" w:hAnsi="Calibri"/>
      <w:snapToGrid w:val="0"/>
      <w:kern w:val="0"/>
      <w:sz w:val="28"/>
    </w:rPr>
  </w:style>
  <w:style w:type="paragraph" w:customStyle="1" w:styleId="1081">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1082">
    <w:name w:val="纯文本2 Char"/>
    <w:qFormat/>
    <w:uiPriority w:val="0"/>
    <w:rPr>
      <w:rFonts w:ascii="宋体" w:hAnsi="Courier New" w:eastAsia="宋体" w:cs="Courier New"/>
      <w:kern w:val="2"/>
      <w:sz w:val="21"/>
      <w:szCs w:val="21"/>
      <w:lang w:val="en-US" w:eastAsia="zh-CN" w:bidi="ar-SA"/>
    </w:rPr>
  </w:style>
  <w:style w:type="paragraph" w:customStyle="1" w:styleId="1083">
    <w:name w:val="小标题a)"/>
    <w:basedOn w:val="1"/>
    <w:qFormat/>
    <w:uiPriority w:val="0"/>
    <w:pPr>
      <w:overflowPunct w:val="0"/>
      <w:topLinePunct/>
      <w:spacing w:line="348" w:lineRule="auto"/>
    </w:pPr>
    <w:rPr>
      <w:kern w:val="0"/>
      <w:sz w:val="28"/>
      <w:szCs w:val="20"/>
    </w:rPr>
  </w:style>
  <w:style w:type="paragraph" w:customStyle="1" w:styleId="1084">
    <w:name w:val="样式 四号 行距: 多倍行距 1.45 字行1"/>
    <w:basedOn w:val="1"/>
    <w:qFormat/>
    <w:uiPriority w:val="0"/>
    <w:pPr>
      <w:spacing w:line="348" w:lineRule="auto"/>
    </w:pPr>
    <w:rPr>
      <w:rFonts w:cs="宋体"/>
      <w:sz w:val="28"/>
      <w:szCs w:val="20"/>
    </w:rPr>
  </w:style>
  <w:style w:type="paragraph" w:customStyle="1" w:styleId="1085">
    <w:name w:val="样式 四号 行距: 多倍行距 1.45 字行"/>
    <w:basedOn w:val="1"/>
    <w:qFormat/>
    <w:uiPriority w:val="0"/>
    <w:pPr>
      <w:spacing w:line="348" w:lineRule="auto"/>
    </w:pPr>
    <w:rPr>
      <w:rFonts w:cs="宋体"/>
      <w:sz w:val="28"/>
      <w:szCs w:val="20"/>
    </w:rPr>
  </w:style>
  <w:style w:type="paragraph" w:customStyle="1" w:styleId="1086">
    <w:name w:val="样式12"/>
    <w:basedOn w:val="1085"/>
    <w:link w:val="1087"/>
    <w:qFormat/>
    <w:uiPriority w:val="0"/>
    <w:rPr>
      <w:rFonts w:cs="Times New Roman"/>
    </w:rPr>
  </w:style>
  <w:style w:type="character" w:customStyle="1" w:styleId="1087">
    <w:name w:val="样式12 Char Char"/>
    <w:link w:val="1086"/>
    <w:qFormat/>
    <w:uiPriority w:val="0"/>
    <w:rPr>
      <w:rFonts w:cs="宋体"/>
      <w:kern w:val="2"/>
      <w:sz w:val="28"/>
    </w:rPr>
  </w:style>
  <w:style w:type="table" w:customStyle="1" w:styleId="1088">
    <w:name w:val="表格样式"/>
    <w:basedOn w:val="73"/>
    <w:qFormat/>
    <w:uiPriority w:val="0"/>
    <w:pPr>
      <w:snapToGrid w:val="0"/>
      <w:jc w:val="center"/>
      <w:textAlignment w:val="center"/>
    </w:pPr>
    <w:rPr>
      <w:rFonts w:eastAsia="仿宋_GB2312"/>
      <w:snapToGrid w:val="0"/>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tcMar>
        <w:top w:w="28" w:type="dxa"/>
        <w:bottom w:w="28" w:type="dxa"/>
      </w:tcMar>
      <w:vAlign w:val="center"/>
    </w:tcPr>
  </w:style>
  <w:style w:type="paragraph" w:customStyle="1" w:styleId="1089">
    <w:name w:val="正文首行缩进 2 + Times New Roman"/>
    <w:basedOn w:val="1"/>
    <w:link w:val="1090"/>
    <w:qFormat/>
    <w:uiPriority w:val="0"/>
    <w:pPr>
      <w:tabs>
        <w:tab w:val="left" w:pos="0"/>
        <w:tab w:val="left" w:pos="870"/>
        <w:tab w:val="left" w:pos="3150"/>
      </w:tabs>
      <w:spacing w:line="240" w:lineRule="auto"/>
      <w:ind w:firstLine="315" w:firstLineChars="150"/>
    </w:pPr>
    <w:rPr>
      <w:rFonts w:ascii="宋体" w:hAnsi="宋体"/>
      <w:kern w:val="0"/>
      <w:sz w:val="21"/>
      <w:lang w:val="zh-CN"/>
    </w:rPr>
  </w:style>
  <w:style w:type="character" w:customStyle="1" w:styleId="1090">
    <w:name w:val="正文首行缩进 2 + Times New Roman Char"/>
    <w:link w:val="1089"/>
    <w:qFormat/>
    <w:uiPriority w:val="0"/>
    <w:rPr>
      <w:rFonts w:ascii="宋体" w:hAnsi="宋体"/>
      <w:sz w:val="21"/>
      <w:szCs w:val="21"/>
      <w:lang w:val="zh-CN"/>
    </w:rPr>
  </w:style>
  <w:style w:type="paragraph" w:customStyle="1" w:styleId="1091">
    <w:name w:val="haha"/>
    <w:link w:val="1092"/>
    <w:qFormat/>
    <w:uiPriority w:val="0"/>
    <w:pPr>
      <w:spacing w:line="360" w:lineRule="auto"/>
      <w:ind w:firstLine="480" w:firstLineChars="200"/>
    </w:pPr>
    <w:rPr>
      <w:rFonts w:ascii="Calibri" w:hAnsi="Calibri" w:eastAsia="仿宋_GB2312" w:cs="Times New Roman"/>
      <w:color w:val="000000"/>
      <w:kern w:val="2"/>
      <w:sz w:val="24"/>
      <w:szCs w:val="22"/>
      <w:lang w:val="zh-CN" w:eastAsia="zh-CN" w:bidi="ar-SA"/>
    </w:rPr>
  </w:style>
  <w:style w:type="character" w:customStyle="1" w:styleId="1092">
    <w:name w:val="haha Char"/>
    <w:link w:val="1091"/>
    <w:qFormat/>
    <w:uiPriority w:val="0"/>
    <w:rPr>
      <w:rFonts w:ascii="Calibri" w:hAnsi="Calibri" w:eastAsia="仿宋_GB2312"/>
      <w:color w:val="000000"/>
      <w:kern w:val="2"/>
      <w:sz w:val="24"/>
      <w:szCs w:val="22"/>
      <w:lang w:val="zh-CN" w:bidi="ar-SA"/>
    </w:rPr>
  </w:style>
  <w:style w:type="paragraph" w:customStyle="1" w:styleId="1093">
    <w:name w:val="new"/>
    <w:basedOn w:val="1"/>
    <w:qFormat/>
    <w:uiPriority w:val="0"/>
    <w:pPr>
      <w:ind w:firstLine="480"/>
    </w:pPr>
    <w:rPr>
      <w:rFonts w:eastAsia="仿宋_GB2312"/>
      <w:szCs w:val="24"/>
    </w:rPr>
  </w:style>
  <w:style w:type="paragraph" w:customStyle="1" w:styleId="1094">
    <w:name w:val="湛江钢铁表"/>
    <w:basedOn w:val="12"/>
    <w:link w:val="1095"/>
    <w:qFormat/>
    <w:uiPriority w:val="0"/>
    <w:pPr>
      <w:spacing w:beforeLines="20" w:afterLines="20" w:line="348" w:lineRule="auto"/>
      <w:textAlignment w:val="baseline"/>
    </w:pPr>
    <w:rPr>
      <w:rFonts w:ascii="Calibri" w:hAnsi="Calibri" w:eastAsia="仿宋_GB2312"/>
      <w:snapToGrid w:val="0"/>
      <w:kern w:val="0"/>
      <w:sz w:val="21"/>
      <w:szCs w:val="21"/>
      <w:lang w:val="zh-CN"/>
    </w:rPr>
  </w:style>
  <w:style w:type="character" w:customStyle="1" w:styleId="1095">
    <w:name w:val="湛江钢铁表 Char"/>
    <w:link w:val="1094"/>
    <w:qFormat/>
    <w:uiPriority w:val="0"/>
    <w:rPr>
      <w:rFonts w:ascii="Calibri" w:hAnsi="Calibri" w:eastAsia="仿宋_GB2312" w:cs="Times New Roman"/>
      <w:snapToGrid w:val="0"/>
      <w:sz w:val="21"/>
      <w:szCs w:val="21"/>
      <w:lang w:val="zh-CN"/>
    </w:rPr>
  </w:style>
  <w:style w:type="character" w:customStyle="1" w:styleId="1096">
    <w:name w:val="标题 3 Char Char Char Char Char Char Char Char Char Char Char Char Char Char Char Char"/>
    <w:qFormat/>
    <w:uiPriority w:val="0"/>
    <w:rPr>
      <w:rFonts w:ascii="Times New Roman" w:hAnsi="Times New Roman" w:eastAsia="仿宋_GB2312"/>
      <w:sz w:val="24"/>
      <w:szCs w:val="32"/>
    </w:rPr>
  </w:style>
  <w:style w:type="paragraph" w:customStyle="1" w:styleId="1097">
    <w:name w:val="样式 湛江钢铁正文 +"/>
    <w:basedOn w:val="1"/>
    <w:qFormat/>
    <w:uiPriority w:val="0"/>
    <w:pPr>
      <w:spacing w:afterLines="25"/>
      <w:ind w:firstLine="480"/>
      <w:textAlignment w:val="baseline"/>
    </w:pPr>
    <w:rPr>
      <w:rFonts w:eastAsia="仿宋_GB2312"/>
      <w:color w:val="000000"/>
      <w:kern w:val="0"/>
      <w:szCs w:val="24"/>
    </w:rPr>
  </w:style>
  <w:style w:type="paragraph" w:customStyle="1" w:styleId="1098">
    <w:name w:val="样式 湛江钢铁表 +"/>
    <w:basedOn w:val="1094"/>
    <w:next w:val="1094"/>
    <w:link w:val="1099"/>
    <w:qFormat/>
    <w:uiPriority w:val="0"/>
    <w:pPr>
      <w:spacing w:before="20" w:after="20"/>
    </w:pPr>
    <w:rPr>
      <w:kern w:val="2"/>
    </w:rPr>
  </w:style>
  <w:style w:type="character" w:customStyle="1" w:styleId="1099">
    <w:name w:val="样式 湛江钢铁表 + Char"/>
    <w:link w:val="1098"/>
    <w:qFormat/>
    <w:uiPriority w:val="0"/>
    <w:rPr>
      <w:rFonts w:ascii="Calibri" w:hAnsi="Calibri" w:eastAsia="仿宋_GB2312" w:cs="Times New Roman"/>
      <w:snapToGrid w:val="0"/>
      <w:kern w:val="2"/>
      <w:sz w:val="21"/>
      <w:szCs w:val="21"/>
      <w:lang w:val="zh-CN"/>
    </w:rPr>
  </w:style>
  <w:style w:type="paragraph" w:customStyle="1" w:styleId="1100">
    <w:name w:val="大表内容"/>
    <w:qFormat/>
    <w:uiPriority w:val="0"/>
    <w:pPr>
      <w:snapToGrid w:val="0"/>
      <w:spacing w:line="360" w:lineRule="auto"/>
      <w:jc w:val="center"/>
    </w:pPr>
    <w:rPr>
      <w:rFonts w:ascii="Times New Roman" w:hAnsi="Times New Roman" w:eastAsia="宋体" w:cs="Times New Roman"/>
      <w:sz w:val="21"/>
      <w:lang w:val="en-US" w:eastAsia="zh-CN" w:bidi="ar-SA"/>
    </w:rPr>
  </w:style>
  <w:style w:type="paragraph" w:customStyle="1" w:styleId="1101">
    <w:name w:val="佛表"/>
    <w:basedOn w:val="55"/>
    <w:qFormat/>
    <w:uiPriority w:val="0"/>
    <w:pPr>
      <w:spacing w:line="348" w:lineRule="auto"/>
      <w:textAlignment w:val="auto"/>
    </w:pPr>
    <w:rPr>
      <w:rFonts w:ascii="Times New Roman" w:hAnsi="Times New Roman"/>
      <w:color w:val="000000"/>
      <w:sz w:val="28"/>
      <w:szCs w:val="24"/>
    </w:rPr>
  </w:style>
  <w:style w:type="paragraph" w:customStyle="1" w:styleId="1102">
    <w:name w:val="湛江钢铁正文"/>
    <w:basedOn w:val="1"/>
    <w:qFormat/>
    <w:uiPriority w:val="0"/>
    <w:pPr>
      <w:ind w:firstLine="420"/>
      <w:textAlignment w:val="baseline"/>
    </w:pPr>
    <w:rPr>
      <w:rFonts w:eastAsia="仿宋_GB2312"/>
      <w:color w:val="000000"/>
      <w:kern w:val="0"/>
      <w:sz w:val="28"/>
    </w:rPr>
  </w:style>
  <w:style w:type="paragraph" w:customStyle="1" w:styleId="1103">
    <w:name w:val="样式 湛江钢铁表 + 段前: 0.2 行 段后: 0.2 行"/>
    <w:basedOn w:val="1094"/>
    <w:qFormat/>
    <w:uiPriority w:val="0"/>
    <w:rPr>
      <w:rFonts w:cs="宋体"/>
      <w:kern w:val="2"/>
    </w:rPr>
  </w:style>
  <w:style w:type="character" w:customStyle="1" w:styleId="1104">
    <w:name w:val="wenzi"/>
    <w:qFormat/>
    <w:uiPriority w:val="0"/>
  </w:style>
  <w:style w:type="paragraph" w:customStyle="1" w:styleId="1105">
    <w:name w:val="湛江沥青表"/>
    <w:basedOn w:val="1"/>
    <w:qFormat/>
    <w:uiPriority w:val="0"/>
    <w:pPr>
      <w:framePr w:hSpace="180" w:wrap="around" w:vAnchor="text" w:hAnchor="margin" w:y="524"/>
      <w:autoSpaceDE w:val="0"/>
      <w:autoSpaceDN w:val="0"/>
      <w:spacing w:before="100" w:line="0" w:lineRule="atLeast"/>
      <w:ind w:left="102" w:hanging="102"/>
      <w:jc w:val="center"/>
    </w:pPr>
    <w:rPr>
      <w:bCs/>
      <w:sz w:val="28"/>
    </w:rPr>
  </w:style>
  <w:style w:type="paragraph" w:customStyle="1" w:styleId="1106">
    <w:name w:val="湛江钢铁表标题"/>
    <w:basedOn w:val="1"/>
    <w:qFormat/>
    <w:uiPriority w:val="0"/>
    <w:pPr>
      <w:ind w:firstLine="480"/>
      <w:jc w:val="center"/>
    </w:pPr>
    <w:rPr>
      <w:rFonts w:eastAsia="仿宋_GB2312"/>
      <w:color w:val="000000"/>
      <w:kern w:val="0"/>
      <w:szCs w:val="24"/>
    </w:rPr>
  </w:style>
  <w:style w:type="paragraph" w:customStyle="1" w:styleId="1107">
    <w:name w:val="图标题"/>
    <w:basedOn w:val="1"/>
    <w:next w:val="1"/>
    <w:qFormat/>
    <w:uiPriority w:val="0"/>
    <w:pPr>
      <w:autoSpaceDE w:val="0"/>
      <w:autoSpaceDN w:val="0"/>
      <w:spacing w:before="60" w:after="120" w:line="400" w:lineRule="atLeast"/>
      <w:jc w:val="center"/>
      <w:textAlignment w:val="baseline"/>
    </w:pPr>
    <w:rPr>
      <w:rFonts w:eastAsia="仿宋_GB2312"/>
      <w:b/>
      <w:spacing w:val="2"/>
      <w:kern w:val="0"/>
      <w:szCs w:val="20"/>
    </w:rPr>
  </w:style>
  <w:style w:type="paragraph" w:customStyle="1" w:styleId="1108">
    <w:name w:val="表头王"/>
    <w:basedOn w:val="1"/>
    <w:qFormat/>
    <w:uiPriority w:val="0"/>
    <w:pPr>
      <w:jc w:val="center"/>
    </w:pPr>
    <w:rPr>
      <w:rFonts w:ascii="黑体" w:eastAsia="黑体"/>
      <w:b/>
      <w:bCs/>
      <w:color w:val="000000"/>
      <w:szCs w:val="24"/>
    </w:rPr>
  </w:style>
  <w:style w:type="paragraph" w:customStyle="1" w:styleId="1109">
    <w:name w:val="表格文字独行"/>
    <w:next w:val="1"/>
    <w:qFormat/>
    <w:uiPriority w:val="0"/>
    <w:pPr>
      <w:spacing w:beforeLines="20" w:afterLines="20" w:line="264" w:lineRule="auto"/>
      <w:jc w:val="center"/>
    </w:pPr>
    <w:rPr>
      <w:rFonts w:ascii="Times New Roman" w:hAnsi="Times New Roman" w:eastAsia="仿宋_GB2312" w:cs="Times New Roman"/>
      <w:sz w:val="21"/>
      <w:szCs w:val="24"/>
      <w:lang w:val="en-US" w:eastAsia="zh-CN" w:bidi="ar-SA"/>
    </w:rPr>
  </w:style>
  <w:style w:type="character" w:customStyle="1" w:styleId="1110">
    <w:name w:val="样式 仿宋_GB2312 小四2"/>
    <w:qFormat/>
    <w:uiPriority w:val="0"/>
    <w:rPr>
      <w:rFonts w:ascii="Times New Roman" w:hAnsi="Times New Roman" w:eastAsia="仿宋_GB2312"/>
      <w:sz w:val="24"/>
      <w:szCs w:val="24"/>
    </w:rPr>
  </w:style>
  <w:style w:type="character" w:customStyle="1" w:styleId="1111">
    <w:name w:val="样式 仿宋_GB2312 小四 黑色"/>
    <w:qFormat/>
    <w:uiPriority w:val="0"/>
    <w:rPr>
      <w:rFonts w:ascii="Times New Roman" w:hAnsi="Times New Roman" w:eastAsia="仿宋_GB2312"/>
      <w:color w:val="000000"/>
      <w:sz w:val="24"/>
      <w:szCs w:val="24"/>
    </w:rPr>
  </w:style>
  <w:style w:type="paragraph" w:customStyle="1" w:styleId="1112">
    <w:name w:val="样式 (符号) 宋体"/>
    <w:basedOn w:val="1"/>
    <w:qFormat/>
    <w:uiPriority w:val="0"/>
    <w:pPr>
      <w:spacing w:line="348" w:lineRule="auto"/>
      <w:ind w:firstLine="560"/>
    </w:pPr>
    <w:rPr>
      <w:rFonts w:hAnsi="宋体" w:eastAsia="Times New Roman" w:cs="宋体"/>
      <w:sz w:val="28"/>
      <w:szCs w:val="20"/>
    </w:rPr>
  </w:style>
  <w:style w:type="paragraph" w:customStyle="1" w:styleId="1113">
    <w:name w:val="news"/>
    <w:basedOn w:val="1"/>
    <w:qFormat/>
    <w:uiPriority w:val="0"/>
    <w:pPr>
      <w:spacing w:before="100" w:beforeAutospacing="1" w:after="100" w:afterAutospacing="1" w:line="240" w:lineRule="auto"/>
    </w:pPr>
    <w:rPr>
      <w:rFonts w:hint="eastAsia" w:ascii="宋体" w:hAnsi="宋体"/>
      <w:kern w:val="0"/>
      <w:sz w:val="20"/>
      <w:szCs w:val="20"/>
    </w:rPr>
  </w:style>
  <w:style w:type="paragraph" w:customStyle="1" w:styleId="1114">
    <w:name w:val="表格文字左"/>
    <w:basedOn w:val="1"/>
    <w:qFormat/>
    <w:uiPriority w:val="0"/>
    <w:pPr>
      <w:spacing w:line="240" w:lineRule="auto"/>
      <w:textAlignment w:val="baseline"/>
    </w:pPr>
    <w:rPr>
      <w:rFonts w:ascii="Arial" w:hAnsi="Arial"/>
      <w:snapToGrid w:val="0"/>
      <w:spacing w:val="6"/>
      <w:kern w:val="0"/>
      <w:szCs w:val="26"/>
      <w:lang w:eastAsia="zh-TW"/>
    </w:rPr>
  </w:style>
  <w:style w:type="paragraph" w:customStyle="1" w:styleId="1115">
    <w:name w:val="水平衡"/>
    <w:basedOn w:val="39"/>
    <w:qFormat/>
    <w:uiPriority w:val="0"/>
    <w:pPr>
      <w:autoSpaceDE w:val="0"/>
      <w:autoSpaceDN w:val="0"/>
      <w:textAlignment w:val="baseline"/>
    </w:pPr>
    <w:rPr>
      <w:rFonts w:ascii="Arial" w:hAnsi="Arial" w:cs="Arial"/>
      <w:snapToGrid/>
      <w:spacing w:val="-10"/>
      <w:kern w:val="2"/>
      <w:sz w:val="21"/>
    </w:rPr>
  </w:style>
  <w:style w:type="paragraph" w:customStyle="1" w:styleId="1116">
    <w:name w:val="表格五号"/>
    <w:basedOn w:val="1"/>
    <w:qFormat/>
    <w:uiPriority w:val="0"/>
    <w:pPr>
      <w:autoSpaceDE w:val="0"/>
      <w:autoSpaceDN w:val="0"/>
      <w:spacing w:beforeLines="20" w:afterLines="20" w:line="240" w:lineRule="auto"/>
      <w:jc w:val="center"/>
    </w:pPr>
    <w:rPr>
      <w:rFonts w:ascii="Arial" w:hAnsi="Arial" w:cs="Arial"/>
      <w:bCs/>
      <w:kern w:val="0"/>
      <w:sz w:val="18"/>
      <w:lang w:val="zh-CN"/>
    </w:rPr>
  </w:style>
  <w:style w:type="paragraph" w:customStyle="1" w:styleId="1117">
    <w:name w:val="表格下五号"/>
    <w:basedOn w:val="1116"/>
    <w:qFormat/>
    <w:uiPriority w:val="0"/>
    <w:pPr>
      <w:spacing w:beforeLines="50" w:after="48"/>
      <w:ind w:firstLine="420" w:firstLineChars="200"/>
      <w:jc w:val="left"/>
    </w:pPr>
    <w:rPr>
      <w:bCs w:val="0"/>
      <w:sz w:val="21"/>
      <w:szCs w:val="20"/>
      <w:lang w:val="en-US"/>
    </w:rPr>
  </w:style>
  <w:style w:type="paragraph" w:customStyle="1" w:styleId="1118">
    <w:name w:val="表格下文字5号"/>
    <w:basedOn w:val="1"/>
    <w:qFormat/>
    <w:uiPriority w:val="0"/>
    <w:pPr>
      <w:spacing w:beforeLines="50" w:line="264" w:lineRule="auto"/>
      <w:ind w:left="938" w:leftChars="200" w:hanging="378" w:hangingChars="180"/>
      <w:textAlignment w:val="baseline"/>
    </w:pPr>
    <w:rPr>
      <w:rFonts w:ascii="Arial" w:hAnsi="Arial" w:cs="Arial"/>
      <w:kern w:val="0"/>
      <w:sz w:val="21"/>
      <w:szCs w:val="20"/>
    </w:rPr>
  </w:style>
  <w:style w:type="paragraph" w:customStyle="1" w:styleId="1119">
    <w:name w:val="正文图小五"/>
    <w:basedOn w:val="1"/>
    <w:qFormat/>
    <w:uiPriority w:val="0"/>
    <w:pPr>
      <w:spacing w:line="240" w:lineRule="atLeast"/>
      <w:jc w:val="center"/>
    </w:pPr>
    <w:rPr>
      <w:rFonts w:ascii="Arial" w:hAnsi="Arial" w:cs="Arial"/>
      <w:spacing w:val="6"/>
      <w:sz w:val="18"/>
      <w:szCs w:val="20"/>
    </w:rPr>
  </w:style>
  <w:style w:type="paragraph" w:customStyle="1" w:styleId="1120">
    <w:name w:val="表格文字小四"/>
    <w:basedOn w:val="1"/>
    <w:qFormat/>
    <w:uiPriority w:val="0"/>
    <w:pPr>
      <w:spacing w:beforeLines="20" w:afterLines="20" w:line="240" w:lineRule="auto"/>
      <w:jc w:val="center"/>
    </w:pPr>
    <w:rPr>
      <w:rFonts w:ascii="Arial" w:hAnsi="Arial" w:cs="Arial"/>
      <w:color w:val="000000"/>
      <w:kern w:val="0"/>
      <w:szCs w:val="24"/>
    </w:rPr>
  </w:style>
  <w:style w:type="paragraph" w:customStyle="1" w:styleId="1121">
    <w:name w:val="正文图废z"/>
    <w:basedOn w:val="958"/>
    <w:qFormat/>
    <w:uiPriority w:val="0"/>
    <w:pPr>
      <w:spacing w:before="0"/>
      <w:jc w:val="left"/>
    </w:pPr>
    <w:rPr>
      <w:rFonts w:ascii="Arial" w:hAnsi="Arial" w:cs="Arial"/>
      <w:sz w:val="21"/>
    </w:rPr>
  </w:style>
  <w:style w:type="paragraph" w:customStyle="1" w:styleId="1122">
    <w:name w:val="表格文字小五号"/>
    <w:basedOn w:val="1123"/>
    <w:qFormat/>
    <w:uiPriority w:val="0"/>
    <w:rPr>
      <w:rFonts w:ascii="宋体" w:hAnsi="宋体"/>
    </w:rPr>
  </w:style>
  <w:style w:type="paragraph" w:customStyle="1" w:styleId="1123">
    <w:name w:val="表格文字五号"/>
    <w:basedOn w:val="923"/>
    <w:qFormat/>
    <w:uiPriority w:val="0"/>
    <w:pPr>
      <w:widowControl w:val="0"/>
      <w:autoSpaceDE w:val="0"/>
      <w:autoSpaceDN w:val="0"/>
      <w:spacing w:beforeLines="20" w:afterLines="20"/>
      <w:jc w:val="left"/>
    </w:pPr>
    <w:rPr>
      <w:rFonts w:ascii="Arial" w:hAnsi="Arial" w:cs="Arial"/>
      <w:iCs w:val="0"/>
      <w:snapToGrid w:val="0"/>
      <w:color w:val="000000"/>
      <w:kern w:val="0"/>
      <w:szCs w:val="20"/>
    </w:rPr>
  </w:style>
  <w:style w:type="paragraph" w:customStyle="1" w:styleId="1124">
    <w:name w:val="表格文字1左"/>
    <w:basedOn w:val="923"/>
    <w:qFormat/>
    <w:uiPriority w:val="0"/>
    <w:pPr>
      <w:widowControl w:val="0"/>
      <w:autoSpaceDE w:val="0"/>
      <w:autoSpaceDN w:val="0"/>
      <w:spacing w:beforeLines="20" w:afterLines="20"/>
      <w:ind w:firstLine="470" w:firstLineChars="224"/>
      <w:jc w:val="left"/>
    </w:pPr>
    <w:rPr>
      <w:rFonts w:ascii="Arial" w:hAnsi="Arial" w:cs="Arial"/>
      <w:iCs w:val="0"/>
      <w:snapToGrid w:val="0"/>
      <w:color w:val="000000"/>
      <w:kern w:val="0"/>
      <w:szCs w:val="20"/>
    </w:rPr>
  </w:style>
  <w:style w:type="paragraph" w:customStyle="1" w:styleId="1125">
    <w:name w:val="正文图四"/>
    <w:basedOn w:val="958"/>
    <w:qFormat/>
    <w:uiPriority w:val="0"/>
    <w:pPr>
      <w:spacing w:beforeLines="20"/>
    </w:pPr>
    <w:rPr>
      <w:sz w:val="28"/>
    </w:rPr>
  </w:style>
  <w:style w:type="paragraph" w:customStyle="1" w:styleId="1126">
    <w:name w:val="表格文字小四宽"/>
    <w:basedOn w:val="1120"/>
    <w:qFormat/>
    <w:uiPriority w:val="0"/>
    <w:pPr>
      <w:spacing w:beforeLines="10" w:afterLines="10"/>
    </w:pPr>
    <w:rPr>
      <w:rFonts w:cs="Times New Roman"/>
      <w:color w:val="auto"/>
      <w:spacing w:val="-6"/>
    </w:rPr>
  </w:style>
  <w:style w:type="paragraph" w:customStyle="1" w:styleId="1127">
    <w:name w:val="表格文字小四左"/>
    <w:basedOn w:val="1120"/>
    <w:qFormat/>
    <w:uiPriority w:val="0"/>
    <w:pPr>
      <w:spacing w:beforeLines="0" w:afterLines="0"/>
      <w:jc w:val="left"/>
    </w:pPr>
    <w:rPr>
      <w:snapToGrid w:val="0"/>
      <w:color w:val="auto"/>
      <w:szCs w:val="20"/>
    </w:rPr>
  </w:style>
  <w:style w:type="character" w:customStyle="1" w:styleId="1128">
    <w:name w:val="1首行缩进 Char"/>
    <w:qFormat/>
    <w:uiPriority w:val="0"/>
    <w:rPr>
      <w:rFonts w:ascii="Arial" w:hAnsi="Arial" w:eastAsia="宋体"/>
      <w:snapToGrid w:val="0"/>
      <w:sz w:val="28"/>
      <w:szCs w:val="28"/>
      <w:lang w:val="en-US" w:eastAsia="zh-CN" w:bidi="ar-SA"/>
    </w:rPr>
  </w:style>
  <w:style w:type="paragraph" w:customStyle="1" w:styleId="1129">
    <w:name w:val="表格下文字5号-1"/>
    <w:basedOn w:val="1118"/>
    <w:qFormat/>
    <w:uiPriority w:val="0"/>
    <w:pPr>
      <w:spacing w:before="156"/>
      <w:ind w:left="798"/>
    </w:pPr>
  </w:style>
  <w:style w:type="paragraph" w:customStyle="1" w:styleId="1130">
    <w:name w:val="leedl"/>
    <w:basedOn w:val="1"/>
    <w:qFormat/>
    <w:uiPriority w:val="0"/>
    <w:pPr>
      <w:spacing w:line="348" w:lineRule="auto"/>
    </w:pPr>
    <w:rPr>
      <w:spacing w:val="10"/>
      <w:sz w:val="28"/>
      <w:szCs w:val="28"/>
    </w:rPr>
  </w:style>
  <w:style w:type="character" w:customStyle="1" w:styleId="1131">
    <w:name w:val="tit2"/>
    <w:qFormat/>
    <w:uiPriority w:val="0"/>
    <w:rPr>
      <w:b/>
      <w:bCs/>
      <w:sz w:val="48"/>
      <w:szCs w:val="48"/>
    </w:rPr>
  </w:style>
  <w:style w:type="character" w:customStyle="1" w:styleId="1132">
    <w:name w:val="正文缩进 Char Char Char Char Char1"/>
    <w:qFormat/>
    <w:uiPriority w:val="0"/>
    <w:rPr>
      <w:rFonts w:ascii="宋体" w:hAnsi="宋体" w:eastAsia="宋体"/>
      <w:kern w:val="2"/>
      <w:sz w:val="24"/>
      <w:lang w:val="en-US" w:eastAsia="zh-CN" w:bidi="ar-SA"/>
    </w:rPr>
  </w:style>
  <w:style w:type="table" w:customStyle="1" w:styleId="1133">
    <w:name w:val="网格型 52"/>
    <w:basedOn w:val="73"/>
    <w:qFormat/>
    <w:uiPriority w:val="0"/>
    <w:pPr>
      <w:widowControl w:val="0"/>
      <w:adjustRightInd w:val="0"/>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cPr>
        <w:tcBorders>
          <w:top w:val="nil"/>
          <w:left w:val="single" w:color="000000" w:sz="12" w:space="0"/>
          <w:bottom w:val="nil"/>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character" w:customStyle="1" w:styleId="1134">
    <w:name w:val="标题 字符1"/>
    <w:qFormat/>
    <w:uiPriority w:val="0"/>
    <w:rPr>
      <w:rFonts w:ascii="Arial" w:hAnsi="Arial" w:eastAsia="宋体" w:cs="Times New Roman"/>
      <w:b/>
      <w:bCs/>
      <w:sz w:val="32"/>
      <w:szCs w:val="32"/>
      <w:lang w:val="zh-CN" w:eastAsia="zh-CN"/>
    </w:rPr>
  </w:style>
  <w:style w:type="character" w:customStyle="1" w:styleId="1135">
    <w:name w:val="正文四号 Char1"/>
    <w:qFormat/>
    <w:uiPriority w:val="0"/>
    <w:rPr>
      <w:rFonts w:ascii="Times New Roman" w:hAnsi="Times New Roman" w:eastAsia="宋体" w:cs="Times New Roman"/>
      <w:sz w:val="24"/>
      <w:szCs w:val="28"/>
      <w:lang w:val="zh-CN" w:eastAsia="zh-CN"/>
    </w:rPr>
  </w:style>
  <w:style w:type="paragraph" w:customStyle="1" w:styleId="1136">
    <w:name w:val="表格内容自定"/>
    <w:basedOn w:val="1"/>
    <w:qFormat/>
    <w:uiPriority w:val="0"/>
    <w:pPr>
      <w:spacing w:line="280" w:lineRule="exact"/>
      <w:jc w:val="center"/>
    </w:pPr>
    <w:rPr>
      <w:kern w:val="0"/>
      <w:sz w:val="18"/>
    </w:rPr>
  </w:style>
  <w:style w:type="paragraph" w:customStyle="1" w:styleId="1137">
    <w:name w:val="Char Char Char1 Char"/>
    <w:basedOn w:val="1"/>
    <w:qFormat/>
    <w:uiPriority w:val="0"/>
    <w:rPr>
      <w:rFonts w:ascii="宋体" w:hAnsi="宋体" w:cs="宋体"/>
      <w:szCs w:val="24"/>
    </w:rPr>
  </w:style>
  <w:style w:type="character" w:customStyle="1" w:styleId="1138">
    <w:name w:val="页眉 字符1"/>
    <w:qFormat/>
    <w:uiPriority w:val="0"/>
    <w:rPr>
      <w:rFonts w:ascii="Times New Roman" w:hAnsi="Times New Roman" w:eastAsia="宋体" w:cs="Times New Roman"/>
      <w:sz w:val="18"/>
      <w:szCs w:val="20"/>
      <w:lang w:val="zh-CN" w:eastAsia="zh-CN"/>
    </w:rPr>
  </w:style>
  <w:style w:type="paragraph" w:customStyle="1" w:styleId="1139">
    <w:name w:val="tx5760tx6480tx7200tx7920"/>
    <w:qFormat/>
    <w:uiPriority w:val="0"/>
    <w:pPr>
      <w:widowControl w:val="0"/>
      <w:tabs>
        <w:tab w:val="left" w:pos="720"/>
        <w:tab w:val="left" w:pos="1440"/>
        <w:tab w:val="left" w:pos="2160"/>
        <w:tab w:val="left" w:pos="2880"/>
        <w:tab w:val="left" w:pos="3600"/>
        <w:tab w:val="left" w:pos="4320"/>
        <w:tab w:val="left" w:pos="5040"/>
      </w:tabs>
      <w:autoSpaceDE w:val="0"/>
      <w:autoSpaceDN w:val="0"/>
      <w:adjustRightInd w:val="0"/>
      <w:spacing w:line="360" w:lineRule="atLeast"/>
      <w:ind w:firstLine="482"/>
    </w:pPr>
    <w:rPr>
      <w:rFonts w:ascii="宋体" w:hAnsi="Times New Roman" w:eastAsia="宋体" w:cs="宋体"/>
      <w:lang w:val="en-US" w:eastAsia="zh-CN" w:bidi="ar-SA"/>
    </w:rPr>
  </w:style>
  <w:style w:type="character" w:customStyle="1" w:styleId="1140">
    <w:name w:val="普通文字 Char Char1"/>
    <w:qFormat/>
    <w:uiPriority w:val="0"/>
    <w:rPr>
      <w:rFonts w:ascii="宋体" w:hAnsi="Courier New" w:eastAsia="宋体"/>
      <w:kern w:val="2"/>
      <w:sz w:val="21"/>
      <w:szCs w:val="21"/>
      <w:lang w:val="en-US" w:eastAsia="zh-CN" w:bidi="ar-SA"/>
    </w:rPr>
  </w:style>
  <w:style w:type="character" w:customStyle="1" w:styleId="1141">
    <w:name w:val="表格文字 Char Char"/>
    <w:qFormat/>
    <w:uiPriority w:val="0"/>
    <w:rPr>
      <w:rFonts w:ascii="宋体" w:hAnsi="Courier New" w:eastAsia="宋体"/>
      <w:kern w:val="2"/>
      <w:sz w:val="21"/>
      <w:lang w:val="en-US" w:eastAsia="zh-CN" w:bidi="ar-SA"/>
    </w:rPr>
  </w:style>
  <w:style w:type="paragraph" w:customStyle="1" w:styleId="1142">
    <w:name w:val="Char Char Char 字元 字元"/>
    <w:basedOn w:val="1"/>
    <w:semiHidden/>
    <w:qFormat/>
    <w:uiPriority w:val="0"/>
    <w:rPr>
      <w:szCs w:val="24"/>
    </w:rPr>
  </w:style>
  <w:style w:type="character" w:customStyle="1" w:styleId="1143">
    <w:name w:val="批注文字 字符1"/>
    <w:qFormat/>
    <w:uiPriority w:val="99"/>
    <w:rPr>
      <w:rFonts w:ascii="Times New Roman" w:hAnsi="Times New Roman" w:eastAsia="宋体" w:cs="Times New Roman"/>
      <w:szCs w:val="24"/>
      <w:lang w:val="zh-CN" w:eastAsia="zh-CN"/>
    </w:rPr>
  </w:style>
  <w:style w:type="paragraph" w:customStyle="1" w:styleId="1144">
    <w:name w:val="样式 首行缩进:  2 字符 行距: 1.5 倍行距"/>
    <w:basedOn w:val="1"/>
    <w:qFormat/>
    <w:uiPriority w:val="0"/>
    <w:pPr>
      <w:ind w:firstLine="592"/>
    </w:pPr>
    <w:rPr>
      <w:sz w:val="28"/>
      <w:szCs w:val="20"/>
    </w:rPr>
  </w:style>
  <w:style w:type="character" w:customStyle="1" w:styleId="1145">
    <w:name w:val="标题 4 Char Char"/>
    <w:qFormat/>
    <w:uiPriority w:val="0"/>
    <w:rPr>
      <w:rFonts w:ascii="Arial" w:hAnsi="Arial" w:eastAsia="宋体"/>
      <w:kern w:val="2"/>
      <w:sz w:val="24"/>
      <w:lang w:val="en-US" w:eastAsia="zh-CN" w:bidi="ar-SA"/>
    </w:rPr>
  </w:style>
  <w:style w:type="character" w:customStyle="1" w:styleId="1146">
    <w:name w:val="标题 5 字符1"/>
    <w:qFormat/>
    <w:uiPriority w:val="9"/>
    <w:rPr>
      <w:rFonts w:ascii="Times New Roman" w:hAnsi="Times New Roman" w:eastAsia="宋体" w:cs="Times New Roman"/>
      <w:sz w:val="28"/>
      <w:szCs w:val="20"/>
      <w:lang w:val="zh-CN" w:eastAsia="zh-CN"/>
    </w:rPr>
  </w:style>
  <w:style w:type="character" w:customStyle="1" w:styleId="1147">
    <w:name w:val="标题 7 字符1"/>
    <w:qFormat/>
    <w:uiPriority w:val="0"/>
    <w:rPr>
      <w:rFonts w:ascii="Times New Roman" w:hAnsi="Times New Roman" w:eastAsia="宋体" w:cs="Times New Roman"/>
      <w:b/>
      <w:sz w:val="24"/>
      <w:szCs w:val="20"/>
      <w:lang w:val="zh-CN" w:eastAsia="zh-CN"/>
    </w:rPr>
  </w:style>
  <w:style w:type="character" w:customStyle="1" w:styleId="1148">
    <w:name w:val="标题 8 字符1"/>
    <w:qFormat/>
    <w:uiPriority w:val="0"/>
    <w:rPr>
      <w:rFonts w:ascii="Arial" w:hAnsi="Arial" w:eastAsia="黑体" w:cs="Times New Roman"/>
      <w:sz w:val="24"/>
      <w:szCs w:val="20"/>
      <w:lang w:val="zh-CN" w:eastAsia="zh-CN"/>
    </w:rPr>
  </w:style>
  <w:style w:type="character" w:customStyle="1" w:styleId="1149">
    <w:name w:val="标题 9 字符1"/>
    <w:qFormat/>
    <w:uiPriority w:val="0"/>
    <w:rPr>
      <w:rFonts w:ascii="Times New Roman" w:hAnsi="Times New Roman" w:eastAsia="宋体" w:cs="Times New Roman"/>
      <w:b/>
      <w:spacing w:val="10"/>
      <w:sz w:val="32"/>
      <w:szCs w:val="20"/>
      <w:lang w:val="zh-CN" w:eastAsia="zh-CN"/>
    </w:rPr>
  </w:style>
  <w:style w:type="character" w:customStyle="1" w:styleId="1150">
    <w:name w:val="日期 字符1"/>
    <w:qFormat/>
    <w:uiPriority w:val="0"/>
    <w:rPr>
      <w:rFonts w:ascii="宋体" w:hAnsi="宋体" w:eastAsia="宋体" w:cs="Times New Roman"/>
      <w:b/>
      <w:bCs/>
      <w:sz w:val="28"/>
      <w:szCs w:val="20"/>
      <w:lang w:val="zh-CN" w:eastAsia="zh-CN"/>
    </w:rPr>
  </w:style>
  <w:style w:type="character" w:customStyle="1" w:styleId="1151">
    <w:name w:val="页眉zxl Char"/>
    <w:qFormat/>
    <w:uiPriority w:val="0"/>
    <w:rPr>
      <w:rFonts w:eastAsia="宋体"/>
      <w:kern w:val="2"/>
      <w:sz w:val="18"/>
      <w:lang w:val="en-US" w:eastAsia="zh-CN" w:bidi="ar-SA"/>
    </w:rPr>
  </w:style>
  <w:style w:type="character" w:customStyle="1" w:styleId="1152">
    <w:name w:val="cucd-TB Char"/>
    <w:link w:val="1153"/>
    <w:qFormat/>
    <w:uiPriority w:val="0"/>
    <w:rPr>
      <w:rFonts w:eastAsia="Times New Roman"/>
      <w:lang w:val="en-US" w:eastAsia="zh-CN" w:bidi="ar-SA"/>
    </w:rPr>
  </w:style>
  <w:style w:type="paragraph" w:customStyle="1" w:styleId="1153">
    <w:name w:val="cucd-TB"/>
    <w:link w:val="1152"/>
    <w:qFormat/>
    <w:uiPriority w:val="0"/>
    <w:pPr>
      <w:spacing w:line="360" w:lineRule="auto"/>
      <w:jc w:val="center"/>
    </w:pPr>
    <w:rPr>
      <w:rFonts w:ascii="Times New Roman" w:hAnsi="Times New Roman" w:eastAsia="Times New Roman" w:cs="Times New Roman"/>
      <w:lang w:val="en-US" w:eastAsia="zh-CN" w:bidi="ar-SA"/>
    </w:rPr>
  </w:style>
  <w:style w:type="character" w:customStyle="1" w:styleId="1154">
    <w:name w:val="样式 眉山正文 + 首行缩进:  2 字符 Char"/>
    <w:link w:val="1155"/>
    <w:qFormat/>
    <w:uiPriority w:val="0"/>
    <w:rPr>
      <w:rFonts w:ascii="宋体" w:hAnsi="宋体"/>
      <w:sz w:val="24"/>
    </w:rPr>
  </w:style>
  <w:style w:type="paragraph" w:customStyle="1" w:styleId="1155">
    <w:name w:val="样式 眉山正文 + 首行缩进:  2 字符"/>
    <w:basedOn w:val="1"/>
    <w:link w:val="1154"/>
    <w:qFormat/>
    <w:uiPriority w:val="0"/>
    <w:pPr>
      <w:ind w:left="1134"/>
    </w:pPr>
    <w:rPr>
      <w:rFonts w:ascii="宋体" w:hAnsi="宋体"/>
      <w:kern w:val="0"/>
      <w:szCs w:val="20"/>
    </w:rPr>
  </w:style>
  <w:style w:type="character" w:customStyle="1" w:styleId="1156">
    <w:name w:val="样式 (西文) 华文细黑 (中文) 华文细黑 (符号) Arial"/>
    <w:qFormat/>
    <w:uiPriority w:val="0"/>
    <w:rPr>
      <w:rFonts w:ascii="华文细黑" w:hAnsi="华文细黑" w:eastAsia="华文细黑"/>
    </w:rPr>
  </w:style>
  <w:style w:type="character" w:customStyle="1" w:styleId="1157">
    <w:name w:val="样式 (西文) 华文细黑 (中文) 华文细黑 (符号) Arial 左 行距: 固定值 22 磅 首行缩进:  1.2... Char"/>
    <w:link w:val="1158"/>
    <w:qFormat/>
    <w:uiPriority w:val="0"/>
    <w:rPr>
      <w:rFonts w:ascii="华文细黑" w:hAnsi="Arial" w:eastAsia="华文细黑"/>
    </w:rPr>
  </w:style>
  <w:style w:type="paragraph" w:customStyle="1" w:styleId="1158">
    <w:name w:val="样式 (西文) 华文细黑 (中文) 华文细黑 (符号) Arial 左 行距: 固定值 22 磅 首行缩进:  1.2..."/>
    <w:basedOn w:val="1"/>
    <w:link w:val="1157"/>
    <w:qFormat/>
    <w:uiPriority w:val="0"/>
    <w:pPr>
      <w:spacing w:line="440" w:lineRule="exact"/>
    </w:pPr>
    <w:rPr>
      <w:rFonts w:ascii="华文细黑" w:hAnsi="Arial" w:eastAsia="华文细黑"/>
      <w:kern w:val="0"/>
      <w:sz w:val="20"/>
      <w:szCs w:val="20"/>
    </w:rPr>
  </w:style>
  <w:style w:type="character" w:customStyle="1" w:styleId="1159">
    <w:name w:val="新正文 Char"/>
    <w:link w:val="1160"/>
    <w:qFormat/>
    <w:uiPriority w:val="0"/>
    <w:rPr>
      <w:rFonts w:ascii="仿宋_GB2312" w:eastAsia="仿宋_GB2312"/>
      <w:sz w:val="28"/>
    </w:rPr>
  </w:style>
  <w:style w:type="paragraph" w:customStyle="1" w:styleId="1160">
    <w:name w:val="新正文"/>
    <w:basedOn w:val="1"/>
    <w:link w:val="1159"/>
    <w:qFormat/>
    <w:uiPriority w:val="0"/>
    <w:pPr>
      <w:spacing w:line="480" w:lineRule="exact"/>
      <w:ind w:firstLine="482"/>
    </w:pPr>
    <w:rPr>
      <w:rFonts w:ascii="仿宋_GB2312" w:eastAsia="仿宋_GB2312"/>
      <w:kern w:val="0"/>
      <w:sz w:val="28"/>
      <w:szCs w:val="20"/>
    </w:rPr>
  </w:style>
  <w:style w:type="paragraph" w:customStyle="1" w:styleId="1161">
    <w:name w:val="样式 首行缩进:  0.74 厘米 行距: 固定值 22 磅"/>
    <w:basedOn w:val="1"/>
    <w:qFormat/>
    <w:uiPriority w:val="0"/>
    <w:pPr>
      <w:spacing w:line="440" w:lineRule="exact"/>
      <w:ind w:firstLine="420"/>
    </w:pPr>
    <w:rPr>
      <w:sz w:val="21"/>
      <w:szCs w:val="20"/>
    </w:rPr>
  </w:style>
  <w:style w:type="paragraph" w:customStyle="1" w:styleId="1162">
    <w:name w:val="表格内容1"/>
    <w:basedOn w:val="1"/>
    <w:qFormat/>
    <w:uiPriority w:val="0"/>
    <w:pPr>
      <w:spacing w:line="240" w:lineRule="atLeast"/>
      <w:jc w:val="center"/>
    </w:pPr>
    <w:rPr>
      <w:snapToGrid w:val="0"/>
      <w:kern w:val="0"/>
      <w:sz w:val="21"/>
      <w:szCs w:val="20"/>
    </w:rPr>
  </w:style>
  <w:style w:type="paragraph" w:customStyle="1" w:styleId="1163">
    <w:name w:val="样式 标题 3 +"/>
    <w:basedOn w:val="8"/>
    <w:qFormat/>
    <w:uiPriority w:val="0"/>
    <w:pPr>
      <w:tabs>
        <w:tab w:val="left" w:pos="709"/>
      </w:tabs>
      <w:spacing w:beforeLines="0" w:afterLines="0" w:line="416" w:lineRule="auto"/>
      <w:ind w:left="709" w:hanging="709"/>
      <w:jc w:val="both"/>
    </w:pPr>
    <w:rPr>
      <w:rFonts w:ascii="宋体" w:hAnsi="宋体"/>
      <w:bCs w:val="0"/>
      <w:iCs/>
      <w:kern w:val="0"/>
      <w:szCs w:val="28"/>
      <w:shd w:val="clear" w:color="auto" w:fill="FFFFFF"/>
    </w:rPr>
  </w:style>
  <w:style w:type="paragraph" w:customStyle="1" w:styleId="1164">
    <w:name w:val="样式 标题 3 + (符号) 宋体"/>
    <w:basedOn w:val="8"/>
    <w:qFormat/>
    <w:uiPriority w:val="0"/>
    <w:pPr>
      <w:tabs>
        <w:tab w:val="left" w:pos="720"/>
      </w:tabs>
      <w:spacing w:beforeLines="0" w:afterLines="0" w:line="416" w:lineRule="auto"/>
      <w:ind w:left="720" w:hanging="720"/>
      <w:jc w:val="both"/>
    </w:pPr>
    <w:rPr>
      <w:rFonts w:ascii="宋体" w:hAnsi="宋体"/>
      <w:bCs w:val="0"/>
      <w:iCs/>
      <w:szCs w:val="28"/>
      <w:shd w:val="clear" w:color="auto" w:fill="FFFFFF"/>
    </w:rPr>
  </w:style>
  <w:style w:type="paragraph" w:customStyle="1" w:styleId="1165">
    <w:name w:val="样式 标题 2标题2节标题 1.11.1标题2b2标题 2 Char节标题 1.1 Charh2l22nd l..."/>
    <w:basedOn w:val="7"/>
    <w:qFormat/>
    <w:uiPriority w:val="0"/>
    <w:pPr>
      <w:spacing w:beforeLines="30" w:afterLines="20" w:line="360" w:lineRule="auto"/>
    </w:pPr>
    <w:rPr>
      <w:rFonts w:ascii="Arial" w:hAnsi="Arial" w:eastAsia="宋体"/>
      <w:sz w:val="32"/>
    </w:rPr>
  </w:style>
  <w:style w:type="paragraph" w:customStyle="1" w:styleId="1166">
    <w:name w:val="眉1"/>
    <w:basedOn w:val="1"/>
    <w:qFormat/>
    <w:uiPriority w:val="0"/>
    <w:pPr>
      <w:shd w:val="clear" w:color="auto" w:fill="D9D9D9"/>
      <w:tabs>
        <w:tab w:val="left" w:pos="0"/>
      </w:tabs>
      <w:spacing w:beforeLines="100" w:afterLines="100"/>
      <w:jc w:val="center"/>
    </w:pPr>
    <w:rPr>
      <w:rFonts w:ascii="黑体" w:eastAsia="黑体" w:cs="宋体"/>
      <w:b/>
      <w:bCs/>
      <w:sz w:val="32"/>
      <w:szCs w:val="20"/>
    </w:rPr>
  </w:style>
  <w:style w:type="paragraph" w:customStyle="1" w:styleId="1167">
    <w:name w:val="眉山2"/>
    <w:basedOn w:val="1"/>
    <w:qFormat/>
    <w:uiPriority w:val="0"/>
    <w:pPr>
      <w:tabs>
        <w:tab w:val="left" w:pos="1134"/>
      </w:tabs>
      <w:spacing w:beforeLines="50" w:afterLines="50"/>
      <w:ind w:left="1134" w:hanging="1134"/>
    </w:pPr>
    <w:rPr>
      <w:rFonts w:ascii="宋体" w:hAnsi="宋体"/>
      <w:szCs w:val="24"/>
    </w:rPr>
  </w:style>
  <w:style w:type="paragraph" w:customStyle="1" w:styleId="1168">
    <w:name w:val="样式 眉山2 + 悬挂缩进: 11.34 字符 段前: 0.5 行 段后: 0.5 行"/>
    <w:basedOn w:val="1167"/>
    <w:link w:val="1169"/>
    <w:qFormat/>
    <w:uiPriority w:val="0"/>
    <w:pPr>
      <w:spacing w:before="156" w:after="156"/>
    </w:pPr>
    <w:rPr>
      <w:szCs w:val="20"/>
      <w:lang w:val="zh-CN"/>
    </w:rPr>
  </w:style>
  <w:style w:type="character" w:customStyle="1" w:styleId="1169">
    <w:name w:val="样式 眉山2 + 悬挂缩进: 11.34 字符 段前: 0.5 行 段后: 0.5 行 Char"/>
    <w:link w:val="1168"/>
    <w:qFormat/>
    <w:uiPriority w:val="0"/>
    <w:rPr>
      <w:rFonts w:ascii="宋体" w:hAnsi="宋体"/>
      <w:kern w:val="2"/>
      <w:sz w:val="24"/>
      <w:lang w:val="zh-CN"/>
    </w:rPr>
  </w:style>
  <w:style w:type="character" w:customStyle="1" w:styleId="1170">
    <w:name w:val="white"/>
    <w:qFormat/>
    <w:uiPriority w:val="0"/>
  </w:style>
  <w:style w:type="character" w:customStyle="1" w:styleId="1171">
    <w:name w:val="页脚1 Char"/>
    <w:qFormat/>
    <w:uiPriority w:val="0"/>
    <w:rPr>
      <w:rFonts w:eastAsia="宋体"/>
      <w:kern w:val="2"/>
      <w:sz w:val="18"/>
      <w:lang w:val="en-US" w:eastAsia="zh-CN"/>
    </w:rPr>
  </w:style>
  <w:style w:type="character" w:customStyle="1" w:styleId="1172">
    <w:name w:val="css1"/>
    <w:qFormat/>
    <w:uiPriority w:val="0"/>
    <w:rPr>
      <w:sz w:val="20"/>
      <w:u w:val="none"/>
    </w:rPr>
  </w:style>
  <w:style w:type="paragraph" w:customStyle="1" w:styleId="1173">
    <w:name w:val="样式 表格文字 Char + 段前: 0.5 行"/>
    <w:basedOn w:val="1"/>
    <w:qFormat/>
    <w:uiPriority w:val="0"/>
    <w:pPr>
      <w:spacing w:beforeLines="50" w:line="240" w:lineRule="auto"/>
      <w:jc w:val="center"/>
    </w:pPr>
    <w:rPr>
      <w:szCs w:val="20"/>
    </w:rPr>
  </w:style>
  <w:style w:type="paragraph" w:customStyle="1" w:styleId="1174">
    <w:name w:val="hangju"/>
    <w:basedOn w:val="1"/>
    <w:qFormat/>
    <w:uiPriority w:val="0"/>
    <w:pPr>
      <w:spacing w:before="100" w:beforeAutospacing="1" w:after="100" w:afterAutospacing="1" w:line="400" w:lineRule="atLeast"/>
    </w:pPr>
    <w:rPr>
      <w:rFonts w:ascii="宋体" w:hAnsi="宋体"/>
      <w:kern w:val="0"/>
      <w:szCs w:val="20"/>
    </w:rPr>
  </w:style>
  <w:style w:type="paragraph" w:customStyle="1" w:styleId="1175">
    <w:name w:val="文-7"/>
    <w:basedOn w:val="1"/>
    <w:qFormat/>
    <w:uiPriority w:val="0"/>
    <w:pPr>
      <w:tabs>
        <w:tab w:val="right" w:leader="dot" w:pos="8789"/>
      </w:tabs>
      <w:spacing w:before="120" w:line="240" w:lineRule="auto"/>
      <w:ind w:left="1701" w:firstLine="482"/>
    </w:pPr>
    <w:rPr>
      <w:szCs w:val="20"/>
    </w:rPr>
  </w:style>
  <w:style w:type="character" w:customStyle="1" w:styleId="1176">
    <w:name w:val="编号正文 Char Char"/>
    <w:qFormat/>
    <w:uiPriority w:val="0"/>
    <w:rPr>
      <w:rFonts w:ascii="Arial" w:hAnsi="Arial" w:eastAsia="黑体"/>
      <w:b/>
      <w:kern w:val="2"/>
      <w:sz w:val="24"/>
      <w:lang w:val="en-US" w:eastAsia="zh-CN" w:bidi="ar-SA"/>
    </w:rPr>
  </w:style>
  <w:style w:type="character" w:customStyle="1" w:styleId="1177">
    <w:name w:val="t111"/>
    <w:qFormat/>
    <w:uiPriority w:val="0"/>
    <w:rPr>
      <w:rFonts w:ascii="宋体" w:hAnsi="宋体"/>
      <w:kern w:val="0"/>
      <w:sz w:val="24"/>
    </w:rPr>
  </w:style>
  <w:style w:type="character" w:customStyle="1" w:styleId="1178">
    <w:name w:val="a2"/>
    <w:qFormat/>
    <w:uiPriority w:val="0"/>
  </w:style>
  <w:style w:type="character" w:customStyle="1" w:styleId="1179">
    <w:name w:val="style41"/>
    <w:qFormat/>
    <w:uiPriority w:val="0"/>
    <w:rPr>
      <w:color w:val="0000FF"/>
      <w:sz w:val="18"/>
    </w:rPr>
  </w:style>
  <w:style w:type="character" w:customStyle="1" w:styleId="1180">
    <w:name w:val="main1"/>
    <w:qFormat/>
    <w:uiPriority w:val="0"/>
    <w:rPr>
      <w:color w:val="333333"/>
      <w:sz w:val="20"/>
    </w:rPr>
  </w:style>
  <w:style w:type="character" w:customStyle="1" w:styleId="1181">
    <w:name w:val="word21"/>
    <w:qFormat/>
    <w:uiPriority w:val="0"/>
    <w:rPr>
      <w:b/>
      <w:color w:val="0040A6"/>
      <w:spacing w:val="315"/>
      <w:sz w:val="20"/>
    </w:rPr>
  </w:style>
  <w:style w:type="character" w:customStyle="1" w:styleId="1182">
    <w:name w:val="postbody1"/>
    <w:qFormat/>
    <w:uiPriority w:val="0"/>
    <w:rPr>
      <w:sz w:val="21"/>
    </w:rPr>
  </w:style>
  <w:style w:type="character" w:customStyle="1" w:styleId="1183">
    <w:name w:val="z1"/>
    <w:qFormat/>
    <w:uiPriority w:val="0"/>
    <w:rPr>
      <w:sz w:val="18"/>
    </w:rPr>
  </w:style>
  <w:style w:type="paragraph" w:customStyle="1" w:styleId="1184">
    <w:name w:val="附录三级条标题"/>
    <w:basedOn w:val="1185"/>
    <w:next w:val="1"/>
    <w:qFormat/>
    <w:uiPriority w:val="0"/>
    <w:pPr>
      <w:tabs>
        <w:tab w:val="left" w:pos="360"/>
        <w:tab w:val="left" w:pos="828"/>
        <w:tab w:val="left" w:pos="1068"/>
        <w:tab w:val="left" w:pos="3926"/>
        <w:tab w:val="left" w:pos="4711"/>
      </w:tabs>
      <w:ind w:left="1068"/>
      <w:outlineLvl w:val="4"/>
    </w:pPr>
  </w:style>
  <w:style w:type="paragraph" w:customStyle="1" w:styleId="1185">
    <w:name w:val="附录二级条标题"/>
    <w:basedOn w:val="1186"/>
    <w:next w:val="1"/>
    <w:qFormat/>
    <w:uiPriority w:val="0"/>
    <w:pPr>
      <w:tabs>
        <w:tab w:val="left" w:pos="360"/>
        <w:tab w:val="left" w:pos="828"/>
        <w:tab w:val="left" w:pos="3926"/>
        <w:tab w:val="left" w:pos="4711"/>
      </w:tabs>
      <w:autoSpaceDN w:val="0"/>
      <w:ind w:left="360" w:hanging="360"/>
      <w:outlineLvl w:val="3"/>
    </w:pPr>
  </w:style>
  <w:style w:type="paragraph" w:customStyle="1" w:styleId="1186">
    <w:name w:val="附录一级条标题"/>
    <w:basedOn w:val="1187"/>
    <w:next w:val="1"/>
    <w:qFormat/>
    <w:uiPriority w:val="0"/>
    <w:pPr>
      <w:tabs>
        <w:tab w:val="left" w:pos="3926"/>
      </w:tabs>
      <w:ind w:left="3260" w:hanging="1134"/>
    </w:pPr>
  </w:style>
  <w:style w:type="paragraph" w:customStyle="1" w:styleId="1187">
    <w:name w:val="附录章标题"/>
    <w:next w:val="1"/>
    <w:qFormat/>
    <w:uiPriority w:val="0"/>
    <w:pPr>
      <w:wordWrap w:val="0"/>
      <w:overflowPunct w:val="0"/>
      <w:autoSpaceDE w:val="0"/>
      <w:spacing w:beforeLines="50" w:afterLines="50" w:line="360" w:lineRule="auto"/>
      <w:jc w:val="both"/>
      <w:textAlignment w:val="baseline"/>
      <w:outlineLvl w:val="1"/>
    </w:pPr>
    <w:rPr>
      <w:rFonts w:ascii="黑体" w:hAnsi="Times New Roman" w:eastAsia="黑体" w:cs="Times New Roman"/>
      <w:kern w:val="21"/>
      <w:sz w:val="21"/>
      <w:lang w:val="en-US" w:eastAsia="zh-CN" w:bidi="ar-SA"/>
    </w:rPr>
  </w:style>
  <w:style w:type="paragraph" w:customStyle="1" w:styleId="1188">
    <w:name w:val="正文段落"/>
    <w:basedOn w:val="1"/>
    <w:qFormat/>
    <w:uiPriority w:val="0"/>
    <w:pPr>
      <w:spacing w:line="360" w:lineRule="exact"/>
      <w:ind w:firstLine="476"/>
    </w:pPr>
    <w:rPr>
      <w:rFonts w:ascii="宋体" w:hAnsi="宋体"/>
      <w:szCs w:val="20"/>
    </w:rPr>
  </w:style>
  <w:style w:type="paragraph" w:customStyle="1" w:styleId="1189">
    <w:name w:val="附录五级条标题"/>
    <w:basedOn w:val="1190"/>
    <w:next w:val="1"/>
    <w:qFormat/>
    <w:uiPriority w:val="0"/>
    <w:pPr>
      <w:tabs>
        <w:tab w:val="left" w:pos="360"/>
        <w:tab w:val="left" w:pos="435"/>
        <w:tab w:val="left" w:pos="828"/>
        <w:tab w:val="left" w:pos="960"/>
        <w:tab w:val="left" w:pos="1068"/>
        <w:tab w:val="left" w:pos="3926"/>
        <w:tab w:val="left" w:pos="4711"/>
      </w:tabs>
      <w:ind w:left="435" w:hanging="165"/>
      <w:outlineLvl w:val="6"/>
    </w:pPr>
  </w:style>
  <w:style w:type="paragraph" w:customStyle="1" w:styleId="1190">
    <w:name w:val="附录四级条标题"/>
    <w:basedOn w:val="1184"/>
    <w:next w:val="1"/>
    <w:qFormat/>
    <w:uiPriority w:val="0"/>
  </w:style>
  <w:style w:type="paragraph" w:customStyle="1" w:styleId="1191">
    <w:name w:val="附录标识"/>
    <w:basedOn w:val="612"/>
    <w:qFormat/>
    <w:uiPriority w:val="0"/>
    <w:pPr>
      <w:tabs>
        <w:tab w:val="left" w:pos="6405"/>
        <w:tab w:val="clear" w:pos="903"/>
      </w:tabs>
      <w:spacing w:after="200"/>
      <w:ind w:left="0" w:firstLine="0"/>
    </w:pPr>
    <w:rPr>
      <w:sz w:val="21"/>
    </w:rPr>
  </w:style>
  <w:style w:type="paragraph" w:customStyle="1" w:styleId="1192">
    <w:name w:val="样式 标题 2节h2 + Times New Roman 小三 居中 首行缩进:  2 字符 行距: 固定值 27 磅1"/>
    <w:basedOn w:val="7"/>
    <w:next w:val="1193"/>
    <w:qFormat/>
    <w:uiPriority w:val="0"/>
    <w:pPr>
      <w:tabs>
        <w:tab w:val="left" w:pos="0"/>
      </w:tabs>
      <w:spacing w:beforeLines="0" w:afterLines="0" w:line="540" w:lineRule="exact"/>
      <w:jc w:val="center"/>
      <w:outlineLvl w:val="0"/>
    </w:pPr>
    <w:rPr>
      <w:rFonts w:ascii="Times New Roman"/>
      <w:bCs w:val="0"/>
      <w:szCs w:val="20"/>
    </w:rPr>
  </w:style>
  <w:style w:type="paragraph" w:customStyle="1" w:styleId="1193">
    <w:name w:val="Item1"/>
    <w:basedOn w:val="1"/>
    <w:qFormat/>
    <w:uiPriority w:val="0"/>
    <w:pPr>
      <w:tabs>
        <w:tab w:val="left" w:pos="425"/>
      </w:tabs>
      <w:spacing w:line="240" w:lineRule="auto"/>
      <w:ind w:left="425" w:hanging="425"/>
    </w:pPr>
    <w:rPr>
      <w:sz w:val="21"/>
      <w:szCs w:val="20"/>
    </w:rPr>
  </w:style>
  <w:style w:type="paragraph" w:customStyle="1" w:styleId="1194">
    <w:name w:val="正文-第几条"/>
    <w:basedOn w:val="1"/>
    <w:qFormat/>
    <w:uiPriority w:val="0"/>
    <w:pPr>
      <w:tabs>
        <w:tab w:val="left" w:pos="1021"/>
        <w:tab w:val="left" w:pos="3500"/>
      </w:tabs>
      <w:ind w:left="1021" w:hanging="1021"/>
    </w:pPr>
    <w:rPr>
      <w:szCs w:val="20"/>
    </w:rPr>
  </w:style>
  <w:style w:type="paragraph" w:customStyle="1" w:styleId="1195">
    <w:name w:val="8--"/>
    <w:basedOn w:val="1"/>
    <w:qFormat/>
    <w:uiPriority w:val="0"/>
    <w:pPr>
      <w:spacing w:line="360" w:lineRule="atLeast"/>
      <w:textAlignment w:val="baseline"/>
    </w:pPr>
    <w:rPr>
      <w:kern w:val="0"/>
      <w:szCs w:val="20"/>
    </w:rPr>
  </w:style>
  <w:style w:type="paragraph" w:customStyle="1" w:styleId="1196">
    <w:name w:val="正文条目a"/>
    <w:basedOn w:val="1"/>
    <w:qFormat/>
    <w:uiPriority w:val="0"/>
    <w:pPr>
      <w:spacing w:line="240" w:lineRule="auto"/>
      <w:ind w:left="400" w:leftChars="300" w:hanging="100" w:hangingChars="100"/>
    </w:pPr>
    <w:rPr>
      <w:rFonts w:ascii="宋体"/>
      <w:szCs w:val="20"/>
    </w:rPr>
  </w:style>
  <w:style w:type="paragraph" w:customStyle="1" w:styleId="1197">
    <w:name w:val="Char1 Char Char Char1 Char Char Char"/>
    <w:basedOn w:val="1"/>
    <w:qFormat/>
    <w:uiPriority w:val="0"/>
    <w:pPr>
      <w:spacing w:line="240" w:lineRule="auto"/>
    </w:pPr>
    <w:rPr>
      <w:szCs w:val="20"/>
    </w:rPr>
  </w:style>
  <w:style w:type="paragraph" w:customStyle="1" w:styleId="1198">
    <w:name w:val="表名"/>
    <w:basedOn w:val="1"/>
    <w:link w:val="1199"/>
    <w:qFormat/>
    <w:uiPriority w:val="0"/>
    <w:pPr>
      <w:autoSpaceDE w:val="0"/>
      <w:autoSpaceDN w:val="0"/>
      <w:spacing w:beforeLines="50" w:line="240" w:lineRule="auto"/>
      <w:jc w:val="center"/>
      <w:textAlignment w:val="baseline"/>
    </w:pPr>
    <w:rPr>
      <w:rFonts w:ascii="Arial" w:hAnsi="Arial" w:eastAsia="黑体"/>
      <w:b/>
      <w:kern w:val="0"/>
      <w:szCs w:val="20"/>
      <w:lang w:val="zh-CN"/>
    </w:rPr>
  </w:style>
  <w:style w:type="character" w:customStyle="1" w:styleId="1199">
    <w:name w:val="表名 Char"/>
    <w:link w:val="1198"/>
    <w:qFormat/>
    <w:uiPriority w:val="0"/>
    <w:rPr>
      <w:rFonts w:ascii="Arial" w:hAnsi="Arial" w:eastAsia="黑体"/>
      <w:b/>
      <w:sz w:val="24"/>
      <w:lang w:val="zh-CN"/>
    </w:rPr>
  </w:style>
  <w:style w:type="paragraph" w:customStyle="1" w:styleId="1200">
    <w:name w:val="样式 样式 标题 3 + 首行缩进:  2 字符 + 段前: 0.1 行 段后: 0.1 行"/>
    <w:basedOn w:val="1"/>
    <w:qFormat/>
    <w:uiPriority w:val="0"/>
    <w:pPr>
      <w:tabs>
        <w:tab w:val="left" w:pos="7088"/>
      </w:tabs>
      <w:spacing w:beforeLines="50" w:afterLines="50"/>
      <w:jc w:val="center"/>
      <w:outlineLvl w:val="0"/>
    </w:pPr>
    <w:rPr>
      <w:rFonts w:eastAsia="黑体"/>
      <w:sz w:val="21"/>
      <w:szCs w:val="20"/>
    </w:rPr>
  </w:style>
  <w:style w:type="paragraph" w:customStyle="1" w:styleId="1201">
    <w:name w:val="样式 标题 2 + 黑体 (符号) 宋体"/>
    <w:basedOn w:val="7"/>
    <w:qFormat/>
    <w:uiPriority w:val="0"/>
    <w:pPr>
      <w:tabs>
        <w:tab w:val="left" w:pos="0"/>
      </w:tabs>
      <w:spacing w:beforeLines="0" w:afterLines="0" w:line="360" w:lineRule="auto"/>
      <w:jc w:val="center"/>
      <w:outlineLvl w:val="9"/>
    </w:pPr>
    <w:rPr>
      <w:bCs w:val="0"/>
      <w:sz w:val="44"/>
      <w:szCs w:val="20"/>
    </w:rPr>
  </w:style>
  <w:style w:type="paragraph" w:customStyle="1" w:styleId="1202">
    <w:name w:val="样式 样式 左侧:  2 字符 段后: 0.5 行 + 首行缩进:  2 字符 段后: 0.5 行"/>
    <w:basedOn w:val="1"/>
    <w:qFormat/>
    <w:uiPriority w:val="0"/>
    <w:pPr>
      <w:spacing w:afterLines="50" w:line="240" w:lineRule="auto"/>
      <w:ind w:firstLine="560"/>
    </w:pPr>
    <w:rPr>
      <w:rFonts w:eastAsia="仿宋_GB2312"/>
      <w:sz w:val="28"/>
      <w:szCs w:val="20"/>
    </w:rPr>
  </w:style>
  <w:style w:type="paragraph" w:customStyle="1" w:styleId="1203">
    <w:name w:val="ourfont3"/>
    <w:basedOn w:val="1"/>
    <w:qFormat/>
    <w:uiPriority w:val="0"/>
    <w:pPr>
      <w:spacing w:before="100" w:beforeAutospacing="1" w:after="100" w:afterAutospacing="1" w:line="240" w:lineRule="auto"/>
    </w:pPr>
    <w:rPr>
      <w:rFonts w:ascii="宋体" w:hAnsi="宋体"/>
      <w:kern w:val="0"/>
      <w:szCs w:val="20"/>
    </w:rPr>
  </w:style>
  <w:style w:type="paragraph" w:customStyle="1" w:styleId="1204">
    <w:name w:val="1表格"/>
    <w:basedOn w:val="1"/>
    <w:qFormat/>
    <w:uiPriority w:val="0"/>
    <w:pPr>
      <w:spacing w:line="160" w:lineRule="atLeast"/>
      <w:jc w:val="center"/>
    </w:pPr>
    <w:rPr>
      <w:rFonts w:eastAsia="仿宋_GB2312"/>
      <w:sz w:val="21"/>
      <w:szCs w:val="20"/>
    </w:rPr>
  </w:style>
  <w:style w:type="paragraph" w:customStyle="1" w:styleId="1205">
    <w:name w:val="样式 标题 4 + 段前: 7.8 磅"/>
    <w:basedOn w:val="9"/>
    <w:qFormat/>
    <w:uiPriority w:val="0"/>
    <w:pPr>
      <w:keepNext/>
      <w:keepLines/>
      <w:tabs>
        <w:tab w:val="left" w:pos="864"/>
      </w:tabs>
      <w:spacing w:line="500" w:lineRule="atLeast"/>
    </w:pPr>
    <w:rPr>
      <w:lang w:val="zh-CN"/>
    </w:rPr>
  </w:style>
  <w:style w:type="paragraph" w:customStyle="1" w:styleId="1206">
    <w:name w:val="正文-叶"/>
    <w:basedOn w:val="1"/>
    <w:qFormat/>
    <w:uiPriority w:val="0"/>
    <w:pPr>
      <w:topLinePunct/>
      <w:spacing w:line="312" w:lineRule="auto"/>
      <w:ind w:firstLine="465"/>
    </w:pPr>
    <w:rPr>
      <w:szCs w:val="20"/>
    </w:rPr>
  </w:style>
  <w:style w:type="paragraph" w:customStyle="1" w:styleId="1207">
    <w:name w:val="框图文字1"/>
    <w:basedOn w:val="1"/>
    <w:qFormat/>
    <w:uiPriority w:val="0"/>
    <w:pPr>
      <w:spacing w:beforeLines="25" w:line="240" w:lineRule="auto"/>
      <w:jc w:val="center"/>
    </w:pPr>
    <w:rPr>
      <w:sz w:val="18"/>
      <w:szCs w:val="20"/>
    </w:rPr>
  </w:style>
  <w:style w:type="paragraph" w:customStyle="1" w:styleId="1208">
    <w:name w:val="char"/>
    <w:basedOn w:val="1"/>
    <w:qFormat/>
    <w:uiPriority w:val="0"/>
    <w:pPr>
      <w:spacing w:after="160" w:line="240" w:lineRule="auto"/>
    </w:pPr>
    <w:rPr>
      <w:rFonts w:ascii="Verdana" w:hAnsi="Verdana" w:eastAsia="仿宋_GB2312"/>
      <w:kern w:val="0"/>
      <w:sz w:val="28"/>
      <w:szCs w:val="20"/>
      <w:lang w:eastAsia="en-US"/>
    </w:rPr>
  </w:style>
  <w:style w:type="paragraph" w:customStyle="1" w:styleId="1209">
    <w:name w:val="样式 正文文本 + 首行缩进:  2 字符4"/>
    <w:basedOn w:val="31"/>
    <w:qFormat/>
    <w:uiPriority w:val="0"/>
    <w:pPr>
      <w:spacing w:after="0" w:line="0" w:lineRule="atLeast"/>
      <w:ind w:right="-42"/>
      <w:textAlignment w:val="baseline"/>
    </w:pPr>
    <w:rPr>
      <w:rFonts w:eastAsia="仿宋_GB2312"/>
      <w:color w:val="000000"/>
      <w:kern w:val="2"/>
      <w:sz w:val="21"/>
      <w:lang w:val="zh-CN"/>
    </w:rPr>
  </w:style>
  <w:style w:type="paragraph" w:customStyle="1" w:styleId="1210">
    <w:name w:val="zhengwen"/>
    <w:basedOn w:val="1"/>
    <w:qFormat/>
    <w:uiPriority w:val="0"/>
    <w:pPr>
      <w:spacing w:before="100" w:beforeAutospacing="1" w:after="100" w:afterAutospacing="1" w:line="240" w:lineRule="auto"/>
    </w:pPr>
    <w:rPr>
      <w:rFonts w:ascii="宋体" w:hAnsi="宋体"/>
      <w:kern w:val="0"/>
      <w:szCs w:val="20"/>
    </w:rPr>
  </w:style>
  <w:style w:type="paragraph" w:customStyle="1" w:styleId="1211">
    <w:name w:val="列项·"/>
    <w:qFormat/>
    <w:uiPriority w:val="0"/>
    <w:pPr>
      <w:tabs>
        <w:tab w:val="left" w:pos="840"/>
        <w:tab w:val="left" w:pos="3080"/>
      </w:tabs>
      <w:spacing w:line="360" w:lineRule="auto"/>
      <w:ind w:left="840" w:leftChars="200" w:hanging="420" w:hangingChars="200"/>
      <w:jc w:val="both"/>
    </w:pPr>
    <w:rPr>
      <w:rFonts w:ascii="宋体" w:hAnsi="Times New Roman" w:eastAsia="宋体" w:cs="Times New Roman"/>
      <w:sz w:val="21"/>
      <w:lang w:val="en-US" w:eastAsia="zh-CN" w:bidi="ar-SA"/>
    </w:rPr>
  </w:style>
  <w:style w:type="paragraph" w:customStyle="1" w:styleId="1212">
    <w:name w:val="样式 宋体 行距: 1.5 倍行距"/>
    <w:basedOn w:val="1"/>
    <w:qFormat/>
    <w:uiPriority w:val="0"/>
    <w:pPr>
      <w:ind w:firstLine="560"/>
    </w:pPr>
    <w:rPr>
      <w:sz w:val="28"/>
      <w:szCs w:val="20"/>
    </w:rPr>
  </w:style>
  <w:style w:type="paragraph" w:customStyle="1" w:styleId="1213">
    <w:name w:val="Char1 Char Char Char1 Char Char Char Char Char Char Char Char Char Char Char Char"/>
    <w:basedOn w:val="1"/>
    <w:qFormat/>
    <w:uiPriority w:val="0"/>
    <w:pPr>
      <w:spacing w:line="240" w:lineRule="auto"/>
    </w:pPr>
    <w:rPr>
      <w:szCs w:val="20"/>
    </w:rPr>
  </w:style>
  <w:style w:type="paragraph" w:customStyle="1" w:styleId="1214">
    <w:name w:val="indent"/>
    <w:basedOn w:val="1"/>
    <w:qFormat/>
    <w:uiPriority w:val="0"/>
    <w:pPr>
      <w:spacing w:before="100" w:beforeAutospacing="1" w:after="100" w:afterAutospacing="1" w:line="240" w:lineRule="auto"/>
      <w:ind w:firstLine="525"/>
    </w:pPr>
    <w:rPr>
      <w:rFonts w:ascii="宋体" w:hAnsi="宋体"/>
      <w:kern w:val="0"/>
      <w:szCs w:val="20"/>
    </w:rPr>
  </w:style>
  <w:style w:type="character" w:customStyle="1" w:styleId="1215">
    <w:name w:val="content14"/>
    <w:qFormat/>
    <w:uiPriority w:val="0"/>
  </w:style>
  <w:style w:type="paragraph" w:customStyle="1" w:styleId="1216">
    <w:name w:val="样式 正文首行缩进 + 四号 首行缩进:  1 字符"/>
    <w:qFormat/>
    <w:uiPriority w:val="0"/>
    <w:pPr>
      <w:spacing w:line="360" w:lineRule="auto"/>
      <w:ind w:firstLine="560" w:firstLineChars="200"/>
    </w:pPr>
    <w:rPr>
      <w:rFonts w:ascii="宋体" w:hAnsi="宋体" w:eastAsia="宋体" w:cs="Times New Roman"/>
      <w:color w:val="000000"/>
      <w:kern w:val="2"/>
      <w:sz w:val="28"/>
      <w:szCs w:val="28"/>
      <w:lang w:val="zh-CN" w:eastAsia="zh-CN" w:bidi="ar-SA"/>
    </w:rPr>
  </w:style>
  <w:style w:type="paragraph" w:customStyle="1" w:styleId="1217">
    <w:name w:val="l_text"/>
    <w:basedOn w:val="1"/>
    <w:qFormat/>
    <w:uiPriority w:val="0"/>
    <w:pPr>
      <w:overflowPunct w:val="0"/>
      <w:autoSpaceDE w:val="0"/>
      <w:autoSpaceDN w:val="0"/>
      <w:spacing w:before="60" w:after="60"/>
      <w:ind w:left="170" w:firstLine="680"/>
      <w:textAlignment w:val="baseline"/>
    </w:pPr>
    <w:rPr>
      <w:rFonts w:ascii="宋体"/>
      <w:kern w:val="0"/>
      <w:sz w:val="28"/>
      <w:szCs w:val="20"/>
      <w:lang w:val="en-GB"/>
    </w:rPr>
  </w:style>
  <w:style w:type="character" w:customStyle="1" w:styleId="1218">
    <w:name w:val="lrhxdagpa"/>
    <w:qFormat/>
    <w:uiPriority w:val="0"/>
  </w:style>
  <w:style w:type="character" w:customStyle="1" w:styleId="1219">
    <w:name w:val="exp2"/>
    <w:qFormat/>
    <w:uiPriority w:val="0"/>
    <w:rPr>
      <w:color w:val="3E3E3E"/>
    </w:rPr>
  </w:style>
  <w:style w:type="character" w:customStyle="1" w:styleId="1220">
    <w:name w:val="c lh15"/>
    <w:qFormat/>
    <w:uiPriority w:val="0"/>
  </w:style>
  <w:style w:type="paragraph" w:customStyle="1" w:styleId="1221">
    <w:name w:val="样式 表14.5 + 段前: 1 行"/>
    <w:basedOn w:val="1"/>
    <w:qFormat/>
    <w:uiPriority w:val="0"/>
    <w:pPr>
      <w:tabs>
        <w:tab w:val="left" w:pos="851"/>
      </w:tabs>
      <w:spacing w:beforeLines="100" w:line="0" w:lineRule="atLeast"/>
    </w:pPr>
    <w:rPr>
      <w:rFonts w:eastAsia="黑体" w:cs="宋体"/>
      <w:b/>
      <w:bCs/>
      <w:szCs w:val="20"/>
    </w:rPr>
  </w:style>
  <w:style w:type="character" w:customStyle="1" w:styleId="1222">
    <w:name w:val="gcpaddrlink1"/>
    <w:qFormat/>
    <w:uiPriority w:val="0"/>
    <w:rPr>
      <w:sz w:val="30"/>
      <w:szCs w:val="30"/>
    </w:rPr>
  </w:style>
  <w:style w:type="paragraph" w:customStyle="1" w:styleId="1223">
    <w:name w:val="标准样式"/>
    <w:link w:val="1224"/>
    <w:qFormat/>
    <w:uiPriority w:val="0"/>
    <w:pPr>
      <w:widowControl w:val="0"/>
      <w:spacing w:line="600" w:lineRule="exact"/>
      <w:ind w:firstLine="200" w:firstLineChars="200"/>
      <w:jc w:val="both"/>
    </w:pPr>
    <w:rPr>
      <w:rFonts w:ascii="Times New Roman" w:hAnsi="Times New Roman" w:eastAsia="宋体" w:cs="Times New Roman"/>
      <w:sz w:val="28"/>
      <w:lang w:val="en-US" w:eastAsia="zh-CN" w:bidi="ar-SA"/>
    </w:rPr>
  </w:style>
  <w:style w:type="character" w:customStyle="1" w:styleId="1224">
    <w:name w:val="标准样式 Char1"/>
    <w:link w:val="1223"/>
    <w:qFormat/>
    <w:uiPriority w:val="0"/>
    <w:rPr>
      <w:sz w:val="28"/>
      <w:lang w:bidi="ar-SA"/>
    </w:rPr>
  </w:style>
  <w:style w:type="paragraph" w:customStyle="1" w:styleId="1225">
    <w:name w:val="CM12"/>
    <w:basedOn w:val="131"/>
    <w:next w:val="131"/>
    <w:qFormat/>
    <w:uiPriority w:val="0"/>
    <w:pPr>
      <w:adjustRightInd w:val="0"/>
      <w:spacing w:line="546" w:lineRule="atLeast"/>
    </w:pPr>
    <w:rPr>
      <w:color w:val="auto"/>
    </w:rPr>
  </w:style>
  <w:style w:type="paragraph" w:customStyle="1" w:styleId="1226">
    <w:name w:val="Char Char Char Char Char Char Char Char Char Char Char Char1 Char Char Char Char Char Char Char"/>
    <w:basedOn w:val="1"/>
    <w:qFormat/>
    <w:uiPriority w:val="0"/>
    <w:pPr>
      <w:spacing w:line="240" w:lineRule="auto"/>
    </w:pPr>
    <w:rPr>
      <w:szCs w:val="24"/>
    </w:rPr>
  </w:style>
  <w:style w:type="paragraph" w:customStyle="1" w:styleId="1227">
    <w:name w:val="Char Char Char Char Char Char Char Char Char Char Char Char Char Char Char"/>
    <w:basedOn w:val="1"/>
    <w:qFormat/>
    <w:uiPriority w:val="0"/>
    <w:pPr>
      <w:spacing w:line="440" w:lineRule="exact"/>
    </w:pPr>
    <w:rPr>
      <w:szCs w:val="24"/>
    </w:rPr>
  </w:style>
  <w:style w:type="paragraph" w:customStyle="1" w:styleId="1228">
    <w:name w:val="CM11"/>
    <w:basedOn w:val="131"/>
    <w:next w:val="131"/>
    <w:qFormat/>
    <w:uiPriority w:val="0"/>
    <w:pPr>
      <w:adjustRightInd w:val="0"/>
      <w:spacing w:line="491" w:lineRule="atLeast"/>
    </w:pPr>
    <w:rPr>
      <w:rFonts w:ascii="仿宋_GB2312" w:eastAsia="仿宋_GB2312"/>
      <w:color w:val="auto"/>
    </w:rPr>
  </w:style>
  <w:style w:type="paragraph" w:customStyle="1" w:styleId="1229">
    <w:name w:val="CM26"/>
    <w:basedOn w:val="131"/>
    <w:next w:val="131"/>
    <w:qFormat/>
    <w:uiPriority w:val="0"/>
    <w:pPr>
      <w:adjustRightInd w:val="0"/>
      <w:spacing w:after="168"/>
    </w:pPr>
    <w:rPr>
      <w:rFonts w:ascii="黑体" w:eastAsia="黑体"/>
      <w:color w:val="auto"/>
    </w:rPr>
  </w:style>
  <w:style w:type="paragraph" w:customStyle="1" w:styleId="1230">
    <w:name w:val="CM51"/>
    <w:basedOn w:val="131"/>
    <w:next w:val="131"/>
    <w:qFormat/>
    <w:uiPriority w:val="0"/>
    <w:pPr>
      <w:adjustRightInd w:val="0"/>
      <w:spacing w:after="145"/>
    </w:pPr>
    <w:rPr>
      <w:rFonts w:ascii="仿宋_GB2312" w:eastAsia="仿宋_GB2312"/>
      <w:color w:val="auto"/>
    </w:rPr>
  </w:style>
  <w:style w:type="paragraph" w:customStyle="1" w:styleId="1231">
    <w:name w:val="CM6"/>
    <w:basedOn w:val="131"/>
    <w:next w:val="131"/>
    <w:qFormat/>
    <w:uiPriority w:val="0"/>
    <w:pPr>
      <w:adjustRightInd w:val="0"/>
      <w:spacing w:line="588" w:lineRule="atLeast"/>
    </w:pPr>
    <w:rPr>
      <w:rFonts w:ascii="黑体" w:eastAsia="黑体"/>
      <w:color w:val="auto"/>
    </w:rPr>
  </w:style>
  <w:style w:type="paragraph" w:customStyle="1" w:styleId="1232">
    <w:name w:val="CM47"/>
    <w:basedOn w:val="131"/>
    <w:next w:val="131"/>
    <w:qFormat/>
    <w:uiPriority w:val="0"/>
    <w:pPr>
      <w:adjustRightInd w:val="0"/>
      <w:spacing w:after="260"/>
    </w:pPr>
    <w:rPr>
      <w:rFonts w:ascii="仿宋_GB2312" w:eastAsia="仿宋_GB2312"/>
      <w:color w:val="auto"/>
    </w:rPr>
  </w:style>
  <w:style w:type="paragraph" w:customStyle="1" w:styleId="1233">
    <w:name w:val="CM4"/>
    <w:basedOn w:val="131"/>
    <w:next w:val="131"/>
    <w:qFormat/>
    <w:uiPriority w:val="0"/>
    <w:pPr>
      <w:adjustRightInd w:val="0"/>
      <w:spacing w:line="591" w:lineRule="atLeast"/>
    </w:pPr>
    <w:rPr>
      <w:rFonts w:ascii="黑体" w:eastAsia="黑体"/>
      <w:color w:val="auto"/>
    </w:rPr>
  </w:style>
  <w:style w:type="paragraph" w:customStyle="1" w:styleId="1234">
    <w:name w:val="SCIDI环评表格"/>
    <w:basedOn w:val="1"/>
    <w:qFormat/>
    <w:uiPriority w:val="0"/>
    <w:pPr>
      <w:spacing w:line="240" w:lineRule="auto"/>
      <w:jc w:val="center"/>
      <w:textAlignment w:val="baseline"/>
    </w:pPr>
    <w:rPr>
      <w:snapToGrid w:val="0"/>
      <w:kern w:val="0"/>
      <w:sz w:val="21"/>
    </w:rPr>
  </w:style>
  <w:style w:type="paragraph" w:customStyle="1" w:styleId="1235">
    <w:name w:val="SCIDI图表标题"/>
    <w:basedOn w:val="1"/>
    <w:qFormat/>
    <w:uiPriority w:val="0"/>
    <w:pPr>
      <w:jc w:val="center"/>
      <w:textAlignment w:val="baseline"/>
    </w:pPr>
    <w:rPr>
      <w:b/>
      <w:snapToGrid w:val="0"/>
      <w:kern w:val="0"/>
    </w:rPr>
  </w:style>
  <w:style w:type="paragraph" w:customStyle="1" w:styleId="1236">
    <w:name w:val="表格02"/>
    <w:basedOn w:val="1"/>
    <w:qFormat/>
    <w:uiPriority w:val="0"/>
    <w:pPr>
      <w:spacing w:line="400" w:lineRule="exact"/>
      <w:jc w:val="center"/>
    </w:pPr>
    <w:rPr>
      <w:snapToGrid w:val="0"/>
      <w:kern w:val="0"/>
      <w:szCs w:val="24"/>
      <w:lang w:val="en-GB"/>
    </w:rPr>
  </w:style>
  <w:style w:type="character" w:customStyle="1" w:styleId="1237">
    <w:name w:val="text01"/>
    <w:qFormat/>
    <w:uiPriority w:val="0"/>
    <w:rPr>
      <w:rFonts w:hint="default" w:ascii="??" w:hAnsi="??"/>
      <w:color w:val="333333"/>
      <w:sz w:val="18"/>
      <w:szCs w:val="18"/>
      <w:u w:val="none"/>
    </w:rPr>
  </w:style>
  <w:style w:type="paragraph" w:customStyle="1" w:styleId="1238">
    <w:name w:val="+正文"/>
    <w:basedOn w:val="1"/>
    <w:link w:val="1239"/>
    <w:qFormat/>
    <w:uiPriority w:val="0"/>
    <w:rPr>
      <w:sz w:val="28"/>
      <w:szCs w:val="28"/>
      <w:lang w:val="zh-CN"/>
    </w:rPr>
  </w:style>
  <w:style w:type="character" w:customStyle="1" w:styleId="1239">
    <w:name w:val="+正文 Char1"/>
    <w:link w:val="1238"/>
    <w:qFormat/>
    <w:uiPriority w:val="0"/>
    <w:rPr>
      <w:kern w:val="2"/>
      <w:sz w:val="28"/>
      <w:szCs w:val="28"/>
      <w:lang w:val="zh-CN"/>
    </w:rPr>
  </w:style>
  <w:style w:type="character" w:customStyle="1" w:styleId="1240">
    <w:name w:val="样式 13 磅 行距: 固定值 23 磅 首行缩进:  2 字符 Char"/>
    <w:link w:val="1241"/>
    <w:qFormat/>
    <w:uiPriority w:val="0"/>
    <w:rPr>
      <w:sz w:val="26"/>
    </w:rPr>
  </w:style>
  <w:style w:type="paragraph" w:customStyle="1" w:styleId="1241">
    <w:name w:val="样式 13 磅 行距: 固定值 23 磅 首行缩进:  2 字符"/>
    <w:basedOn w:val="1"/>
    <w:link w:val="1240"/>
    <w:qFormat/>
    <w:uiPriority w:val="0"/>
    <w:pPr>
      <w:spacing w:line="460" w:lineRule="exact"/>
      <w:ind w:firstLine="520"/>
    </w:pPr>
    <w:rPr>
      <w:kern w:val="0"/>
      <w:sz w:val="26"/>
      <w:szCs w:val="20"/>
    </w:rPr>
  </w:style>
  <w:style w:type="character" w:customStyle="1" w:styleId="1242">
    <w:name w:val="zi1"/>
    <w:qFormat/>
    <w:uiPriority w:val="0"/>
    <w:rPr>
      <w:color w:val="000000"/>
      <w:sz w:val="18"/>
    </w:rPr>
  </w:style>
  <w:style w:type="character" w:customStyle="1" w:styleId="1243">
    <w:name w:val="大纲正文 Char1"/>
    <w:link w:val="1244"/>
    <w:qFormat/>
    <w:uiPriority w:val="0"/>
    <w:rPr>
      <w:sz w:val="24"/>
    </w:rPr>
  </w:style>
  <w:style w:type="paragraph" w:customStyle="1" w:styleId="1244">
    <w:name w:val="大纲正文"/>
    <w:basedOn w:val="1"/>
    <w:link w:val="1243"/>
    <w:qFormat/>
    <w:uiPriority w:val="0"/>
    <w:pPr>
      <w:spacing w:afterLines="50" w:line="300" w:lineRule="auto"/>
      <w:ind w:firstLine="480"/>
    </w:pPr>
    <w:rPr>
      <w:kern w:val="0"/>
      <w:szCs w:val="20"/>
    </w:rPr>
  </w:style>
  <w:style w:type="character" w:customStyle="1" w:styleId="1245">
    <w:name w:val="标题4 Char Char"/>
    <w:qFormat/>
    <w:uiPriority w:val="0"/>
    <w:rPr>
      <w:rFonts w:eastAsia="仿宋_GB2312"/>
      <w:b/>
      <w:snapToGrid w:val="0"/>
      <w:kern w:val="2"/>
      <w:sz w:val="24"/>
      <w:lang w:val="en-US" w:eastAsia="zh-CN"/>
    </w:rPr>
  </w:style>
  <w:style w:type="character" w:customStyle="1" w:styleId="1246">
    <w:name w:val="keyword"/>
    <w:qFormat/>
    <w:uiPriority w:val="0"/>
  </w:style>
  <w:style w:type="character" w:customStyle="1" w:styleId="1247">
    <w:name w:val="样式 宋体 四号 行距: 1.5 倍行距 Char"/>
    <w:link w:val="1248"/>
    <w:qFormat/>
    <w:uiPriority w:val="0"/>
    <w:rPr>
      <w:rFonts w:ascii="宋体" w:hAnsi="宋体"/>
      <w:sz w:val="28"/>
    </w:rPr>
  </w:style>
  <w:style w:type="paragraph" w:customStyle="1" w:styleId="1248">
    <w:name w:val="样式 宋体 四号 行距: 1.5 倍行距"/>
    <w:basedOn w:val="1"/>
    <w:link w:val="1247"/>
    <w:qFormat/>
    <w:uiPriority w:val="0"/>
    <w:pPr>
      <w:spacing w:afterLines="50"/>
      <w:ind w:firstLine="560"/>
    </w:pPr>
    <w:rPr>
      <w:rFonts w:ascii="宋体" w:hAnsi="宋体"/>
      <w:kern w:val="0"/>
      <w:sz w:val="28"/>
      <w:szCs w:val="20"/>
    </w:rPr>
  </w:style>
  <w:style w:type="character" w:customStyle="1" w:styleId="1249">
    <w:name w:val="f14b1"/>
    <w:qFormat/>
    <w:uiPriority w:val="0"/>
    <w:rPr>
      <w:b/>
      <w:sz w:val="21"/>
    </w:rPr>
  </w:style>
  <w:style w:type="character" w:customStyle="1" w:styleId="1250">
    <w:name w:val="newcontentcss1"/>
    <w:qFormat/>
    <w:uiPriority w:val="0"/>
    <w:rPr>
      <w:sz w:val="18"/>
    </w:rPr>
  </w:style>
  <w:style w:type="character" w:customStyle="1" w:styleId="1251">
    <w:name w:val="hei121"/>
    <w:qFormat/>
    <w:uiPriority w:val="0"/>
    <w:rPr>
      <w:sz w:val="18"/>
      <w:u w:val="none"/>
    </w:rPr>
  </w:style>
  <w:style w:type="character" w:customStyle="1" w:styleId="1252">
    <w:name w:val="k1"/>
    <w:qFormat/>
    <w:uiPriority w:val="0"/>
    <w:rPr>
      <w:rFonts w:hint="eastAsia" w:ascii="宋体" w:hAnsi="宋体" w:eastAsia="宋体"/>
      <w:b/>
      <w:color w:val="FF0000"/>
      <w:sz w:val="30"/>
      <w:u w:val="none"/>
    </w:rPr>
  </w:style>
  <w:style w:type="character" w:customStyle="1" w:styleId="1253">
    <w:name w:val="author"/>
    <w:qFormat/>
    <w:uiPriority w:val="0"/>
  </w:style>
  <w:style w:type="character" w:customStyle="1" w:styleId="1254">
    <w:name w:val="样式 左 Char"/>
    <w:link w:val="1255"/>
    <w:qFormat/>
    <w:uiPriority w:val="0"/>
  </w:style>
  <w:style w:type="paragraph" w:customStyle="1" w:styleId="1255">
    <w:name w:val="样式 左"/>
    <w:basedOn w:val="1"/>
    <w:link w:val="1254"/>
    <w:qFormat/>
    <w:uiPriority w:val="0"/>
    <w:pPr>
      <w:spacing w:line="240" w:lineRule="auto"/>
      <w:ind w:firstLine="420"/>
    </w:pPr>
    <w:rPr>
      <w:kern w:val="0"/>
      <w:sz w:val="20"/>
      <w:szCs w:val="20"/>
    </w:rPr>
  </w:style>
  <w:style w:type="paragraph" w:customStyle="1" w:styleId="1256">
    <w:name w:val="Char2 Char Char Char Char Char Char Char Char Char Char Char"/>
    <w:basedOn w:val="1"/>
    <w:qFormat/>
    <w:uiPriority w:val="0"/>
    <w:rPr>
      <w:rFonts w:ascii="宋体" w:hAnsi="宋体"/>
      <w:szCs w:val="20"/>
    </w:rPr>
  </w:style>
  <w:style w:type="paragraph" w:customStyle="1" w:styleId="1257">
    <w:name w:val="Char2 Char Char Char Char Char Char Char Char Char"/>
    <w:basedOn w:val="1"/>
    <w:qFormat/>
    <w:uiPriority w:val="0"/>
    <w:rPr>
      <w:sz w:val="30"/>
      <w:szCs w:val="20"/>
    </w:rPr>
  </w:style>
  <w:style w:type="character" w:customStyle="1" w:styleId="1258">
    <w:name w:val="称呼 字符1"/>
    <w:qFormat/>
    <w:uiPriority w:val="0"/>
    <w:rPr>
      <w:rFonts w:ascii="宋体" w:hAnsi="宋体" w:eastAsia="宋体" w:cs="Times New Roman"/>
      <w:kern w:val="0"/>
      <w:sz w:val="24"/>
      <w:szCs w:val="20"/>
      <w:lang w:val="zh-CN" w:eastAsia="zh-CN"/>
    </w:rPr>
  </w:style>
  <w:style w:type="paragraph" w:customStyle="1" w:styleId="1259">
    <w:name w:val="空行"/>
    <w:basedOn w:val="1"/>
    <w:qFormat/>
    <w:uiPriority w:val="0"/>
    <w:pPr>
      <w:spacing w:line="300" w:lineRule="exact"/>
      <w:ind w:firstLine="482"/>
    </w:pPr>
    <w:rPr>
      <w:rFonts w:eastAsia="仿宋_GB2312"/>
      <w:szCs w:val="20"/>
    </w:rPr>
  </w:style>
  <w:style w:type="paragraph" w:customStyle="1" w:styleId="1260">
    <w:name w:val="样式 标题 3 + 加粗"/>
    <w:basedOn w:val="8"/>
    <w:qFormat/>
    <w:uiPriority w:val="0"/>
    <w:pPr>
      <w:tabs>
        <w:tab w:val="left" w:pos="1440"/>
      </w:tabs>
      <w:spacing w:before="156" w:after="156" w:line="360" w:lineRule="exact"/>
      <w:ind w:firstLine="200" w:firstLineChars="200"/>
    </w:pPr>
    <w:rPr>
      <w:rFonts w:eastAsia="黑体"/>
      <w:b w:val="0"/>
      <w:bCs w:val="0"/>
      <w:sz w:val="24"/>
      <w:szCs w:val="20"/>
    </w:rPr>
  </w:style>
  <w:style w:type="paragraph" w:customStyle="1" w:styleId="1261">
    <w:name w:val="标题 63"/>
    <w:basedOn w:val="1"/>
    <w:qFormat/>
    <w:uiPriority w:val="0"/>
    <w:pPr>
      <w:spacing w:before="100" w:beforeAutospacing="1" w:after="75" w:line="360" w:lineRule="atLeast"/>
      <w:jc w:val="center"/>
      <w:outlineLvl w:val="6"/>
    </w:pPr>
    <w:rPr>
      <w:rFonts w:ascii="宋体" w:hAnsi="宋体"/>
      <w:kern w:val="0"/>
      <w:sz w:val="36"/>
      <w:szCs w:val="20"/>
    </w:rPr>
  </w:style>
  <w:style w:type="paragraph" w:customStyle="1" w:styleId="1262">
    <w:name w:val="样式 标题 2 + 首行缩进:  2 字符"/>
    <w:basedOn w:val="7"/>
    <w:qFormat/>
    <w:uiPriority w:val="0"/>
    <w:pPr>
      <w:spacing w:beforeLines="0" w:afterLines="0" w:line="360" w:lineRule="exact"/>
    </w:pPr>
    <w:rPr>
      <w:rFonts w:ascii="Times New Roman"/>
      <w:bCs w:val="0"/>
      <w:sz w:val="24"/>
      <w:szCs w:val="20"/>
    </w:rPr>
  </w:style>
  <w:style w:type="character" w:customStyle="1" w:styleId="1263">
    <w:name w:val="尾注文本 字符1"/>
    <w:qFormat/>
    <w:uiPriority w:val="0"/>
    <w:rPr>
      <w:rFonts w:ascii="Times New Roman" w:hAnsi="Times New Roman" w:eastAsia="宋体" w:cs="Times New Roman"/>
      <w:sz w:val="30"/>
      <w:szCs w:val="20"/>
      <w:lang w:val="zh-CN" w:eastAsia="zh-CN"/>
    </w:rPr>
  </w:style>
  <w:style w:type="paragraph" w:customStyle="1" w:styleId="1264">
    <w:name w:val="标书标题1"/>
    <w:basedOn w:val="6"/>
    <w:qFormat/>
    <w:uiPriority w:val="0"/>
    <w:pPr>
      <w:keepNext w:val="0"/>
      <w:keepLines w:val="0"/>
      <w:tabs>
        <w:tab w:val="left" w:pos="1280"/>
      </w:tabs>
      <w:spacing w:before="480" w:after="240"/>
      <w:ind w:left="1280" w:hanging="720"/>
    </w:pPr>
    <w:rPr>
      <w:rFonts w:ascii="Arial Narrow" w:hAnsi="Arial Narrow"/>
      <w:snapToGrid w:val="0"/>
      <w:kern w:val="0"/>
      <w:sz w:val="30"/>
      <w:szCs w:val="20"/>
    </w:rPr>
  </w:style>
  <w:style w:type="paragraph" w:customStyle="1" w:styleId="1265">
    <w:name w:val="序号（1）"/>
    <w:basedOn w:val="1"/>
    <w:qFormat/>
    <w:uiPriority w:val="0"/>
    <w:pPr>
      <w:tabs>
        <w:tab w:val="left" w:pos="0"/>
        <w:tab w:val="left" w:pos="927"/>
      </w:tabs>
      <w:ind w:firstLine="567"/>
    </w:pPr>
    <w:rPr>
      <w:sz w:val="28"/>
      <w:szCs w:val="20"/>
    </w:rPr>
  </w:style>
  <w:style w:type="paragraph" w:customStyle="1" w:styleId="1266">
    <w:name w:val="样式 右侧:  0.2 厘米 段前: 2.5 磅"/>
    <w:basedOn w:val="1"/>
    <w:qFormat/>
    <w:uiPriority w:val="0"/>
    <w:pPr>
      <w:spacing w:before="120" w:line="360" w:lineRule="exact"/>
      <w:ind w:firstLine="225"/>
    </w:pPr>
    <w:rPr>
      <w:rFonts w:eastAsia="仿宋_GB2312"/>
      <w:szCs w:val="20"/>
    </w:rPr>
  </w:style>
  <w:style w:type="paragraph" w:customStyle="1" w:styleId="1267">
    <w:name w:val="图框"/>
    <w:basedOn w:val="1"/>
    <w:next w:val="1"/>
    <w:qFormat/>
    <w:uiPriority w:val="0"/>
    <w:pPr>
      <w:spacing w:line="320" w:lineRule="exact"/>
      <w:jc w:val="center"/>
    </w:pPr>
    <w:rPr>
      <w:sz w:val="21"/>
      <w:szCs w:val="20"/>
    </w:rPr>
  </w:style>
  <w:style w:type="paragraph" w:customStyle="1" w:styleId="1268">
    <w:name w:val="样式 样式4 + 段前: 0.5 行"/>
    <w:basedOn w:val="605"/>
    <w:qFormat/>
    <w:uiPriority w:val="0"/>
    <w:pPr>
      <w:keepNext w:val="0"/>
      <w:keepLines w:val="0"/>
      <w:tabs>
        <w:tab w:val="left" w:pos="567"/>
      </w:tabs>
      <w:spacing w:beforeLines="50" w:line="480" w:lineRule="exact"/>
      <w:jc w:val="center"/>
      <w:outlineLvl w:val="4"/>
    </w:pPr>
    <w:rPr>
      <w:rFonts w:ascii="Times New Roman" w:hAnsi="Times New Roman"/>
      <w:bCs w:val="0"/>
      <w:snapToGrid w:val="0"/>
      <w:sz w:val="26"/>
      <w:szCs w:val="20"/>
    </w:rPr>
  </w:style>
  <w:style w:type="paragraph" w:customStyle="1" w:styleId="1269">
    <w:name w:val="样式 标题 4 + 左侧:  1.48 厘米 首行缩进:  0 厘米"/>
    <w:basedOn w:val="9"/>
    <w:qFormat/>
    <w:uiPriority w:val="0"/>
    <w:pPr>
      <w:keepNext/>
      <w:keepLines/>
      <w:spacing w:beforeLines="50" w:after="50" w:line="360" w:lineRule="exact"/>
    </w:pPr>
    <w:rPr>
      <w:rFonts w:eastAsia="仿宋_GB2312"/>
      <w:lang w:val="zh-CN"/>
    </w:rPr>
  </w:style>
  <w:style w:type="paragraph" w:customStyle="1" w:styleId="1270">
    <w:name w:val="样式 正文缩进 + 宋体 小四"/>
    <w:basedOn w:val="13"/>
    <w:qFormat/>
    <w:uiPriority w:val="0"/>
    <w:pPr>
      <w:spacing w:beforeLines="50" w:afterLines="50" w:line="360" w:lineRule="exact"/>
      <w:ind w:firstLine="200" w:firstLineChars="200"/>
    </w:pPr>
    <w:rPr>
      <w:rFonts w:ascii="Calibri" w:hAnsi="Calibri" w:eastAsia="仿宋_GB2312"/>
      <w:sz w:val="24"/>
    </w:rPr>
  </w:style>
  <w:style w:type="paragraph" w:customStyle="1" w:styleId="1271">
    <w:name w:val="标书标题2"/>
    <w:basedOn w:val="7"/>
    <w:qFormat/>
    <w:uiPriority w:val="0"/>
    <w:pPr>
      <w:keepNext w:val="0"/>
      <w:keepLines w:val="0"/>
      <w:tabs>
        <w:tab w:val="left" w:pos="574"/>
        <w:tab w:val="left" w:pos="1400"/>
      </w:tabs>
      <w:spacing w:beforeLines="0" w:afterLines="0" w:line="300" w:lineRule="auto"/>
      <w:ind w:left="1400" w:hanging="420"/>
    </w:pPr>
    <w:rPr>
      <w:rFonts w:ascii="Arial Narrow" w:hAnsi="Arial Narrow"/>
      <w:bCs w:val="0"/>
      <w:kern w:val="0"/>
      <w:sz w:val="28"/>
      <w:szCs w:val="20"/>
    </w:rPr>
  </w:style>
  <w:style w:type="paragraph" w:customStyle="1" w:styleId="1272">
    <w:name w:val="正文（表格）"/>
    <w:basedOn w:val="1"/>
    <w:qFormat/>
    <w:uiPriority w:val="0"/>
    <w:pPr>
      <w:spacing w:line="240" w:lineRule="auto"/>
      <w:jc w:val="center"/>
    </w:pPr>
    <w:rPr>
      <w:sz w:val="21"/>
      <w:szCs w:val="20"/>
    </w:rPr>
  </w:style>
  <w:style w:type="paragraph" w:customStyle="1" w:styleId="1273">
    <w:name w:val="图表名"/>
    <w:basedOn w:val="1"/>
    <w:qFormat/>
    <w:uiPriority w:val="0"/>
    <w:pPr>
      <w:spacing w:before="120" w:line="360" w:lineRule="exact"/>
      <w:ind w:firstLine="482"/>
      <w:jc w:val="center"/>
    </w:pPr>
    <w:rPr>
      <w:rFonts w:eastAsia="仿宋_GB2312"/>
      <w:b/>
      <w:szCs w:val="20"/>
    </w:rPr>
  </w:style>
  <w:style w:type="paragraph" w:customStyle="1" w:styleId="1274">
    <w:name w:val="样式 表文 + 首行缩进:  2 字符"/>
    <w:basedOn w:val="1"/>
    <w:qFormat/>
    <w:uiPriority w:val="0"/>
    <w:pPr>
      <w:tabs>
        <w:tab w:val="left" w:pos="662"/>
      </w:tabs>
      <w:overflowPunct w:val="0"/>
      <w:spacing w:line="240" w:lineRule="auto"/>
      <w:jc w:val="center"/>
      <w:textAlignment w:val="baseline"/>
    </w:pPr>
    <w:rPr>
      <w:color w:val="000000"/>
      <w:sz w:val="21"/>
      <w:szCs w:val="20"/>
    </w:rPr>
  </w:style>
  <w:style w:type="paragraph" w:customStyle="1" w:styleId="1275">
    <w:name w:val="标书标题3"/>
    <w:basedOn w:val="8"/>
    <w:qFormat/>
    <w:uiPriority w:val="0"/>
    <w:pPr>
      <w:keepNext w:val="0"/>
      <w:keepLines w:val="0"/>
      <w:tabs>
        <w:tab w:val="left" w:pos="1820"/>
      </w:tabs>
      <w:spacing w:beforeLines="0" w:afterLines="0" w:line="300" w:lineRule="auto"/>
      <w:ind w:left="1820" w:hanging="420"/>
    </w:pPr>
    <w:rPr>
      <w:rFonts w:ascii="Arial Narrow" w:hAnsi="Arial Narrow" w:eastAsia="仿宋_GB2312"/>
      <w:bCs w:val="0"/>
      <w:kern w:val="0"/>
      <w:szCs w:val="20"/>
    </w:rPr>
  </w:style>
  <w:style w:type="paragraph" w:customStyle="1" w:styleId="1276">
    <w:name w:val="新标题样式"/>
    <w:basedOn w:val="1"/>
    <w:qFormat/>
    <w:uiPriority w:val="0"/>
    <w:pPr>
      <w:tabs>
        <w:tab w:val="left" w:pos="567"/>
      </w:tabs>
    </w:pPr>
    <w:rPr>
      <w:rFonts w:ascii="黑体" w:eastAsia="黑体"/>
      <w:b/>
      <w:spacing w:val="20"/>
      <w:szCs w:val="20"/>
    </w:rPr>
  </w:style>
  <w:style w:type="paragraph" w:customStyle="1" w:styleId="1277">
    <w:name w:val="样式 表 + 加粗"/>
    <w:basedOn w:val="1"/>
    <w:qFormat/>
    <w:uiPriority w:val="0"/>
    <w:pPr>
      <w:autoSpaceDE w:val="0"/>
      <w:autoSpaceDN w:val="0"/>
      <w:spacing w:before="120" w:line="360" w:lineRule="exact"/>
      <w:ind w:firstLine="539"/>
      <w:jc w:val="center"/>
      <w:textAlignment w:val="bottom"/>
      <w:outlineLvl w:val="6"/>
    </w:pPr>
    <w:rPr>
      <w:rFonts w:eastAsia="仿宋_GB2312"/>
      <w:b/>
      <w:szCs w:val="20"/>
    </w:rPr>
  </w:style>
  <w:style w:type="paragraph" w:customStyle="1" w:styleId="1278">
    <w:name w:val="表头及表尾"/>
    <w:qFormat/>
    <w:uiPriority w:val="0"/>
    <w:pPr>
      <w:tabs>
        <w:tab w:val="center" w:pos="4200"/>
        <w:tab w:val="right" w:pos="8400"/>
      </w:tabs>
      <w:adjustRightInd w:val="0"/>
      <w:snapToGrid w:val="0"/>
      <w:spacing w:line="360" w:lineRule="auto"/>
    </w:pPr>
    <w:rPr>
      <w:rFonts w:ascii="Times New Roman" w:hAnsi="Times New Roman" w:eastAsia="宋体" w:cs="Times New Roman"/>
      <w:b/>
      <w:snapToGrid w:val="0"/>
      <w:sz w:val="21"/>
      <w:szCs w:val="21"/>
      <w:lang w:val="en-US" w:eastAsia="zh-CN" w:bidi="ar-SA"/>
    </w:rPr>
  </w:style>
  <w:style w:type="paragraph" w:customStyle="1" w:styleId="1279">
    <w:name w:val="样式 段前: 7.8 磅 段后: 7.8 磅"/>
    <w:basedOn w:val="1"/>
    <w:qFormat/>
    <w:uiPriority w:val="0"/>
    <w:pPr>
      <w:spacing w:before="156" w:after="156" w:line="460" w:lineRule="exact"/>
    </w:pPr>
    <w:rPr>
      <w:rFonts w:cs="宋体"/>
      <w:szCs w:val="24"/>
    </w:rPr>
  </w:style>
  <w:style w:type="character" w:customStyle="1" w:styleId="1280">
    <w:name w:val="Char Char26"/>
    <w:qFormat/>
    <w:uiPriority w:val="0"/>
    <w:rPr>
      <w:rFonts w:eastAsia="宋体"/>
      <w:b/>
      <w:kern w:val="2"/>
      <w:sz w:val="32"/>
      <w:lang w:val="en-US" w:eastAsia="zh-CN" w:bidi="ar-SA"/>
    </w:rPr>
  </w:style>
  <w:style w:type="paragraph" w:customStyle="1" w:styleId="1281">
    <w:name w:val="表格标题新"/>
    <w:basedOn w:val="1"/>
    <w:link w:val="1282"/>
    <w:qFormat/>
    <w:uiPriority w:val="0"/>
    <w:pPr>
      <w:tabs>
        <w:tab w:val="left" w:pos="0"/>
      </w:tabs>
      <w:spacing w:beforeLines="50" w:line="240" w:lineRule="auto"/>
      <w:ind w:firstLine="562"/>
      <w:jc w:val="center"/>
    </w:pPr>
    <w:rPr>
      <w:rFonts w:ascii="仿宋_GB2312" w:hAnsi="宋体" w:eastAsia="黑体"/>
      <w:b/>
      <w:snapToGrid w:val="0"/>
      <w:kern w:val="0"/>
      <w:szCs w:val="24"/>
      <w:lang w:val="zh-CN"/>
    </w:rPr>
  </w:style>
  <w:style w:type="character" w:customStyle="1" w:styleId="1282">
    <w:name w:val="表格标题新 Char"/>
    <w:link w:val="1281"/>
    <w:qFormat/>
    <w:uiPriority w:val="0"/>
    <w:rPr>
      <w:rFonts w:ascii="仿宋_GB2312" w:hAnsi="宋体" w:eastAsia="黑体"/>
      <w:b/>
      <w:snapToGrid w:val="0"/>
      <w:sz w:val="24"/>
      <w:szCs w:val="24"/>
      <w:lang w:val="zh-CN"/>
    </w:rPr>
  </w:style>
  <w:style w:type="paragraph" w:customStyle="1" w:styleId="1283">
    <w:name w:val="正文文字 3"/>
    <w:basedOn w:val="1"/>
    <w:qFormat/>
    <w:uiPriority w:val="0"/>
    <w:pPr>
      <w:spacing w:line="280" w:lineRule="exact"/>
      <w:jc w:val="center"/>
    </w:pPr>
    <w:rPr>
      <w:rFonts w:ascii="仿宋_GB2312" w:hAnsi="Arial Black" w:eastAsia="仿宋_GB2312" w:cs="仿宋_GB2312"/>
      <w:sz w:val="21"/>
    </w:rPr>
  </w:style>
  <w:style w:type="paragraph" w:customStyle="1" w:styleId="1284">
    <w:name w:val="字元 字元"/>
    <w:basedOn w:val="1"/>
    <w:qFormat/>
    <w:uiPriority w:val="0"/>
    <w:pPr>
      <w:spacing w:line="240" w:lineRule="auto"/>
    </w:pPr>
    <w:rPr>
      <w:szCs w:val="24"/>
    </w:rPr>
  </w:style>
  <w:style w:type="paragraph" w:customStyle="1" w:styleId="1285">
    <w:name w:val="字元 字元1"/>
    <w:basedOn w:val="1"/>
    <w:semiHidden/>
    <w:qFormat/>
    <w:uiPriority w:val="0"/>
    <w:rPr>
      <w:szCs w:val="24"/>
    </w:rPr>
  </w:style>
  <w:style w:type="paragraph" w:customStyle="1" w:styleId="1286">
    <w:name w:val="样式2新"/>
    <w:basedOn w:val="7"/>
    <w:next w:val="1287"/>
    <w:qFormat/>
    <w:uiPriority w:val="0"/>
    <w:pPr>
      <w:spacing w:beforeLines="0" w:afterLines="0" w:line="240" w:lineRule="auto"/>
      <w:jc w:val="both"/>
    </w:pPr>
    <w:rPr>
      <w:rFonts w:ascii="Times New Roman" w:eastAsia="宋体"/>
      <w:sz w:val="32"/>
      <w:szCs w:val="30"/>
    </w:rPr>
  </w:style>
  <w:style w:type="paragraph" w:customStyle="1" w:styleId="1287">
    <w:name w:val="样式3新"/>
    <w:basedOn w:val="8"/>
    <w:next w:val="13"/>
    <w:qFormat/>
    <w:uiPriority w:val="0"/>
    <w:pPr>
      <w:spacing w:beforeLines="0" w:afterLines="0" w:line="360" w:lineRule="auto"/>
      <w:jc w:val="both"/>
    </w:pPr>
    <w:rPr>
      <w:rFonts w:eastAsia="Times New Roman"/>
      <w:sz w:val="30"/>
      <w:szCs w:val="24"/>
    </w:rPr>
  </w:style>
  <w:style w:type="paragraph" w:customStyle="1" w:styleId="1288">
    <w:name w:val="样式 标题 2 + 楷体_GB2312 四号 段前: 7.8 磅"/>
    <w:basedOn w:val="7"/>
    <w:qFormat/>
    <w:uiPriority w:val="0"/>
    <w:pPr>
      <w:spacing w:beforeLines="0" w:beforeAutospacing="1" w:afterLines="0" w:afterAutospacing="1" w:line="415" w:lineRule="auto"/>
    </w:pPr>
    <w:rPr>
      <w:rFonts w:ascii="楷体_GB2312" w:hAnsi="Arial" w:eastAsia="楷体_GB2312" w:cs="宋体"/>
      <w:sz w:val="28"/>
      <w:szCs w:val="20"/>
    </w:rPr>
  </w:style>
  <w:style w:type="character" w:customStyle="1" w:styleId="1289">
    <w:name w:val="headline-content2"/>
    <w:qFormat/>
    <w:uiPriority w:val="0"/>
  </w:style>
  <w:style w:type="paragraph" w:customStyle="1" w:styleId="1290">
    <w:name w:val="List Paragraph1"/>
    <w:basedOn w:val="1"/>
    <w:qFormat/>
    <w:uiPriority w:val="0"/>
    <w:pPr>
      <w:ind w:firstLine="420"/>
    </w:pPr>
  </w:style>
  <w:style w:type="paragraph" w:customStyle="1" w:styleId="1291">
    <w:name w:val="黏贴"/>
    <w:link w:val="1292"/>
    <w:semiHidden/>
    <w:qFormat/>
    <w:uiPriority w:val="0"/>
    <w:pPr>
      <w:spacing w:line="360" w:lineRule="auto"/>
    </w:pPr>
    <w:rPr>
      <w:rFonts w:ascii="Times New Roman" w:hAnsi="Times New Roman" w:eastAsia="宋体" w:cs="Times New Roman"/>
      <w:kern w:val="2"/>
      <w:sz w:val="18"/>
      <w:szCs w:val="24"/>
      <w:lang w:val="en-US" w:eastAsia="zh-CN" w:bidi="ar-SA"/>
    </w:rPr>
  </w:style>
  <w:style w:type="character" w:customStyle="1" w:styleId="1292">
    <w:name w:val="黏贴 Char"/>
    <w:link w:val="1291"/>
    <w:semiHidden/>
    <w:qFormat/>
    <w:uiPriority w:val="0"/>
    <w:rPr>
      <w:kern w:val="2"/>
      <w:sz w:val="18"/>
      <w:szCs w:val="24"/>
      <w:lang w:bidi="ar-SA"/>
    </w:rPr>
  </w:style>
  <w:style w:type="paragraph" w:customStyle="1" w:styleId="1293">
    <w:name w:val="reader-word-layer reader-word-s2-12"/>
    <w:basedOn w:val="1"/>
    <w:qFormat/>
    <w:uiPriority w:val="0"/>
    <w:pPr>
      <w:spacing w:before="100" w:beforeAutospacing="1" w:after="100" w:afterAutospacing="1" w:line="240" w:lineRule="auto"/>
    </w:pPr>
    <w:rPr>
      <w:rFonts w:ascii="宋体" w:hAnsi="宋体" w:cs="宋体"/>
      <w:kern w:val="0"/>
      <w:szCs w:val="24"/>
    </w:rPr>
  </w:style>
  <w:style w:type="paragraph" w:customStyle="1" w:styleId="1294">
    <w:name w:val="Char Char Char Char Char Char Char Char Char1 Char Char Char Char"/>
    <w:basedOn w:val="1"/>
    <w:qFormat/>
    <w:uiPriority w:val="0"/>
    <w:rPr>
      <w:rFonts w:ascii="宋体" w:hAnsi="宋体" w:cs="宋体"/>
      <w:szCs w:val="26"/>
    </w:rPr>
  </w:style>
  <w:style w:type="character" w:customStyle="1" w:styleId="1295">
    <w:name w:val="正文（首行缩进两字） Char Char Char Char Char Char Char Char Char Char Char Char Char Char Char Char Char Char Char Char Char Char Char Char Char Char Char Char Char Char Char Char Char Char Char Char Char Char Char Char Char Char Char Char Char Char2"/>
    <w:qFormat/>
    <w:uiPriority w:val="0"/>
    <w:rPr>
      <w:rFonts w:eastAsia="宋体"/>
      <w:kern w:val="2"/>
      <w:sz w:val="28"/>
      <w:lang w:val="en-US" w:eastAsia="zh-CN" w:bidi="ar-SA"/>
    </w:rPr>
  </w:style>
  <w:style w:type="paragraph" w:customStyle="1" w:styleId="1296">
    <w:name w:val="正文 缩进2"/>
    <w:basedOn w:val="1"/>
    <w:link w:val="1297"/>
    <w:qFormat/>
    <w:uiPriority w:val="0"/>
    <w:pPr>
      <w:spacing w:line="520" w:lineRule="exact"/>
    </w:pPr>
    <w:rPr>
      <w:szCs w:val="32"/>
      <w:lang w:val="zh-CN"/>
    </w:rPr>
  </w:style>
  <w:style w:type="character" w:customStyle="1" w:styleId="1297">
    <w:name w:val="正文 缩进2 Char"/>
    <w:link w:val="1296"/>
    <w:qFormat/>
    <w:uiPriority w:val="0"/>
    <w:rPr>
      <w:kern w:val="2"/>
      <w:sz w:val="24"/>
      <w:szCs w:val="32"/>
      <w:lang w:val="zh-CN"/>
    </w:rPr>
  </w:style>
  <w:style w:type="character" w:customStyle="1" w:styleId="1298">
    <w:name w:val="工艺流程 Char Char"/>
    <w:link w:val="1299"/>
    <w:qFormat/>
    <w:uiPriority w:val="0"/>
    <w:rPr>
      <w:rFonts w:ascii="黑体" w:hAnsi="黑体" w:eastAsia="黑体"/>
      <w:bCs/>
      <w:szCs w:val="21"/>
    </w:rPr>
  </w:style>
  <w:style w:type="paragraph" w:customStyle="1" w:styleId="1299">
    <w:name w:val="工艺流程"/>
    <w:basedOn w:val="1"/>
    <w:next w:val="1"/>
    <w:link w:val="1298"/>
    <w:qFormat/>
    <w:uiPriority w:val="0"/>
    <w:pPr>
      <w:tabs>
        <w:tab w:val="left" w:pos="7380"/>
      </w:tabs>
      <w:spacing w:line="0" w:lineRule="atLeast"/>
      <w:jc w:val="center"/>
    </w:pPr>
    <w:rPr>
      <w:rFonts w:ascii="黑体" w:hAnsi="黑体" w:eastAsia="黑体"/>
      <w:bCs/>
      <w:kern w:val="0"/>
      <w:sz w:val="20"/>
    </w:rPr>
  </w:style>
  <w:style w:type="paragraph" w:customStyle="1" w:styleId="1300">
    <w:name w:val="页脚msy"/>
    <w:qFormat/>
    <w:uiPriority w:val="0"/>
    <w:pPr>
      <w:pBdr>
        <w:top w:val="single" w:color="auto" w:sz="4" w:space="1"/>
      </w:pBdr>
      <w:adjustRightInd w:val="0"/>
      <w:snapToGrid w:val="0"/>
      <w:spacing w:line="360" w:lineRule="auto"/>
      <w:jc w:val="center"/>
    </w:pPr>
    <w:rPr>
      <w:rFonts w:ascii="Times New Roman" w:hAnsi="Times New Roman" w:eastAsia="宋体" w:cs="Times New Roman"/>
      <w:kern w:val="2"/>
      <w:sz w:val="22"/>
      <w:szCs w:val="22"/>
      <w:lang w:val="en-US" w:eastAsia="zh-CN" w:bidi="ar-SA"/>
    </w:rPr>
  </w:style>
  <w:style w:type="character" w:customStyle="1" w:styleId="1301">
    <w:name w:val="表格小 Char Char"/>
    <w:qFormat/>
    <w:uiPriority w:val="0"/>
    <w:rPr>
      <w:kern w:val="0"/>
      <w:sz w:val="18"/>
    </w:rPr>
  </w:style>
  <w:style w:type="character" w:customStyle="1" w:styleId="1302">
    <w:name w:val="表格样式 Char"/>
    <w:qFormat/>
    <w:uiPriority w:val="0"/>
    <w:rPr>
      <w:rFonts w:ascii="Times New Roman" w:hAnsi="Times New Roman"/>
      <w:kern w:val="2"/>
      <w:sz w:val="22"/>
      <w:szCs w:val="22"/>
    </w:rPr>
  </w:style>
  <w:style w:type="paragraph" w:customStyle="1" w:styleId="1303">
    <w:name w:val="样式 标题 6图标题 6（修改）标题8H6H61 + (符号) 宋体 蓝色"/>
    <w:basedOn w:val="909"/>
    <w:next w:val="896"/>
    <w:qFormat/>
    <w:uiPriority w:val="0"/>
    <w:pPr>
      <w:ind w:left="420" w:hanging="420"/>
    </w:pPr>
    <w:rPr>
      <w:color w:val="0000FF"/>
    </w:rPr>
  </w:style>
  <w:style w:type="character" w:customStyle="1" w:styleId="1304">
    <w:name w:val="样式 宋体 四号 行距: 1.5 倍行距 Char Char"/>
    <w:qFormat/>
    <w:uiPriority w:val="0"/>
    <w:rPr>
      <w:rFonts w:ascii="宋体" w:hAnsi="宋体" w:eastAsia="宋体" w:cs="宋体"/>
      <w:sz w:val="28"/>
    </w:rPr>
  </w:style>
  <w:style w:type="character" w:customStyle="1" w:styleId="1305">
    <w:name w:val="样式 样式 宋体 四号 行距: 1.5 倍行距 + Times New Roman1 Char Char"/>
    <w:link w:val="1306"/>
    <w:qFormat/>
    <w:uiPriority w:val="0"/>
  </w:style>
  <w:style w:type="paragraph" w:customStyle="1" w:styleId="1306">
    <w:name w:val="样式 样式 宋体 四号 行距: 1.5 倍行距 + Times New Roman1"/>
    <w:basedOn w:val="1248"/>
    <w:link w:val="1305"/>
    <w:qFormat/>
    <w:uiPriority w:val="0"/>
    <w:pPr>
      <w:spacing w:afterLines="0"/>
      <w:ind w:firstLine="200"/>
    </w:pPr>
    <w:rPr>
      <w:rFonts w:ascii="Times New Roman" w:hAnsi="Times New Roman"/>
      <w:sz w:val="20"/>
    </w:rPr>
  </w:style>
  <w:style w:type="character" w:customStyle="1" w:styleId="1307">
    <w:name w:val="批注主题 字符1"/>
    <w:qFormat/>
    <w:uiPriority w:val="99"/>
    <w:rPr>
      <w:rFonts w:ascii="Times New Roman" w:hAnsi="Times New Roman" w:eastAsia="宋体" w:cs="Times New Roman"/>
      <w:b/>
      <w:bCs/>
      <w:szCs w:val="24"/>
      <w:lang w:val="zh-CN" w:eastAsia="zh-CN"/>
    </w:rPr>
  </w:style>
  <w:style w:type="character" w:customStyle="1" w:styleId="1308">
    <w:name w:val="批注框文本 字符1"/>
    <w:qFormat/>
    <w:uiPriority w:val="99"/>
    <w:rPr>
      <w:rFonts w:ascii="Times New Roman" w:hAnsi="Times New Roman" w:eastAsia="宋体" w:cs="Times New Roman"/>
      <w:sz w:val="18"/>
      <w:szCs w:val="18"/>
    </w:rPr>
  </w:style>
  <w:style w:type="character" w:customStyle="1" w:styleId="1309">
    <w:name w:val="正文文本 2 字符1"/>
    <w:qFormat/>
    <w:uiPriority w:val="0"/>
    <w:rPr>
      <w:rFonts w:ascii="宋体" w:hAnsi="宋体" w:eastAsia="宋体" w:cs="Times New Roman"/>
      <w:b/>
      <w:bCs/>
      <w:kern w:val="0"/>
      <w:sz w:val="24"/>
      <w:szCs w:val="24"/>
    </w:rPr>
  </w:style>
  <w:style w:type="character" w:customStyle="1" w:styleId="1310">
    <w:name w:val="正文文本缩进 3 字符1"/>
    <w:qFormat/>
    <w:uiPriority w:val="0"/>
    <w:rPr>
      <w:rFonts w:ascii="宋体" w:hAnsi="宋体" w:eastAsia="宋体" w:cs="Times New Roman"/>
      <w:b/>
      <w:bCs/>
      <w:sz w:val="28"/>
      <w:szCs w:val="24"/>
    </w:rPr>
  </w:style>
  <w:style w:type="character" w:customStyle="1" w:styleId="1311">
    <w:name w:val="正文文本 3 字符1"/>
    <w:qFormat/>
    <w:uiPriority w:val="0"/>
    <w:rPr>
      <w:rFonts w:ascii="宋体" w:hAnsi="宋体" w:eastAsia="宋体" w:cs="Times New Roman"/>
      <w:b/>
      <w:bCs/>
      <w:szCs w:val="24"/>
    </w:rPr>
  </w:style>
  <w:style w:type="character" w:customStyle="1" w:styleId="1312">
    <w:name w:val="HTML 预设格式 字符1"/>
    <w:qFormat/>
    <w:uiPriority w:val="0"/>
    <w:rPr>
      <w:rFonts w:ascii="宋体" w:hAnsi="宋体" w:eastAsia="宋体" w:cs="Times New Roman"/>
      <w:color w:val="000000"/>
      <w:kern w:val="0"/>
      <w:szCs w:val="21"/>
    </w:rPr>
  </w:style>
  <w:style w:type="character" w:customStyle="1" w:styleId="1313">
    <w:name w:val="脚注文本 字符1"/>
    <w:qFormat/>
    <w:uiPriority w:val="0"/>
    <w:rPr>
      <w:rFonts w:ascii="Times New Roman" w:hAnsi="Times New Roman" w:eastAsia="宋体" w:cs="Times New Roman"/>
      <w:sz w:val="18"/>
      <w:szCs w:val="18"/>
    </w:rPr>
  </w:style>
  <w:style w:type="character" w:customStyle="1" w:styleId="1314">
    <w:name w:val="未处理的提及3"/>
    <w:basedOn w:val="81"/>
    <w:unhideWhenUsed/>
    <w:qFormat/>
    <w:uiPriority w:val="99"/>
    <w:rPr>
      <w:color w:val="605E5C"/>
      <w:shd w:val="clear" w:color="auto" w:fill="E1DFDD"/>
    </w:rPr>
  </w:style>
  <w:style w:type="character" w:customStyle="1" w:styleId="1315">
    <w:name w:val="标题 1 Char"/>
    <w:qFormat/>
    <w:uiPriority w:val="0"/>
    <w:rPr>
      <w:rFonts w:ascii="Cambria" w:hAnsi="Cambria" w:eastAsia="黑体" w:cs="Times New Roman"/>
      <w:b/>
      <w:kern w:val="0"/>
      <w:sz w:val="32"/>
      <w:szCs w:val="28"/>
    </w:rPr>
  </w:style>
  <w:style w:type="paragraph" w:customStyle="1" w:styleId="1316">
    <w:name w:val="3级标题"/>
    <w:basedOn w:val="1"/>
    <w:qFormat/>
    <w:uiPriority w:val="0"/>
    <w:pPr>
      <w:spacing w:before="300" w:line="460" w:lineRule="exact"/>
      <w:ind w:firstLine="200" w:firstLineChars="200"/>
      <w:jc w:val="both"/>
      <w:outlineLvl w:val="2"/>
    </w:pPr>
    <w:rPr>
      <w:rFonts w:ascii="宋体"/>
      <w:b/>
      <w:kern w:val="0"/>
      <w:szCs w:val="20"/>
    </w:rPr>
  </w:style>
  <w:style w:type="character" w:customStyle="1" w:styleId="1317">
    <w:name w:val="标题 3 Char"/>
    <w:qFormat/>
    <w:uiPriority w:val="0"/>
    <w:rPr>
      <w:rFonts w:ascii="Times New Roman" w:hAnsi="Times New Roman" w:eastAsia="宋体" w:cs="Times New Roman"/>
      <w:bCs/>
      <w:kern w:val="0"/>
      <w:sz w:val="28"/>
      <w:szCs w:val="32"/>
      <w:lang w:eastAsia="en-US"/>
    </w:rPr>
  </w:style>
  <w:style w:type="character" w:customStyle="1" w:styleId="1318">
    <w:name w:val="标题 4 Char"/>
    <w:qFormat/>
    <w:uiPriority w:val="0"/>
    <w:rPr>
      <w:rFonts w:ascii="Arial" w:hAnsi="Arial" w:eastAsia="黑体" w:cs="Times New Roman"/>
      <w:bCs/>
      <w:sz w:val="24"/>
      <w:szCs w:val="28"/>
    </w:rPr>
  </w:style>
  <w:style w:type="character" w:customStyle="1" w:styleId="1319">
    <w:name w:val="标题 5 Char"/>
    <w:qFormat/>
    <w:uiPriority w:val="0"/>
    <w:rPr>
      <w:rFonts w:ascii="Cambria" w:hAnsi="Cambria" w:eastAsia="宋体" w:cs="Times New Roman"/>
      <w:color w:val="243F60"/>
      <w:kern w:val="0"/>
      <w:sz w:val="24"/>
      <w:lang w:eastAsia="en-US"/>
    </w:rPr>
  </w:style>
  <w:style w:type="character" w:customStyle="1" w:styleId="1320">
    <w:name w:val="标题 6 Char"/>
    <w:qFormat/>
    <w:uiPriority w:val="0"/>
    <w:rPr>
      <w:rFonts w:ascii="Cambria" w:hAnsi="Cambria" w:eastAsia="宋体" w:cs="Times New Roman"/>
      <w:i/>
      <w:iCs/>
      <w:color w:val="243F60"/>
      <w:kern w:val="0"/>
      <w:sz w:val="24"/>
      <w:lang w:eastAsia="en-US"/>
    </w:rPr>
  </w:style>
  <w:style w:type="character" w:customStyle="1" w:styleId="1321">
    <w:name w:val="标题 7 Char"/>
    <w:qFormat/>
    <w:uiPriority w:val="0"/>
    <w:rPr>
      <w:rFonts w:ascii="Cambria" w:hAnsi="Cambria" w:eastAsia="宋体" w:cs="Times New Roman"/>
      <w:i/>
      <w:iCs/>
      <w:color w:val="404040"/>
      <w:kern w:val="0"/>
      <w:sz w:val="24"/>
      <w:lang w:eastAsia="en-US"/>
    </w:rPr>
  </w:style>
  <w:style w:type="character" w:customStyle="1" w:styleId="1322">
    <w:name w:val="标题 8 Char"/>
    <w:qFormat/>
    <w:uiPriority w:val="0"/>
    <w:rPr>
      <w:rFonts w:ascii="Cambria" w:hAnsi="Cambria" w:eastAsia="宋体" w:cs="Times New Roman"/>
      <w:color w:val="4F81BD"/>
      <w:kern w:val="0"/>
      <w:sz w:val="20"/>
      <w:szCs w:val="20"/>
      <w:lang w:eastAsia="en-US"/>
    </w:rPr>
  </w:style>
  <w:style w:type="character" w:customStyle="1" w:styleId="1323">
    <w:name w:val="标题 9 Char"/>
    <w:qFormat/>
    <w:uiPriority w:val="0"/>
    <w:rPr>
      <w:rFonts w:ascii="Cambria" w:hAnsi="Cambria" w:eastAsia="宋体" w:cs="Times New Roman"/>
      <w:i/>
      <w:iCs/>
      <w:color w:val="404040"/>
      <w:kern w:val="0"/>
      <w:sz w:val="20"/>
      <w:szCs w:val="20"/>
      <w:lang w:eastAsia="en-US"/>
    </w:rPr>
  </w:style>
  <w:style w:type="paragraph" w:customStyle="1" w:styleId="1324">
    <w:name w:val="Char1 Char Char Char2"/>
    <w:basedOn w:val="1"/>
    <w:semiHidden/>
    <w:qFormat/>
    <w:uiPriority w:val="0"/>
    <w:pPr>
      <w:widowControl w:val="0"/>
      <w:ind w:firstLine="200" w:firstLineChars="200"/>
      <w:jc w:val="both"/>
    </w:pPr>
    <w:rPr>
      <w:rFonts w:ascii="宋体" w:hAnsi="宋体" w:cs="宋体"/>
      <w:szCs w:val="26"/>
    </w:rPr>
  </w:style>
  <w:style w:type="paragraph" w:customStyle="1" w:styleId="1325">
    <w:name w:val="正文文本首行缩进 21"/>
    <w:basedOn w:val="1326"/>
    <w:qFormat/>
    <w:uiPriority w:val="0"/>
    <w:pPr>
      <w:spacing w:line="240" w:lineRule="auto"/>
      <w:ind w:firstLine="420"/>
    </w:pPr>
    <w:rPr>
      <w:lang w:eastAsia="en-US"/>
    </w:rPr>
  </w:style>
  <w:style w:type="paragraph" w:customStyle="1" w:styleId="1326">
    <w:name w:val="正文文本缩进2"/>
    <w:basedOn w:val="1"/>
    <w:link w:val="1327"/>
    <w:qFormat/>
    <w:uiPriority w:val="0"/>
    <w:pPr>
      <w:spacing w:after="120"/>
      <w:ind w:left="420" w:leftChars="200" w:firstLine="200" w:firstLineChars="200"/>
      <w:jc w:val="both"/>
    </w:pPr>
    <w:rPr>
      <w:rFonts w:ascii="Calibri" w:hAnsi="Calibri"/>
      <w:kern w:val="0"/>
      <w:szCs w:val="24"/>
      <w:lang w:val="zh-CN"/>
    </w:rPr>
  </w:style>
  <w:style w:type="character" w:customStyle="1" w:styleId="1327">
    <w:name w:val="正文文本缩进 Char"/>
    <w:link w:val="1326"/>
    <w:qFormat/>
    <w:uiPriority w:val="0"/>
    <w:rPr>
      <w:rFonts w:ascii="Calibri" w:hAnsi="Calibri"/>
      <w:sz w:val="24"/>
      <w:szCs w:val="24"/>
      <w:lang w:val="zh-CN" w:eastAsia="zh-CN"/>
    </w:rPr>
  </w:style>
  <w:style w:type="character" w:customStyle="1" w:styleId="1328">
    <w:name w:val="正文文本缩进 2 Char"/>
    <w:link w:val="1329"/>
    <w:qFormat/>
    <w:uiPriority w:val="0"/>
    <w:rPr>
      <w:rFonts w:ascii="Calibri" w:hAnsi="Calibri"/>
      <w:sz w:val="24"/>
      <w:lang w:eastAsia="en-US"/>
    </w:rPr>
  </w:style>
  <w:style w:type="paragraph" w:customStyle="1" w:styleId="1329">
    <w:name w:val="正文文本缩进 22"/>
    <w:basedOn w:val="1"/>
    <w:link w:val="1328"/>
    <w:qFormat/>
    <w:uiPriority w:val="0"/>
    <w:pPr>
      <w:spacing w:after="120" w:line="480" w:lineRule="auto"/>
      <w:ind w:left="420" w:leftChars="200" w:firstLine="200" w:firstLineChars="200"/>
      <w:jc w:val="both"/>
    </w:pPr>
    <w:rPr>
      <w:rFonts w:ascii="Calibri" w:hAnsi="Calibri"/>
      <w:kern w:val="0"/>
      <w:szCs w:val="20"/>
      <w:lang w:eastAsia="en-US"/>
    </w:rPr>
  </w:style>
  <w:style w:type="character" w:customStyle="1" w:styleId="1330">
    <w:name w:val="正文文本 2 Char"/>
    <w:qFormat/>
    <w:uiPriority w:val="0"/>
    <w:rPr>
      <w:rFonts w:ascii="宋体" w:hAnsi="宋体" w:eastAsia="仿宋_GB2312"/>
      <w:b/>
      <w:color w:val="000000"/>
      <w:sz w:val="24"/>
      <w:lang w:eastAsia="en-US"/>
    </w:rPr>
  </w:style>
  <w:style w:type="character" w:customStyle="1" w:styleId="1331">
    <w:name w:val="电子邮件签名 Char"/>
    <w:link w:val="1332"/>
    <w:qFormat/>
    <w:uiPriority w:val="0"/>
    <w:rPr>
      <w:rFonts w:ascii="Calibri" w:hAnsi="Calibri"/>
      <w:sz w:val="24"/>
      <w:lang w:eastAsia="en-US"/>
    </w:rPr>
  </w:style>
  <w:style w:type="paragraph" w:customStyle="1" w:styleId="1332">
    <w:name w:val="电子邮件签名1"/>
    <w:basedOn w:val="1"/>
    <w:link w:val="1331"/>
    <w:qFormat/>
    <w:uiPriority w:val="0"/>
    <w:pPr>
      <w:spacing w:line="440" w:lineRule="exact"/>
      <w:ind w:firstLine="200" w:firstLineChars="200"/>
      <w:jc w:val="both"/>
    </w:pPr>
    <w:rPr>
      <w:rFonts w:ascii="Calibri" w:hAnsi="Calibri"/>
      <w:kern w:val="0"/>
      <w:szCs w:val="20"/>
      <w:lang w:eastAsia="en-US"/>
    </w:rPr>
  </w:style>
  <w:style w:type="character" w:customStyle="1" w:styleId="1333">
    <w:name w:val="明显引用 Char"/>
    <w:link w:val="1334"/>
    <w:qFormat/>
    <w:uiPriority w:val="0"/>
    <w:rPr>
      <w:rFonts w:ascii="Calibri" w:hAnsi="Calibri"/>
      <w:b/>
      <w:bCs/>
      <w:i/>
      <w:iCs/>
      <w:color w:val="4F81BD"/>
      <w:sz w:val="24"/>
      <w:lang w:eastAsia="en-US"/>
    </w:rPr>
  </w:style>
  <w:style w:type="paragraph" w:customStyle="1" w:styleId="1334">
    <w:name w:val="明显引用1"/>
    <w:basedOn w:val="1"/>
    <w:next w:val="1"/>
    <w:link w:val="1333"/>
    <w:qFormat/>
    <w:uiPriority w:val="0"/>
    <w:pPr>
      <w:pBdr>
        <w:bottom w:val="single" w:color="4F81BD" w:sz="4" w:space="4"/>
      </w:pBdr>
      <w:spacing w:before="200" w:after="280" w:line="440" w:lineRule="exact"/>
      <w:ind w:left="936" w:right="936" w:firstLine="200" w:firstLineChars="200"/>
      <w:jc w:val="both"/>
    </w:pPr>
    <w:rPr>
      <w:rFonts w:ascii="Calibri" w:hAnsi="Calibri"/>
      <w:b/>
      <w:bCs/>
      <w:i/>
      <w:iCs/>
      <w:color w:val="4F81BD"/>
      <w:kern w:val="0"/>
      <w:szCs w:val="20"/>
      <w:lang w:eastAsia="en-US"/>
    </w:rPr>
  </w:style>
  <w:style w:type="character" w:customStyle="1" w:styleId="1335">
    <w:name w:val="正文首行缩进 Char3"/>
    <w:link w:val="1336"/>
    <w:qFormat/>
    <w:uiPriority w:val="0"/>
    <w:rPr>
      <w:snapToGrid w:val="0"/>
      <w:kern w:val="28"/>
      <w:sz w:val="26"/>
      <w:szCs w:val="26"/>
    </w:rPr>
  </w:style>
  <w:style w:type="paragraph" w:customStyle="1" w:styleId="1336">
    <w:name w:val="8"/>
    <w:basedOn w:val="1"/>
    <w:next w:val="507"/>
    <w:link w:val="1335"/>
    <w:qFormat/>
    <w:uiPriority w:val="0"/>
    <w:pPr>
      <w:spacing w:line="440" w:lineRule="exact"/>
      <w:ind w:left="720" w:firstLine="200" w:firstLineChars="200"/>
      <w:contextualSpacing/>
      <w:jc w:val="both"/>
    </w:pPr>
    <w:rPr>
      <w:snapToGrid w:val="0"/>
      <w:kern w:val="28"/>
      <w:sz w:val="26"/>
      <w:szCs w:val="26"/>
    </w:rPr>
  </w:style>
  <w:style w:type="character" w:customStyle="1" w:styleId="1337">
    <w:name w:val="宏文本 Char"/>
    <w:link w:val="1338"/>
    <w:qFormat/>
    <w:uiPriority w:val="0"/>
    <w:rPr>
      <w:rFonts w:ascii="Courier New" w:hAnsi="Courier New" w:cs="Courier New"/>
      <w:sz w:val="24"/>
      <w:szCs w:val="24"/>
      <w:lang w:val="en-US" w:eastAsia="zh-CN" w:bidi="ar-SA"/>
    </w:rPr>
  </w:style>
  <w:style w:type="paragraph" w:customStyle="1" w:styleId="1338">
    <w:name w:val="宏文本1"/>
    <w:link w:val="133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zh-CN" w:bidi="ar-SA"/>
    </w:rPr>
  </w:style>
  <w:style w:type="character" w:customStyle="1" w:styleId="1339">
    <w:name w:val="文档结构图 Char"/>
    <w:link w:val="1340"/>
    <w:qFormat/>
    <w:uiPriority w:val="0"/>
    <w:rPr>
      <w:rFonts w:ascii="宋体" w:hAnsi="Calibri"/>
      <w:sz w:val="18"/>
      <w:szCs w:val="18"/>
      <w:lang w:eastAsia="en-US"/>
    </w:rPr>
  </w:style>
  <w:style w:type="paragraph" w:customStyle="1" w:styleId="1340">
    <w:name w:val="文档结构图2"/>
    <w:basedOn w:val="1"/>
    <w:link w:val="1339"/>
    <w:qFormat/>
    <w:uiPriority w:val="0"/>
    <w:pPr>
      <w:spacing w:line="440" w:lineRule="exact"/>
      <w:ind w:firstLine="200" w:firstLineChars="200"/>
      <w:jc w:val="both"/>
    </w:pPr>
    <w:rPr>
      <w:rFonts w:ascii="宋体" w:hAnsi="Calibri"/>
      <w:kern w:val="0"/>
      <w:sz w:val="18"/>
      <w:szCs w:val="18"/>
      <w:lang w:eastAsia="en-US"/>
    </w:rPr>
  </w:style>
  <w:style w:type="character" w:customStyle="1" w:styleId="1341">
    <w:name w:val="注释标题 Char"/>
    <w:link w:val="1342"/>
    <w:qFormat/>
    <w:uiPriority w:val="0"/>
  </w:style>
  <w:style w:type="paragraph" w:customStyle="1" w:styleId="1342">
    <w:name w:val="注释标题1"/>
    <w:basedOn w:val="1"/>
    <w:next w:val="1"/>
    <w:link w:val="1341"/>
    <w:qFormat/>
    <w:uiPriority w:val="0"/>
    <w:pPr>
      <w:widowControl w:val="0"/>
      <w:spacing w:line="240" w:lineRule="auto"/>
      <w:jc w:val="center"/>
    </w:pPr>
    <w:rPr>
      <w:kern w:val="0"/>
      <w:sz w:val="20"/>
      <w:szCs w:val="20"/>
    </w:rPr>
  </w:style>
  <w:style w:type="character" w:customStyle="1" w:styleId="1343">
    <w:name w:val="正文文本缩进 3 Char"/>
    <w:link w:val="1344"/>
    <w:qFormat/>
    <w:uiPriority w:val="0"/>
    <w:rPr>
      <w:rFonts w:ascii="仿宋_GB2312" w:hAnsi="Calibri" w:eastAsia="仿宋_GB2312"/>
      <w:b/>
      <w:bCs/>
      <w:sz w:val="24"/>
    </w:rPr>
  </w:style>
  <w:style w:type="paragraph" w:customStyle="1" w:styleId="1344">
    <w:name w:val="正文文本缩进 31"/>
    <w:basedOn w:val="1"/>
    <w:link w:val="1343"/>
    <w:qFormat/>
    <w:uiPriority w:val="0"/>
    <w:pPr>
      <w:spacing w:before="60" w:after="60" w:line="360" w:lineRule="exact"/>
      <w:ind w:firstLine="480" w:firstLineChars="200"/>
      <w:jc w:val="both"/>
    </w:pPr>
    <w:rPr>
      <w:rFonts w:ascii="仿宋_GB2312" w:hAnsi="Calibri" w:eastAsia="仿宋_GB2312"/>
      <w:b/>
      <w:bCs/>
      <w:kern w:val="0"/>
      <w:szCs w:val="20"/>
    </w:rPr>
  </w:style>
  <w:style w:type="character" w:customStyle="1" w:styleId="1345">
    <w:name w:val="日期 Char"/>
    <w:link w:val="1346"/>
    <w:qFormat/>
    <w:uiPriority w:val="0"/>
    <w:rPr>
      <w:rFonts w:ascii="Calibri" w:hAnsi="Calibri"/>
      <w:sz w:val="26"/>
      <w:lang w:eastAsia="en-US"/>
    </w:rPr>
  </w:style>
  <w:style w:type="paragraph" w:customStyle="1" w:styleId="1346">
    <w:name w:val="日期4"/>
    <w:basedOn w:val="1"/>
    <w:next w:val="1"/>
    <w:link w:val="1345"/>
    <w:qFormat/>
    <w:uiPriority w:val="0"/>
    <w:pPr>
      <w:spacing w:line="460" w:lineRule="exact"/>
      <w:ind w:left="100" w:leftChars="2500" w:firstLine="200" w:firstLineChars="200"/>
      <w:jc w:val="both"/>
    </w:pPr>
    <w:rPr>
      <w:rFonts w:ascii="Calibri" w:hAnsi="Calibri"/>
      <w:kern w:val="0"/>
      <w:sz w:val="26"/>
      <w:szCs w:val="20"/>
      <w:lang w:eastAsia="en-US"/>
    </w:rPr>
  </w:style>
  <w:style w:type="character" w:customStyle="1" w:styleId="1347">
    <w:name w:val="标题 Char"/>
    <w:qFormat/>
    <w:uiPriority w:val="0"/>
    <w:rPr>
      <w:rFonts w:ascii="Cambria" w:hAnsi="Cambria" w:eastAsia="宋体"/>
      <w:color w:val="17365D"/>
      <w:spacing w:val="5"/>
      <w:kern w:val="28"/>
      <w:sz w:val="52"/>
      <w:szCs w:val="52"/>
      <w:lang w:eastAsia="en-US"/>
    </w:rPr>
  </w:style>
  <w:style w:type="character" w:customStyle="1" w:styleId="1348">
    <w:name w:val="正文文本缩进 Char2"/>
    <w:qFormat/>
    <w:uiPriority w:val="0"/>
    <w:rPr>
      <w:rFonts w:ascii="Calibri" w:hAnsi="Calibri" w:eastAsia="宋体" w:cs="Times New Roman"/>
      <w:kern w:val="0"/>
      <w:sz w:val="24"/>
      <w:lang w:eastAsia="en-US"/>
    </w:rPr>
  </w:style>
  <w:style w:type="character" w:customStyle="1" w:styleId="1349">
    <w:name w:val="称呼 Char"/>
    <w:link w:val="1350"/>
    <w:qFormat/>
    <w:uiPriority w:val="0"/>
    <w:rPr>
      <w:rFonts w:ascii="宋体" w:hAnsi="宋体" w:cs="宋体"/>
      <w:sz w:val="24"/>
      <w:lang w:eastAsia="en-US"/>
    </w:rPr>
  </w:style>
  <w:style w:type="paragraph" w:customStyle="1" w:styleId="1350">
    <w:name w:val="称呼1"/>
    <w:basedOn w:val="1"/>
    <w:link w:val="1349"/>
    <w:qFormat/>
    <w:uiPriority w:val="0"/>
    <w:pPr>
      <w:spacing w:before="100" w:beforeAutospacing="1" w:after="100" w:afterAutospacing="1" w:line="440" w:lineRule="exact"/>
      <w:ind w:firstLine="200" w:firstLineChars="200"/>
      <w:jc w:val="both"/>
    </w:pPr>
    <w:rPr>
      <w:rFonts w:ascii="宋体" w:hAnsi="宋体"/>
      <w:kern w:val="0"/>
      <w:szCs w:val="20"/>
      <w:lang w:eastAsia="en-US"/>
    </w:rPr>
  </w:style>
  <w:style w:type="character" w:customStyle="1" w:styleId="1351">
    <w:name w:val="批注框文本 Char"/>
    <w:qFormat/>
    <w:uiPriority w:val="0"/>
    <w:rPr>
      <w:rFonts w:ascii="Calibri" w:hAnsi="Calibri" w:eastAsia="宋体"/>
      <w:sz w:val="18"/>
      <w:szCs w:val="18"/>
      <w:lang w:eastAsia="en-US"/>
    </w:rPr>
  </w:style>
  <w:style w:type="character" w:customStyle="1" w:styleId="1352">
    <w:name w:val="批注主题 Char"/>
    <w:link w:val="1353"/>
    <w:qFormat/>
    <w:uiPriority w:val="0"/>
    <w:rPr>
      <w:rFonts w:ascii="Calibri" w:hAnsi="Calibri"/>
      <w:b/>
      <w:bCs/>
      <w:sz w:val="24"/>
      <w:lang w:eastAsia="en-US"/>
    </w:rPr>
  </w:style>
  <w:style w:type="paragraph" w:customStyle="1" w:styleId="1353">
    <w:name w:val="批注主题1"/>
    <w:basedOn w:val="27"/>
    <w:next w:val="27"/>
    <w:link w:val="1352"/>
    <w:qFormat/>
    <w:uiPriority w:val="0"/>
    <w:pPr>
      <w:ind w:firstLine="200" w:firstLineChars="200"/>
      <w:jc w:val="both"/>
    </w:pPr>
    <w:rPr>
      <w:rFonts w:ascii="Calibri" w:hAnsi="Calibri"/>
      <w:bCs/>
      <w:lang w:eastAsia="en-US"/>
    </w:rPr>
  </w:style>
  <w:style w:type="character" w:customStyle="1" w:styleId="1354">
    <w:name w:val="页脚 Char"/>
    <w:qFormat/>
    <w:uiPriority w:val="0"/>
    <w:rPr>
      <w:sz w:val="18"/>
      <w:szCs w:val="18"/>
    </w:rPr>
  </w:style>
  <w:style w:type="character" w:customStyle="1" w:styleId="1355">
    <w:name w:val="HTML 预设格式 Char"/>
    <w:link w:val="1356"/>
    <w:qFormat/>
    <w:uiPriority w:val="0"/>
    <w:rPr>
      <w:rFonts w:ascii="宋体" w:hAnsi="宋体" w:cs="宋体"/>
      <w:sz w:val="24"/>
      <w:lang w:eastAsia="en-US"/>
    </w:rPr>
  </w:style>
  <w:style w:type="paragraph" w:customStyle="1" w:styleId="1356">
    <w:name w:val="HTML 预设格式1"/>
    <w:basedOn w:val="1"/>
    <w:link w:val="135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200" w:firstLineChars="200"/>
      <w:jc w:val="both"/>
    </w:pPr>
    <w:rPr>
      <w:rFonts w:ascii="宋体" w:hAnsi="宋体"/>
      <w:kern w:val="0"/>
      <w:szCs w:val="20"/>
      <w:lang w:eastAsia="en-US"/>
    </w:rPr>
  </w:style>
  <w:style w:type="character" w:customStyle="1" w:styleId="1357">
    <w:name w:val="脚注文本 Char"/>
    <w:qFormat/>
    <w:uiPriority w:val="0"/>
    <w:rPr>
      <w:rFonts w:ascii="Calibri" w:hAnsi="Calibri" w:eastAsia="宋体" w:cs="Times New Roman"/>
      <w:kern w:val="0"/>
      <w:sz w:val="18"/>
      <w:szCs w:val="18"/>
      <w:lang w:eastAsia="en-US"/>
    </w:rPr>
  </w:style>
  <w:style w:type="character" w:customStyle="1" w:styleId="1358">
    <w:name w:val="正文文本 3 Char"/>
    <w:link w:val="1359"/>
    <w:qFormat/>
    <w:uiPriority w:val="0"/>
    <w:rPr>
      <w:rFonts w:ascii="Calibri" w:hAnsi="Calibri" w:eastAsia="仿宋_GB2312"/>
      <w:bCs/>
      <w:sz w:val="24"/>
      <w:lang w:eastAsia="en-US"/>
    </w:rPr>
  </w:style>
  <w:style w:type="paragraph" w:customStyle="1" w:styleId="1359">
    <w:name w:val="正文文本 31"/>
    <w:basedOn w:val="1"/>
    <w:link w:val="1358"/>
    <w:qFormat/>
    <w:uiPriority w:val="0"/>
    <w:pPr>
      <w:spacing w:before="60" w:after="60" w:line="440" w:lineRule="exact"/>
      <w:ind w:firstLine="200" w:firstLineChars="200"/>
      <w:jc w:val="both"/>
    </w:pPr>
    <w:rPr>
      <w:rFonts w:ascii="Calibri" w:hAnsi="Calibri" w:eastAsia="仿宋_GB2312"/>
      <w:bCs/>
      <w:kern w:val="0"/>
      <w:szCs w:val="20"/>
      <w:lang w:eastAsia="en-US"/>
    </w:rPr>
  </w:style>
  <w:style w:type="character" w:customStyle="1" w:styleId="1360">
    <w:name w:val="正文文本 Char"/>
    <w:qFormat/>
    <w:uiPriority w:val="0"/>
    <w:rPr>
      <w:rFonts w:ascii="Calibri" w:hAnsi="Calibri" w:eastAsia="宋体"/>
      <w:kern w:val="2"/>
      <w:sz w:val="24"/>
      <w:szCs w:val="24"/>
      <w:lang w:val="en-US" w:eastAsia="zh-CN"/>
    </w:rPr>
  </w:style>
  <w:style w:type="character" w:customStyle="1" w:styleId="1361">
    <w:name w:val="标题 4 Char1"/>
    <w:qFormat/>
    <w:uiPriority w:val="0"/>
    <w:rPr>
      <w:rFonts w:ascii="Arial" w:hAnsi="Arial" w:eastAsia="黑体"/>
      <w:bCs/>
      <w:kern w:val="2"/>
      <w:sz w:val="24"/>
      <w:szCs w:val="28"/>
      <w:lang w:val="en-US" w:eastAsia="zh-CN"/>
    </w:rPr>
  </w:style>
  <w:style w:type="character" w:customStyle="1" w:styleId="1362">
    <w:name w:val="正文首行缩进 2 + Times New Roman Char1"/>
    <w:qFormat/>
    <w:uiPriority w:val="0"/>
    <w:rPr>
      <w:sz w:val="24"/>
      <w:szCs w:val="24"/>
    </w:rPr>
  </w:style>
  <w:style w:type="character" w:customStyle="1" w:styleId="1363">
    <w:name w:val="con1"/>
    <w:qFormat/>
    <w:uiPriority w:val="0"/>
    <w:rPr>
      <w:rFonts w:hint="eastAsia" w:ascii="宋体" w:hAnsi="宋体" w:eastAsia="宋体"/>
      <w:color w:val="666666"/>
      <w:sz w:val="18"/>
      <w:szCs w:val="18"/>
      <w:u w:val="none"/>
    </w:rPr>
  </w:style>
  <w:style w:type="character" w:customStyle="1" w:styleId="1364">
    <w:name w:val="样式 标题 2 + Times New Roman Char Char Char Char"/>
    <w:link w:val="1365"/>
    <w:qFormat/>
    <w:uiPriority w:val="0"/>
    <w:rPr>
      <w:rFonts w:ascii="Calibri" w:hAnsi="Calibri" w:eastAsia="华文中宋"/>
      <w:b/>
      <w:bCs/>
      <w:sz w:val="26"/>
      <w:szCs w:val="32"/>
    </w:rPr>
  </w:style>
  <w:style w:type="paragraph" w:customStyle="1" w:styleId="1365">
    <w:name w:val="样式 标题 2 + Times New Roman Char Char"/>
    <w:basedOn w:val="7"/>
    <w:link w:val="1364"/>
    <w:qFormat/>
    <w:uiPriority w:val="0"/>
    <w:pPr>
      <w:keepNext w:val="0"/>
      <w:keepLines w:val="0"/>
      <w:tabs>
        <w:tab w:val="left" w:pos="4990"/>
      </w:tabs>
      <w:spacing w:beforeLines="0" w:afterLines="0" w:line="360" w:lineRule="auto"/>
      <w:ind w:left="431" w:firstLine="512" w:firstLineChars="196"/>
      <w:jc w:val="both"/>
    </w:pPr>
    <w:rPr>
      <w:rFonts w:ascii="Calibri" w:hAnsi="Calibri" w:eastAsia="华文中宋"/>
      <w:kern w:val="0"/>
      <w:sz w:val="26"/>
    </w:rPr>
  </w:style>
  <w:style w:type="character" w:customStyle="1" w:styleId="1366">
    <w:name w:val="普 Char Char"/>
    <w:qFormat/>
    <w:uiPriority w:val="0"/>
    <w:rPr>
      <w:rFonts w:ascii="宋体" w:hAnsi="Courier New" w:eastAsia="宋体"/>
      <w:kern w:val="44"/>
      <w:sz w:val="21"/>
      <w:lang w:val="en-US" w:eastAsia="zh-CN"/>
    </w:rPr>
  </w:style>
  <w:style w:type="character" w:customStyle="1" w:styleId="1367">
    <w:name w:val="t_tag"/>
    <w:basedOn w:val="81"/>
    <w:qFormat/>
    <w:uiPriority w:val="0"/>
  </w:style>
  <w:style w:type="character" w:customStyle="1" w:styleId="1368">
    <w:name w:val="ourfont"/>
    <w:basedOn w:val="81"/>
    <w:qFormat/>
    <w:uiPriority w:val="0"/>
  </w:style>
  <w:style w:type="character" w:customStyle="1" w:styleId="1369">
    <w:name w:val="明显强调1"/>
    <w:qFormat/>
    <w:uiPriority w:val="0"/>
    <w:rPr>
      <w:b/>
      <w:bCs/>
      <w:i/>
      <w:iCs/>
      <w:color w:val="4F81BD"/>
    </w:rPr>
  </w:style>
  <w:style w:type="character" w:customStyle="1" w:styleId="1370">
    <w:name w:val="表头排版 Char Char"/>
    <w:link w:val="1371"/>
    <w:qFormat/>
    <w:uiPriority w:val="0"/>
    <w:rPr>
      <w:rFonts w:ascii="Calibri" w:hAnsi="Calibri"/>
      <w:sz w:val="26"/>
      <w:szCs w:val="21"/>
    </w:rPr>
  </w:style>
  <w:style w:type="paragraph" w:customStyle="1" w:styleId="1371">
    <w:name w:val="表头排版"/>
    <w:basedOn w:val="1"/>
    <w:link w:val="1370"/>
    <w:qFormat/>
    <w:uiPriority w:val="0"/>
    <w:pPr>
      <w:spacing w:line="440" w:lineRule="exact"/>
      <w:ind w:firstLine="200" w:firstLineChars="200"/>
      <w:jc w:val="right"/>
    </w:pPr>
    <w:rPr>
      <w:rFonts w:ascii="Calibri" w:hAnsi="Calibri"/>
      <w:kern w:val="0"/>
      <w:sz w:val="26"/>
    </w:rPr>
  </w:style>
  <w:style w:type="character" w:customStyle="1" w:styleId="1372">
    <w:name w:val="书籍标题1"/>
    <w:qFormat/>
    <w:uiPriority w:val="0"/>
    <w:rPr>
      <w:b/>
      <w:bCs/>
      <w:smallCaps/>
      <w:spacing w:val="5"/>
    </w:rPr>
  </w:style>
  <w:style w:type="character" w:customStyle="1" w:styleId="1373">
    <w:name w:val="大节标题 Char"/>
    <w:qFormat/>
    <w:uiPriority w:val="0"/>
    <w:rPr>
      <w:rFonts w:eastAsia="黑体"/>
      <w:b/>
      <w:bCs/>
      <w:kern w:val="2"/>
      <w:sz w:val="24"/>
      <w:szCs w:val="32"/>
      <w:lang w:val="en-US" w:eastAsia="zh-CN"/>
    </w:rPr>
  </w:style>
  <w:style w:type="character" w:customStyle="1" w:styleId="1374">
    <w:name w:val="样式 (中文) 仿宋_GB2312 小四 行距: 1.5 倍行距 Char Char Char"/>
    <w:qFormat/>
    <w:uiPriority w:val="0"/>
    <w:rPr>
      <w:rFonts w:eastAsia="仿宋_GB2312" w:cs="宋体"/>
      <w:sz w:val="24"/>
      <w:szCs w:val="24"/>
    </w:rPr>
  </w:style>
  <w:style w:type="character" w:customStyle="1" w:styleId="1375">
    <w:name w:val="44标题4 Char Char"/>
    <w:qFormat/>
    <w:uiPriority w:val="0"/>
    <w:rPr>
      <w:rFonts w:eastAsia="宋体"/>
      <w:b/>
      <w:bCs/>
      <w:kern w:val="44"/>
      <w:sz w:val="30"/>
      <w:szCs w:val="44"/>
      <w:lang w:val="en-US" w:eastAsia="zh-CN"/>
    </w:rPr>
  </w:style>
  <w:style w:type="character" w:customStyle="1" w:styleId="1376">
    <w:name w:val="标题 2 Char Char"/>
    <w:qFormat/>
    <w:uiPriority w:val="0"/>
    <w:rPr>
      <w:rFonts w:ascii="Arial" w:hAnsi="Arial" w:eastAsia="黑体"/>
      <w:bCs/>
      <w:kern w:val="2"/>
      <w:sz w:val="28"/>
      <w:szCs w:val="32"/>
      <w:lang w:val="en-US" w:eastAsia="zh-CN"/>
    </w:rPr>
  </w:style>
  <w:style w:type="character" w:customStyle="1" w:styleId="1377">
    <w:name w:val="明显参考1"/>
    <w:qFormat/>
    <w:uiPriority w:val="0"/>
    <w:rPr>
      <w:b/>
      <w:bCs/>
      <w:smallCaps/>
      <w:color w:val="C0504D"/>
      <w:spacing w:val="5"/>
      <w:u w:val="single"/>
    </w:rPr>
  </w:style>
  <w:style w:type="character" w:customStyle="1" w:styleId="1378">
    <w:name w:val="stylenew1"/>
    <w:qFormat/>
    <w:uiPriority w:val="0"/>
    <w:rPr>
      <w:rFonts w:hint="default" w:ascii="Verdana" w:hAnsi="Verdana"/>
      <w:sz w:val="22"/>
      <w:szCs w:val="22"/>
    </w:rPr>
  </w:style>
  <w:style w:type="character" w:customStyle="1" w:styleId="1379">
    <w:name w:val="页眉00 Char"/>
    <w:qFormat/>
    <w:uiPriority w:val="0"/>
    <w:rPr>
      <w:rFonts w:eastAsia="宋体"/>
      <w:kern w:val="2"/>
      <w:sz w:val="18"/>
      <w:szCs w:val="18"/>
      <w:lang w:val="en-US" w:eastAsia="zh-CN"/>
    </w:rPr>
  </w:style>
  <w:style w:type="character" w:customStyle="1" w:styleId="1380">
    <w:name w:val="16"/>
    <w:qFormat/>
    <w:uiPriority w:val="0"/>
    <w:rPr>
      <w:rFonts w:hint="eastAsia" w:ascii="仿宋体" w:hAnsi="仿宋体" w:eastAsia="仿宋体"/>
      <w:sz w:val="21"/>
      <w:szCs w:val="21"/>
    </w:rPr>
  </w:style>
  <w:style w:type="character" w:customStyle="1" w:styleId="1381">
    <w:name w:val="样式 宋体 加粗"/>
    <w:qFormat/>
    <w:uiPriority w:val="0"/>
    <w:rPr>
      <w:rFonts w:ascii="Times New Roman" w:hAnsi="Times New Roman" w:eastAsia="宋体"/>
      <w:b/>
      <w:bCs/>
    </w:rPr>
  </w:style>
  <w:style w:type="character" w:customStyle="1" w:styleId="1382">
    <w:name w:val="样式6 Char Char"/>
    <w:qFormat/>
    <w:uiPriority w:val="0"/>
    <w:rPr>
      <w:rFonts w:ascii="Calibri" w:hAnsi="Calibri" w:eastAsia="宋体"/>
      <w:b/>
      <w:sz w:val="24"/>
      <w:szCs w:val="24"/>
    </w:rPr>
  </w:style>
  <w:style w:type="character" w:customStyle="1" w:styleId="1383">
    <w:name w:val="txt"/>
    <w:basedOn w:val="81"/>
    <w:qFormat/>
    <w:uiPriority w:val="0"/>
  </w:style>
  <w:style w:type="character" w:customStyle="1" w:styleId="1384">
    <w:name w:val="批注引用1"/>
    <w:qFormat/>
    <w:uiPriority w:val="0"/>
    <w:rPr>
      <w:sz w:val="21"/>
      <w:szCs w:val="21"/>
    </w:rPr>
  </w:style>
  <w:style w:type="character" w:customStyle="1" w:styleId="1385">
    <w:name w:val="页码1"/>
    <w:basedOn w:val="81"/>
    <w:qFormat/>
    <w:uiPriority w:val="0"/>
  </w:style>
  <w:style w:type="character" w:customStyle="1" w:styleId="1386">
    <w:name w:val="纯文本 Char3"/>
    <w:qFormat/>
    <w:uiPriority w:val="0"/>
    <w:rPr>
      <w:rFonts w:ascii="宋体" w:hAnsi="Courier New" w:eastAsia="宋体" w:cs="Courier New"/>
      <w:kern w:val="0"/>
      <w:szCs w:val="21"/>
      <w:lang w:eastAsia="en-US"/>
    </w:rPr>
  </w:style>
  <w:style w:type="character" w:customStyle="1" w:styleId="1387">
    <w:name w:val="HTML 打字机1"/>
    <w:qFormat/>
    <w:uiPriority w:val="0"/>
    <w:rPr>
      <w:rFonts w:ascii="宋体" w:hAnsi="宋体" w:eastAsia="宋体" w:cs="宋体"/>
      <w:sz w:val="18"/>
      <w:szCs w:val="18"/>
    </w:rPr>
  </w:style>
  <w:style w:type="character" w:customStyle="1" w:styleId="1388">
    <w:name w:val="cs14"/>
    <w:basedOn w:val="81"/>
    <w:qFormat/>
    <w:uiPriority w:val="0"/>
  </w:style>
  <w:style w:type="character" w:customStyle="1" w:styleId="1389">
    <w:name w:val="表头 Char2"/>
    <w:qFormat/>
    <w:uiPriority w:val="0"/>
    <w:rPr>
      <w:rFonts w:ascii="黑体" w:eastAsia="黑体"/>
      <w:bCs/>
      <w:kern w:val="2"/>
      <w:sz w:val="24"/>
      <w:szCs w:val="24"/>
      <w:lang w:val="en-US" w:eastAsia="zh-CN"/>
    </w:rPr>
  </w:style>
  <w:style w:type="character" w:customStyle="1" w:styleId="1390">
    <w:name w:val="标题 2- Char Char"/>
    <w:link w:val="1391"/>
    <w:qFormat/>
    <w:uiPriority w:val="0"/>
    <w:rPr>
      <w:rFonts w:ascii="Arial" w:hAnsi="Arial" w:eastAsia="华文中宋"/>
      <w:b/>
      <w:sz w:val="32"/>
      <w:szCs w:val="24"/>
    </w:rPr>
  </w:style>
  <w:style w:type="paragraph" w:customStyle="1" w:styleId="1391">
    <w:name w:val="标题 2-"/>
    <w:basedOn w:val="7"/>
    <w:link w:val="1390"/>
    <w:qFormat/>
    <w:uiPriority w:val="0"/>
    <w:pPr>
      <w:spacing w:beforeLines="100" w:afterLines="0" w:line="480" w:lineRule="auto"/>
      <w:ind w:left="431"/>
      <w:jc w:val="both"/>
    </w:pPr>
    <w:rPr>
      <w:rFonts w:ascii="Arial" w:hAnsi="Arial" w:eastAsia="华文中宋"/>
      <w:bCs w:val="0"/>
      <w:kern w:val="0"/>
      <w:sz w:val="32"/>
      <w:szCs w:val="24"/>
    </w:rPr>
  </w:style>
  <w:style w:type="character" w:customStyle="1" w:styleId="1392">
    <w:name w:val="fs12"/>
    <w:basedOn w:val="81"/>
    <w:qFormat/>
    <w:uiPriority w:val="0"/>
  </w:style>
  <w:style w:type="character" w:customStyle="1" w:styleId="1393">
    <w:name w:val="txtbreak"/>
    <w:basedOn w:val="81"/>
    <w:qFormat/>
    <w:uiPriority w:val="0"/>
  </w:style>
  <w:style w:type="character" w:customStyle="1" w:styleId="1394">
    <w:name w:val="文本_hunqiu Char Char"/>
    <w:link w:val="1395"/>
    <w:qFormat/>
    <w:uiPriority w:val="0"/>
    <w:rPr>
      <w:rFonts w:ascii="Calibri" w:hAnsi="Calibri" w:cs="宋体"/>
      <w:color w:val="000000"/>
      <w:sz w:val="28"/>
    </w:rPr>
  </w:style>
  <w:style w:type="paragraph" w:customStyle="1" w:styleId="1395">
    <w:name w:val="文本_hunqiu"/>
    <w:basedOn w:val="1"/>
    <w:link w:val="1394"/>
    <w:qFormat/>
    <w:uiPriority w:val="0"/>
    <w:pPr>
      <w:ind w:firstLine="560" w:firstLineChars="200"/>
      <w:jc w:val="both"/>
    </w:pPr>
    <w:rPr>
      <w:rFonts w:ascii="Calibri" w:hAnsi="Calibri"/>
      <w:color w:val="000000"/>
      <w:kern w:val="0"/>
      <w:sz w:val="28"/>
      <w:szCs w:val="20"/>
    </w:rPr>
  </w:style>
  <w:style w:type="character" w:customStyle="1" w:styleId="1396">
    <w:name w:val="表格数字 Char Char"/>
    <w:link w:val="1397"/>
    <w:qFormat/>
    <w:uiPriority w:val="0"/>
    <w:rPr>
      <w:rFonts w:ascii="Arial" w:hAnsi="Arial" w:cs="宋体"/>
    </w:rPr>
  </w:style>
  <w:style w:type="paragraph" w:customStyle="1" w:styleId="1397">
    <w:name w:val="表格数字"/>
    <w:basedOn w:val="1"/>
    <w:link w:val="1396"/>
    <w:qFormat/>
    <w:uiPriority w:val="0"/>
    <w:pPr>
      <w:spacing w:line="360" w:lineRule="exact"/>
      <w:ind w:firstLine="200" w:firstLineChars="200"/>
      <w:jc w:val="center"/>
    </w:pPr>
    <w:rPr>
      <w:rFonts w:ascii="Arial" w:hAnsi="Arial"/>
      <w:kern w:val="0"/>
      <w:sz w:val="20"/>
      <w:szCs w:val="20"/>
    </w:rPr>
  </w:style>
  <w:style w:type="character" w:customStyle="1" w:styleId="1398">
    <w:name w:val="样式2 Char Char Char Char"/>
    <w:qFormat/>
    <w:uiPriority w:val="0"/>
    <w:rPr>
      <w:rFonts w:ascii="Calibri" w:hAnsi="Calibri" w:eastAsia="楷体_GB2312"/>
      <w:sz w:val="26"/>
      <w:szCs w:val="26"/>
    </w:rPr>
  </w:style>
  <w:style w:type="character" w:customStyle="1" w:styleId="1399">
    <w:name w:val="文本_zxj Char Char"/>
    <w:link w:val="1400"/>
    <w:qFormat/>
    <w:uiPriority w:val="0"/>
    <w:rPr>
      <w:rFonts w:ascii="Calibri" w:hAnsi="Calibri" w:cs="宋体"/>
      <w:sz w:val="28"/>
    </w:rPr>
  </w:style>
  <w:style w:type="paragraph" w:customStyle="1" w:styleId="1400">
    <w:name w:val="文本_zxj"/>
    <w:basedOn w:val="1"/>
    <w:link w:val="1399"/>
    <w:qFormat/>
    <w:uiPriority w:val="0"/>
    <w:pPr>
      <w:ind w:firstLine="560" w:firstLineChars="200"/>
      <w:jc w:val="both"/>
    </w:pPr>
    <w:rPr>
      <w:rFonts w:ascii="Calibri" w:hAnsi="Calibri"/>
      <w:kern w:val="0"/>
      <w:sz w:val="28"/>
      <w:szCs w:val="20"/>
    </w:rPr>
  </w:style>
  <w:style w:type="character" w:customStyle="1" w:styleId="1401">
    <w:name w:val="样式 左 Char Char"/>
    <w:qFormat/>
    <w:uiPriority w:val="0"/>
    <w:rPr>
      <w:rFonts w:ascii="Calibri" w:hAnsi="Calibri" w:eastAsia="宋体" w:cs="宋体"/>
    </w:rPr>
  </w:style>
  <w:style w:type="character" w:customStyle="1" w:styleId="1402">
    <w:name w:val="仿宋体正文 Char"/>
    <w:qFormat/>
    <w:uiPriority w:val="0"/>
    <w:rPr>
      <w:rFonts w:ascii="Calibri" w:hAnsi="Calibri" w:eastAsia="宋体"/>
      <w:kern w:val="2"/>
      <w:sz w:val="24"/>
      <w:szCs w:val="24"/>
      <w:lang w:val="en-US" w:eastAsia="zh-CN"/>
    </w:rPr>
  </w:style>
  <w:style w:type="character" w:customStyle="1" w:styleId="1403">
    <w:name w:val="排版正文 Char Char"/>
    <w:qFormat/>
    <w:uiPriority w:val="0"/>
    <w:rPr>
      <w:rFonts w:ascii="宋体" w:hAnsi="宋体" w:eastAsia="宋体"/>
      <w:sz w:val="26"/>
      <w:szCs w:val="26"/>
    </w:rPr>
  </w:style>
  <w:style w:type="character" w:customStyle="1" w:styleId="1404">
    <w:name w:val="标题 3-1"/>
    <w:qFormat/>
    <w:uiPriority w:val="0"/>
    <w:rPr>
      <w:rFonts w:ascii="Times New Roman" w:hAnsi="Times New Roman" w:eastAsia="宋体" w:cs="Times New Roman"/>
      <w:bCs/>
      <w:color w:val="auto"/>
      <w:kern w:val="0"/>
      <w:sz w:val="28"/>
      <w:szCs w:val="32"/>
      <w:lang w:val="en-US" w:eastAsia="en-US"/>
    </w:rPr>
  </w:style>
  <w:style w:type="character" w:customStyle="1" w:styleId="1405">
    <w:name w:val="大纲正文 Char Char"/>
    <w:qFormat/>
    <w:uiPriority w:val="0"/>
    <w:rPr>
      <w:rFonts w:ascii="Calibri" w:hAnsi="Calibri" w:eastAsia="宋体" w:cs="宋体"/>
      <w:sz w:val="24"/>
    </w:rPr>
  </w:style>
  <w:style w:type="character" w:customStyle="1" w:styleId="1406">
    <w:name w:val="样式 小四 Char Char"/>
    <w:link w:val="1407"/>
    <w:qFormat/>
    <w:uiPriority w:val="0"/>
    <w:rPr>
      <w:rFonts w:ascii="Calibri" w:hAnsi="Calibri" w:cs="宋体"/>
      <w:sz w:val="24"/>
    </w:rPr>
  </w:style>
  <w:style w:type="paragraph" w:customStyle="1" w:styleId="1407">
    <w:name w:val="样式 小四"/>
    <w:basedOn w:val="1"/>
    <w:link w:val="1406"/>
    <w:qFormat/>
    <w:uiPriority w:val="0"/>
    <w:pPr>
      <w:spacing w:line="440" w:lineRule="exact"/>
      <w:ind w:firstLine="480" w:firstLineChars="200"/>
      <w:jc w:val="both"/>
    </w:pPr>
    <w:rPr>
      <w:rFonts w:ascii="Calibri" w:hAnsi="Calibri"/>
      <w:kern w:val="0"/>
      <w:szCs w:val="20"/>
    </w:rPr>
  </w:style>
  <w:style w:type="character" w:customStyle="1" w:styleId="1408">
    <w:name w:val="图题 Char Char"/>
    <w:link w:val="1409"/>
    <w:qFormat/>
    <w:uiPriority w:val="0"/>
    <w:rPr>
      <w:rFonts w:ascii="黑体" w:hAnsi="Calibri" w:eastAsia="黑体"/>
      <w:szCs w:val="21"/>
    </w:rPr>
  </w:style>
  <w:style w:type="paragraph" w:customStyle="1" w:styleId="1409">
    <w:name w:val="图题"/>
    <w:basedOn w:val="1"/>
    <w:next w:val="1244"/>
    <w:link w:val="1408"/>
    <w:qFormat/>
    <w:uiPriority w:val="0"/>
    <w:pPr>
      <w:spacing w:beforeLines="50" w:line="400" w:lineRule="atLeast"/>
      <w:ind w:firstLine="200" w:firstLineChars="200"/>
      <w:jc w:val="center"/>
    </w:pPr>
    <w:rPr>
      <w:rFonts w:ascii="黑体" w:hAnsi="Calibri" w:eastAsia="黑体"/>
      <w:kern w:val="0"/>
      <w:sz w:val="20"/>
    </w:rPr>
  </w:style>
  <w:style w:type="character" w:customStyle="1" w:styleId="1410">
    <w:name w:val="表格内容 Char Char"/>
    <w:qFormat/>
    <w:uiPriority w:val="0"/>
    <w:rPr>
      <w:rFonts w:ascii="Calibri" w:hAnsi="Calibri"/>
      <w:szCs w:val="21"/>
      <w:lang w:val="en-US" w:eastAsia="zh-CN" w:bidi="ar-SA"/>
    </w:rPr>
  </w:style>
  <w:style w:type="character" w:customStyle="1" w:styleId="1411">
    <w:name w:val="样式 13 磅 行距: 固定值 23 磅 首行缩进:  2 字符 Char Char"/>
    <w:qFormat/>
    <w:uiPriority w:val="0"/>
    <w:rPr>
      <w:rFonts w:ascii="Calibri" w:hAnsi="Calibri" w:eastAsia="宋体" w:cs="ˎ̥"/>
      <w:sz w:val="26"/>
    </w:rPr>
  </w:style>
  <w:style w:type="character" w:customStyle="1" w:styleId="1412">
    <w:name w:val="detail1"/>
    <w:qFormat/>
    <w:uiPriority w:val="0"/>
    <w:rPr>
      <w:rFonts w:hint="default" w:ascii="ˎ̥" w:hAnsi="ˎ̥"/>
      <w:sz w:val="21"/>
      <w:szCs w:val="21"/>
      <w:u w:val="none"/>
    </w:rPr>
  </w:style>
  <w:style w:type="character" w:customStyle="1" w:styleId="1413">
    <w:name w:val="图表名称 Char Char"/>
    <w:qFormat/>
    <w:uiPriority w:val="0"/>
    <w:rPr>
      <w:rFonts w:ascii="Calibri" w:hAnsi="Calibri" w:eastAsia="黑体"/>
      <w:b/>
      <w:bCs/>
      <w:sz w:val="24"/>
      <w:szCs w:val="21"/>
      <w:lang w:val="en-US" w:eastAsia="zh-CN" w:bidi="ar-SA"/>
    </w:rPr>
  </w:style>
  <w:style w:type="character" w:customStyle="1" w:styleId="1414">
    <w:name w:val="cf14pxb"/>
    <w:basedOn w:val="81"/>
    <w:qFormat/>
    <w:uiPriority w:val="0"/>
  </w:style>
  <w:style w:type="character" w:customStyle="1" w:styleId="1415">
    <w:name w:val="编辑正文 Char Char"/>
    <w:link w:val="1416"/>
    <w:qFormat/>
    <w:uiPriority w:val="0"/>
    <w:rPr>
      <w:rFonts w:ascii="Calibri" w:hAnsi="宋体"/>
      <w:sz w:val="26"/>
      <w:szCs w:val="26"/>
    </w:rPr>
  </w:style>
  <w:style w:type="paragraph" w:customStyle="1" w:styleId="1416">
    <w:name w:val="编辑正文"/>
    <w:basedOn w:val="1"/>
    <w:link w:val="1415"/>
    <w:qFormat/>
    <w:uiPriority w:val="0"/>
    <w:pPr>
      <w:spacing w:line="480" w:lineRule="exact"/>
      <w:ind w:firstLine="520" w:firstLineChars="200"/>
      <w:jc w:val="both"/>
    </w:pPr>
    <w:rPr>
      <w:rFonts w:ascii="Calibri" w:hAnsi="宋体"/>
      <w:kern w:val="0"/>
      <w:sz w:val="26"/>
      <w:szCs w:val="26"/>
    </w:rPr>
  </w:style>
  <w:style w:type="character" w:customStyle="1" w:styleId="1417">
    <w:name w:val="样式 左 首行缩进:  1.01 厘米 Char Char Char Char"/>
    <w:qFormat/>
    <w:uiPriority w:val="0"/>
    <w:rPr>
      <w:rFonts w:ascii="Calibri" w:hAnsi="Calibri" w:eastAsia="宋体" w:cs="宋体"/>
      <w:sz w:val="26"/>
      <w:szCs w:val="26"/>
    </w:rPr>
  </w:style>
  <w:style w:type="character" w:customStyle="1" w:styleId="1418">
    <w:name w:val="articlelink"/>
    <w:basedOn w:val="81"/>
    <w:qFormat/>
    <w:uiPriority w:val="0"/>
  </w:style>
  <w:style w:type="character" w:customStyle="1" w:styleId="1419">
    <w:name w:val="main"/>
    <w:basedOn w:val="81"/>
    <w:qFormat/>
    <w:uiPriority w:val="0"/>
  </w:style>
  <w:style w:type="character" w:customStyle="1" w:styleId="1420">
    <w:name w:val="标题6"/>
    <w:basedOn w:val="81"/>
    <w:qFormat/>
    <w:uiPriority w:val="0"/>
  </w:style>
  <w:style w:type="character" w:customStyle="1" w:styleId="1421">
    <w:name w:val="表格题头 Char Char"/>
    <w:link w:val="1422"/>
    <w:qFormat/>
    <w:uiPriority w:val="0"/>
    <w:rPr>
      <w:rFonts w:ascii="Calibri" w:hAnsi="Calibri" w:eastAsia="黑体"/>
      <w:b/>
      <w:sz w:val="24"/>
      <w:szCs w:val="24"/>
      <w:lang w:val="en-US" w:eastAsia="zh-CN" w:bidi="ar-SA"/>
    </w:rPr>
  </w:style>
  <w:style w:type="paragraph" w:customStyle="1" w:styleId="1422">
    <w:name w:val="表格题头"/>
    <w:next w:val="1"/>
    <w:link w:val="1421"/>
    <w:qFormat/>
    <w:uiPriority w:val="0"/>
    <w:pPr>
      <w:spacing w:beforeLines="50" w:after="120" w:line="276" w:lineRule="auto"/>
      <w:jc w:val="center"/>
    </w:pPr>
    <w:rPr>
      <w:rFonts w:ascii="Calibri" w:hAnsi="Calibri" w:eastAsia="黑体" w:cs="Times New Roman"/>
      <w:b/>
      <w:sz w:val="24"/>
      <w:szCs w:val="24"/>
      <w:lang w:val="en-US" w:eastAsia="zh-CN" w:bidi="ar-SA"/>
    </w:rPr>
  </w:style>
  <w:style w:type="character" w:customStyle="1" w:styleId="1423">
    <w:name w:val="表格文字1 Char Char"/>
    <w:qFormat/>
    <w:uiPriority w:val="0"/>
    <w:rPr>
      <w:rFonts w:ascii="Calibri" w:hAnsi="Calibri"/>
      <w:iCs/>
      <w:szCs w:val="24"/>
      <w:lang w:val="en-US" w:eastAsia="zh-CN" w:bidi="ar-SA"/>
    </w:rPr>
  </w:style>
  <w:style w:type="character" w:customStyle="1" w:styleId="1424">
    <w:name w:val="公式描述 Char Char"/>
    <w:link w:val="1425"/>
    <w:qFormat/>
    <w:uiPriority w:val="0"/>
    <w:rPr>
      <w:rFonts w:ascii="Calibri" w:hAnsi="Calibri" w:eastAsia="仿宋_GB2312"/>
      <w:sz w:val="24"/>
      <w:szCs w:val="24"/>
      <w:lang w:val="en-US" w:eastAsia="zh-CN" w:bidi="ar-SA"/>
    </w:rPr>
  </w:style>
  <w:style w:type="paragraph" w:customStyle="1" w:styleId="1425">
    <w:name w:val="公式描述"/>
    <w:next w:val="1"/>
    <w:link w:val="1424"/>
    <w:qFormat/>
    <w:uiPriority w:val="0"/>
    <w:pPr>
      <w:spacing w:after="200" w:line="360" w:lineRule="auto"/>
      <w:ind w:firstLine="500" w:firstLineChars="500"/>
    </w:pPr>
    <w:rPr>
      <w:rFonts w:ascii="Calibri" w:hAnsi="Calibri" w:eastAsia="仿宋_GB2312" w:cs="Times New Roman"/>
      <w:sz w:val="24"/>
      <w:szCs w:val="24"/>
      <w:lang w:val="en-US" w:eastAsia="zh-CN" w:bidi="ar-SA"/>
    </w:rPr>
  </w:style>
  <w:style w:type="character" w:customStyle="1" w:styleId="1426">
    <w:name w:val="标注 Char Char"/>
    <w:qFormat/>
    <w:uiPriority w:val="0"/>
    <w:rPr>
      <w:rFonts w:ascii="黑体" w:hAnsi="Calibri" w:eastAsia="宋体"/>
      <w:sz w:val="18"/>
      <w:szCs w:val="24"/>
    </w:rPr>
  </w:style>
  <w:style w:type="character" w:customStyle="1" w:styleId="1427">
    <w:name w:val="yqlink"/>
    <w:basedOn w:val="81"/>
    <w:qFormat/>
    <w:uiPriority w:val="0"/>
  </w:style>
  <w:style w:type="character" w:customStyle="1" w:styleId="1428">
    <w:name w:val="qq"/>
    <w:basedOn w:val="81"/>
    <w:qFormat/>
    <w:uiPriority w:val="0"/>
  </w:style>
  <w:style w:type="character" w:customStyle="1" w:styleId="1429">
    <w:name w:val="n正文 Char Char"/>
    <w:link w:val="1430"/>
    <w:qFormat/>
    <w:uiPriority w:val="0"/>
    <w:rPr>
      <w:rFonts w:ascii="宋体" w:hAnsi="宋体"/>
      <w:sz w:val="24"/>
      <w:szCs w:val="24"/>
    </w:rPr>
  </w:style>
  <w:style w:type="paragraph" w:customStyle="1" w:styleId="1430">
    <w:name w:val="n正文"/>
    <w:basedOn w:val="1"/>
    <w:link w:val="1429"/>
    <w:qFormat/>
    <w:uiPriority w:val="0"/>
    <w:pPr>
      <w:spacing w:after="120" w:line="264" w:lineRule="auto"/>
      <w:ind w:firstLine="200" w:firstLineChars="200"/>
      <w:jc w:val="both"/>
    </w:pPr>
    <w:rPr>
      <w:rFonts w:ascii="宋体" w:hAnsi="宋体"/>
      <w:kern w:val="0"/>
      <w:szCs w:val="24"/>
    </w:rPr>
  </w:style>
  <w:style w:type="character" w:customStyle="1" w:styleId="1431">
    <w:name w:val="样式20 Char Char"/>
    <w:link w:val="1432"/>
    <w:qFormat/>
    <w:uiPriority w:val="0"/>
    <w:rPr>
      <w:rFonts w:ascii="宋体" w:hAnsi="宋体"/>
      <w:sz w:val="26"/>
      <w:szCs w:val="26"/>
    </w:rPr>
  </w:style>
  <w:style w:type="paragraph" w:customStyle="1" w:styleId="1432">
    <w:name w:val="样式20"/>
    <w:basedOn w:val="1"/>
    <w:link w:val="1431"/>
    <w:qFormat/>
    <w:uiPriority w:val="0"/>
    <w:pPr>
      <w:spacing w:line="480" w:lineRule="exact"/>
      <w:ind w:firstLine="514" w:firstLineChars="200"/>
      <w:jc w:val="both"/>
    </w:pPr>
    <w:rPr>
      <w:rFonts w:ascii="宋体" w:hAnsi="宋体"/>
      <w:kern w:val="0"/>
      <w:sz w:val="26"/>
      <w:szCs w:val="26"/>
    </w:rPr>
  </w:style>
  <w:style w:type="character" w:customStyle="1" w:styleId="1433">
    <w:name w:val="f_12_267700"/>
    <w:basedOn w:val="81"/>
    <w:qFormat/>
    <w:uiPriority w:val="0"/>
  </w:style>
  <w:style w:type="character" w:customStyle="1" w:styleId="1434">
    <w:name w:val="样式4 Char Char"/>
    <w:qFormat/>
    <w:uiPriority w:val="0"/>
    <w:rPr>
      <w:rFonts w:ascii="Calibri" w:hAnsi="Calibri" w:eastAsia="仿宋_GB2312"/>
      <w:sz w:val="28"/>
    </w:rPr>
  </w:style>
  <w:style w:type="character" w:customStyle="1" w:styleId="1435">
    <w:name w:val="gans"/>
    <w:basedOn w:val="81"/>
    <w:qFormat/>
    <w:uiPriority w:val="0"/>
  </w:style>
  <w:style w:type="character" w:customStyle="1" w:styleId="1436">
    <w:name w:val="grame"/>
    <w:basedOn w:val="81"/>
    <w:qFormat/>
    <w:uiPriority w:val="0"/>
  </w:style>
  <w:style w:type="character" w:customStyle="1" w:styleId="1437">
    <w:name w:val="表格题注 Char Char"/>
    <w:link w:val="1438"/>
    <w:qFormat/>
    <w:uiPriority w:val="0"/>
    <w:rPr>
      <w:rFonts w:ascii="Calibri" w:hAnsi="Calibri"/>
      <w:b/>
      <w:color w:val="000000"/>
      <w:szCs w:val="21"/>
    </w:rPr>
  </w:style>
  <w:style w:type="paragraph" w:customStyle="1" w:styleId="1438">
    <w:name w:val="表格题注"/>
    <w:basedOn w:val="1"/>
    <w:link w:val="1437"/>
    <w:qFormat/>
    <w:uiPriority w:val="0"/>
    <w:pPr>
      <w:autoSpaceDE w:val="0"/>
      <w:autoSpaceDN w:val="0"/>
      <w:spacing w:line="460" w:lineRule="exact"/>
      <w:ind w:firstLine="200" w:firstLineChars="200"/>
      <w:jc w:val="center"/>
    </w:pPr>
    <w:rPr>
      <w:rFonts w:ascii="Calibri" w:hAnsi="Calibri"/>
      <w:b/>
      <w:color w:val="000000"/>
      <w:kern w:val="0"/>
      <w:sz w:val="20"/>
    </w:rPr>
  </w:style>
  <w:style w:type="character" w:customStyle="1" w:styleId="1439">
    <w:name w:val="投标标题1 Char Char"/>
    <w:link w:val="1440"/>
    <w:qFormat/>
    <w:uiPriority w:val="0"/>
    <w:rPr>
      <w:rFonts w:ascii="黑体" w:hAnsi="宋体" w:eastAsia="黑体"/>
      <w:bCs/>
      <w:kern w:val="44"/>
      <w:sz w:val="30"/>
      <w:szCs w:val="30"/>
    </w:rPr>
  </w:style>
  <w:style w:type="paragraph" w:customStyle="1" w:styleId="1440">
    <w:name w:val="投标标题1"/>
    <w:basedOn w:val="1"/>
    <w:link w:val="1439"/>
    <w:qFormat/>
    <w:uiPriority w:val="0"/>
    <w:pPr>
      <w:keepNext/>
      <w:keepLines/>
      <w:spacing w:beforeLines="100" w:afterLines="50" w:line="312" w:lineRule="auto"/>
      <w:ind w:firstLine="200" w:firstLineChars="200"/>
      <w:jc w:val="both"/>
      <w:outlineLvl w:val="0"/>
    </w:pPr>
    <w:rPr>
      <w:rFonts w:ascii="黑体" w:hAnsi="宋体" w:eastAsia="黑体"/>
      <w:bCs/>
      <w:kern w:val="44"/>
      <w:sz w:val="30"/>
      <w:szCs w:val="30"/>
    </w:rPr>
  </w:style>
  <w:style w:type="character" w:customStyle="1" w:styleId="1441">
    <w:name w:val="text51"/>
    <w:qFormat/>
    <w:uiPriority w:val="0"/>
    <w:rPr>
      <w:color w:val="FF0000"/>
      <w:spacing w:val="0"/>
      <w:sz w:val="18"/>
      <w:szCs w:val="18"/>
    </w:rPr>
  </w:style>
  <w:style w:type="character" w:customStyle="1" w:styleId="1442">
    <w:name w:val="样式3 Char Char"/>
    <w:qFormat/>
    <w:uiPriority w:val="0"/>
    <w:rPr>
      <w:rFonts w:ascii="微软雅黑" w:hAnsi="微软雅黑" w:eastAsia="黑体"/>
      <w:b/>
      <w:bCs/>
      <w:sz w:val="28"/>
      <w:szCs w:val="28"/>
    </w:rPr>
  </w:style>
  <w:style w:type="character" w:customStyle="1" w:styleId="1443">
    <w:name w:val="谢谢谢谢谢 Char Char"/>
    <w:link w:val="1444"/>
    <w:qFormat/>
    <w:uiPriority w:val="0"/>
    <w:rPr>
      <w:sz w:val="24"/>
      <w:szCs w:val="24"/>
    </w:rPr>
  </w:style>
  <w:style w:type="paragraph" w:customStyle="1" w:styleId="1444">
    <w:name w:val="谢谢谢谢谢"/>
    <w:basedOn w:val="1"/>
    <w:link w:val="1443"/>
    <w:qFormat/>
    <w:uiPriority w:val="0"/>
    <w:pPr>
      <w:widowControl w:val="0"/>
      <w:spacing w:line="440" w:lineRule="exact"/>
      <w:ind w:firstLine="200" w:firstLineChars="200"/>
    </w:pPr>
    <w:rPr>
      <w:kern w:val="0"/>
      <w:szCs w:val="24"/>
    </w:rPr>
  </w:style>
  <w:style w:type="character" w:customStyle="1" w:styleId="1445">
    <w:name w:val="样式 段前: 0.5 行 首行缩进:  2 字符 Char Char"/>
    <w:qFormat/>
    <w:uiPriority w:val="0"/>
    <w:rPr>
      <w:rFonts w:ascii="Calibri" w:hAnsi="Calibri" w:eastAsia="宋体" w:cs="宋体"/>
      <w:sz w:val="28"/>
    </w:rPr>
  </w:style>
  <w:style w:type="character" w:customStyle="1" w:styleId="1446">
    <w:name w:val="样式7 Char Char"/>
    <w:qFormat/>
    <w:uiPriority w:val="0"/>
    <w:rPr>
      <w:rFonts w:ascii="微软雅黑" w:hAnsi="微软雅黑" w:eastAsia="黑体"/>
      <w:b/>
      <w:bCs/>
      <w:sz w:val="28"/>
      <w:szCs w:val="28"/>
    </w:rPr>
  </w:style>
  <w:style w:type="character" w:customStyle="1" w:styleId="1447">
    <w:name w:val="报告正文-连续目录 Char Char"/>
    <w:link w:val="1448"/>
    <w:qFormat/>
    <w:uiPriority w:val="0"/>
    <w:rPr>
      <w:rFonts w:ascii="Arial" w:hAnsi="Arial"/>
      <w:snapToGrid w:val="0"/>
      <w:sz w:val="24"/>
      <w:szCs w:val="24"/>
    </w:rPr>
  </w:style>
  <w:style w:type="paragraph" w:customStyle="1" w:styleId="1448">
    <w:name w:val="报告正文-连续目录"/>
    <w:basedOn w:val="1"/>
    <w:link w:val="1447"/>
    <w:qFormat/>
    <w:uiPriority w:val="0"/>
    <w:pPr>
      <w:spacing w:line="440" w:lineRule="exact"/>
      <w:ind w:firstLine="200" w:firstLineChars="200"/>
      <w:jc w:val="both"/>
    </w:pPr>
    <w:rPr>
      <w:rFonts w:ascii="Arial" w:hAnsi="Arial"/>
      <w:snapToGrid w:val="0"/>
      <w:kern w:val="0"/>
      <w:szCs w:val="24"/>
    </w:rPr>
  </w:style>
  <w:style w:type="character" w:customStyle="1" w:styleId="1449">
    <w:name w:val="报告表正文 Char Char"/>
    <w:qFormat/>
    <w:uiPriority w:val="0"/>
    <w:rPr>
      <w:rFonts w:ascii="Arial" w:hAnsi="Arial" w:eastAsia="宋体" w:cs="Arial"/>
      <w:snapToGrid w:val="0"/>
      <w:color w:val="000000"/>
      <w:sz w:val="21"/>
      <w:szCs w:val="21"/>
      <w:lang w:val="en-US" w:eastAsia="zh-CN"/>
    </w:rPr>
  </w:style>
  <w:style w:type="character" w:customStyle="1" w:styleId="1450">
    <w:name w:val="defaultfont1"/>
    <w:basedOn w:val="81"/>
    <w:qFormat/>
    <w:uiPriority w:val="0"/>
  </w:style>
  <w:style w:type="character" w:customStyle="1" w:styleId="1451">
    <w:name w:val="编号1. Char Char"/>
    <w:link w:val="1452"/>
    <w:qFormat/>
    <w:uiPriority w:val="0"/>
    <w:rPr>
      <w:rFonts w:ascii="Calibri" w:hAnsi="Calibri"/>
      <w:sz w:val="24"/>
      <w:szCs w:val="24"/>
    </w:rPr>
  </w:style>
  <w:style w:type="paragraph" w:customStyle="1" w:styleId="1452">
    <w:name w:val="编号1."/>
    <w:basedOn w:val="1"/>
    <w:link w:val="1451"/>
    <w:qFormat/>
    <w:uiPriority w:val="0"/>
    <w:pPr>
      <w:tabs>
        <w:tab w:val="left" w:pos="547"/>
        <w:tab w:val="left" w:pos="907"/>
        <w:tab w:val="left" w:pos="1080"/>
      </w:tabs>
      <w:spacing w:line="480" w:lineRule="atLeast"/>
      <w:ind w:firstLine="547" w:firstLineChars="200"/>
      <w:jc w:val="both"/>
    </w:pPr>
    <w:rPr>
      <w:rFonts w:ascii="Calibri" w:hAnsi="Calibri"/>
      <w:kern w:val="0"/>
      <w:szCs w:val="24"/>
    </w:rPr>
  </w:style>
  <w:style w:type="character" w:customStyle="1" w:styleId="1453">
    <w:name w:val="表格备注"/>
    <w:qFormat/>
    <w:uiPriority w:val="0"/>
    <w:rPr>
      <w:rFonts w:ascii="Times New Roman" w:hAnsi="Times New Roman"/>
      <w:color w:val="000000"/>
      <w:kern w:val="0"/>
      <w:sz w:val="20"/>
    </w:rPr>
  </w:style>
  <w:style w:type="character" w:customStyle="1" w:styleId="1454">
    <w:name w:val="框图文字 Char Char"/>
    <w:link w:val="1455"/>
    <w:qFormat/>
    <w:uiPriority w:val="0"/>
    <w:rPr>
      <w:rFonts w:ascii="Calibri" w:hAnsi="Arial"/>
      <w:sz w:val="18"/>
      <w:szCs w:val="24"/>
      <w:lang w:eastAsia="zh-TW"/>
    </w:rPr>
  </w:style>
  <w:style w:type="paragraph" w:customStyle="1" w:styleId="1455">
    <w:name w:val="框图文字"/>
    <w:basedOn w:val="1"/>
    <w:link w:val="1454"/>
    <w:qFormat/>
    <w:uiPriority w:val="0"/>
    <w:pPr>
      <w:spacing w:line="500" w:lineRule="exact"/>
      <w:ind w:firstLine="200" w:firstLineChars="200"/>
      <w:jc w:val="center"/>
    </w:pPr>
    <w:rPr>
      <w:rFonts w:ascii="Calibri" w:hAnsi="Arial"/>
      <w:kern w:val="0"/>
      <w:sz w:val="18"/>
      <w:szCs w:val="24"/>
      <w:lang w:eastAsia="zh-TW"/>
    </w:rPr>
  </w:style>
  <w:style w:type="character" w:customStyle="1" w:styleId="1456">
    <w:name w:val="样式 正文缩进正文（首行缩进两字） Char正文（首行缩进两字）正文（首行缩进两字） Char Char Char Cha... Char Char"/>
    <w:link w:val="1457"/>
    <w:qFormat/>
    <w:uiPriority w:val="0"/>
    <w:rPr>
      <w:rFonts w:ascii="Arial" w:hAnsi="宋体" w:cs="Arial"/>
      <w:sz w:val="26"/>
      <w:szCs w:val="26"/>
    </w:rPr>
  </w:style>
  <w:style w:type="paragraph" w:customStyle="1" w:styleId="1457">
    <w:name w:val="样式 正文缩进正文（首行缩进两字） Char正文（首行缩进两字）正文（首行缩进两字） Char Char Char Cha..."/>
    <w:basedOn w:val="878"/>
    <w:link w:val="1456"/>
    <w:qFormat/>
    <w:uiPriority w:val="0"/>
    <w:pPr>
      <w:spacing w:before="0" w:after="0" w:line="480" w:lineRule="exact"/>
      <w:ind w:firstLine="0" w:firstLineChars="0"/>
      <w:jc w:val="center"/>
      <w:textAlignment w:val="baseline"/>
    </w:pPr>
    <w:rPr>
      <w:rFonts w:ascii="Arial" w:hAnsi="宋体"/>
      <w:kern w:val="0"/>
      <w:sz w:val="26"/>
      <w:szCs w:val="26"/>
    </w:rPr>
  </w:style>
  <w:style w:type="character" w:customStyle="1" w:styleId="1458">
    <w:name w:val="小节标题 Char Char Char"/>
    <w:qFormat/>
    <w:uiPriority w:val="0"/>
    <w:rPr>
      <w:rFonts w:eastAsia="宋体"/>
      <w:b/>
      <w:bCs/>
      <w:kern w:val="2"/>
      <w:sz w:val="26"/>
      <w:szCs w:val="32"/>
      <w:lang w:val="en-US" w:eastAsia="zh-CN"/>
    </w:rPr>
  </w:style>
  <w:style w:type="character" w:customStyle="1" w:styleId="1459">
    <w:name w:val="样式 段前: 0.5 行 首行缩进:  2 字符 Char Char Char Char Char Char Char Char Char"/>
    <w:link w:val="1460"/>
    <w:qFormat/>
    <w:uiPriority w:val="0"/>
    <w:rPr>
      <w:rFonts w:ascii="Calibri" w:hAnsi="Calibri" w:cs="宋体"/>
      <w:sz w:val="24"/>
    </w:rPr>
  </w:style>
  <w:style w:type="paragraph" w:customStyle="1" w:styleId="1460">
    <w:name w:val="样式 段前: 0.5 行 首行缩进:  2 字符 Char Char Char Char Char Char Char"/>
    <w:basedOn w:val="1"/>
    <w:link w:val="1459"/>
    <w:qFormat/>
    <w:uiPriority w:val="0"/>
    <w:pPr>
      <w:spacing w:beforeLines="50" w:line="288" w:lineRule="auto"/>
      <w:ind w:firstLine="480" w:firstLineChars="200"/>
      <w:jc w:val="both"/>
    </w:pPr>
    <w:rPr>
      <w:rFonts w:ascii="Calibri" w:hAnsi="Calibri"/>
      <w:kern w:val="0"/>
      <w:szCs w:val="20"/>
    </w:rPr>
  </w:style>
  <w:style w:type="character" w:customStyle="1" w:styleId="1461">
    <w:name w:val="unnamed11"/>
    <w:qFormat/>
    <w:uiPriority w:val="0"/>
    <w:rPr>
      <w:rFonts w:hint="eastAsia" w:ascii="宋体" w:hAnsi="宋体" w:eastAsia="宋体"/>
      <w:sz w:val="14"/>
      <w:szCs w:val="14"/>
      <w:u w:val="none"/>
    </w:rPr>
  </w:style>
  <w:style w:type="character" w:customStyle="1" w:styleId="1462">
    <w:name w:val="样式 (中文) 仿宋_GB2312 小四 行距: 1.5 倍行距 Char Char"/>
    <w:link w:val="1463"/>
    <w:qFormat/>
    <w:uiPriority w:val="0"/>
    <w:rPr>
      <w:rFonts w:eastAsia="仿宋_GB2312"/>
      <w:sz w:val="24"/>
      <w:szCs w:val="24"/>
    </w:rPr>
  </w:style>
  <w:style w:type="paragraph" w:customStyle="1" w:styleId="1463">
    <w:name w:val="样式 (中文) 仿宋_GB2312 小四 行距: 1.5 倍行距"/>
    <w:basedOn w:val="1"/>
    <w:link w:val="1462"/>
    <w:qFormat/>
    <w:uiPriority w:val="0"/>
    <w:pPr>
      <w:widowControl w:val="0"/>
      <w:ind w:firstLine="480" w:firstLineChars="200"/>
      <w:jc w:val="both"/>
    </w:pPr>
    <w:rPr>
      <w:rFonts w:eastAsia="仿宋_GB2312"/>
      <w:kern w:val="0"/>
      <w:szCs w:val="24"/>
    </w:rPr>
  </w:style>
  <w:style w:type="character" w:customStyle="1" w:styleId="1464">
    <w:name w:val="标准文本 首行缩进: 2 字符 行距: 单倍 Char Char"/>
    <w:link w:val="1465"/>
    <w:qFormat/>
    <w:uiPriority w:val="0"/>
    <w:rPr>
      <w:rFonts w:ascii="宋体" w:hAnsi="宋体" w:cs="宋体"/>
      <w:sz w:val="24"/>
      <w:szCs w:val="24"/>
    </w:rPr>
  </w:style>
  <w:style w:type="paragraph" w:customStyle="1" w:styleId="1465">
    <w:name w:val="标准文本 首行缩进: 2 字符 行距: 单倍"/>
    <w:basedOn w:val="1"/>
    <w:link w:val="1464"/>
    <w:qFormat/>
    <w:uiPriority w:val="0"/>
    <w:pPr>
      <w:ind w:firstLine="480" w:firstLineChars="200"/>
      <w:jc w:val="both"/>
      <w:textAlignment w:val="baseline"/>
    </w:pPr>
    <w:rPr>
      <w:rFonts w:ascii="宋体" w:hAnsi="宋体"/>
      <w:kern w:val="0"/>
      <w:szCs w:val="24"/>
    </w:rPr>
  </w:style>
  <w:style w:type="character" w:customStyle="1" w:styleId="1466">
    <w:name w:val="样式 首行缩进:  0.85 厘米 Char Char Char Char Char Char Char Char Char Char Char Char Char Char Char Char Char Char Char"/>
    <w:link w:val="1467"/>
    <w:qFormat/>
    <w:uiPriority w:val="0"/>
    <w:rPr>
      <w:rFonts w:ascii="Calibri" w:hAnsi="Calibri" w:cs="宋体"/>
      <w:sz w:val="24"/>
    </w:rPr>
  </w:style>
  <w:style w:type="paragraph" w:customStyle="1" w:styleId="1467">
    <w:name w:val="样式 首行缩进:  0.85 厘米 Char Char Char Char Char Char Char Char Char Char Char Char Char Char Char Char Char"/>
    <w:basedOn w:val="1"/>
    <w:link w:val="1466"/>
    <w:qFormat/>
    <w:uiPriority w:val="0"/>
    <w:pPr>
      <w:spacing w:beforeLines="50"/>
      <w:ind w:firstLine="482" w:firstLineChars="200"/>
      <w:jc w:val="both"/>
    </w:pPr>
    <w:rPr>
      <w:rFonts w:ascii="Calibri" w:hAnsi="Calibri"/>
      <w:kern w:val="0"/>
      <w:szCs w:val="20"/>
    </w:rPr>
  </w:style>
  <w:style w:type="character" w:customStyle="1" w:styleId="1468">
    <w:name w:val="样式 首行缩进:  0.85 厘米 Char Char"/>
    <w:link w:val="1469"/>
    <w:qFormat/>
    <w:uiPriority w:val="0"/>
    <w:rPr>
      <w:rFonts w:ascii="Calibri" w:hAnsi="Calibri" w:cs="宋体"/>
      <w:sz w:val="24"/>
    </w:rPr>
  </w:style>
  <w:style w:type="paragraph" w:customStyle="1" w:styleId="1469">
    <w:name w:val="样式 首行缩进:  0.85 厘米"/>
    <w:basedOn w:val="1"/>
    <w:link w:val="1468"/>
    <w:qFormat/>
    <w:uiPriority w:val="0"/>
    <w:pPr>
      <w:spacing w:beforeLines="50"/>
      <w:ind w:firstLine="482" w:firstLineChars="200"/>
      <w:jc w:val="both"/>
    </w:pPr>
    <w:rPr>
      <w:rFonts w:ascii="Calibri" w:hAnsi="Calibri"/>
      <w:kern w:val="0"/>
      <w:szCs w:val="20"/>
    </w:rPr>
  </w:style>
  <w:style w:type="character" w:customStyle="1" w:styleId="1470">
    <w:name w:val="px14"/>
    <w:basedOn w:val="81"/>
    <w:qFormat/>
    <w:uiPriority w:val="0"/>
  </w:style>
  <w:style w:type="character" w:customStyle="1" w:styleId="1471">
    <w:name w:val="样式 样式 段前: 0.5 行 + 首行缩进:  2 字符 段前: 0.5 行 Char Char"/>
    <w:link w:val="1472"/>
    <w:qFormat/>
    <w:uiPriority w:val="0"/>
    <w:rPr>
      <w:rFonts w:ascii="Calibri" w:hAnsi="Calibri" w:cs="宋体"/>
      <w:color w:val="000000"/>
      <w:sz w:val="24"/>
    </w:rPr>
  </w:style>
  <w:style w:type="paragraph" w:customStyle="1" w:styleId="1472">
    <w:name w:val="样式 样式 段前: 0.5 行 + 首行缩进:  2 字符 段前: 0.5 行"/>
    <w:basedOn w:val="1"/>
    <w:link w:val="1471"/>
    <w:qFormat/>
    <w:uiPriority w:val="0"/>
    <w:pPr>
      <w:autoSpaceDE w:val="0"/>
      <w:autoSpaceDN w:val="0"/>
      <w:spacing w:beforeLines="50"/>
      <w:ind w:firstLine="480" w:firstLineChars="200"/>
      <w:jc w:val="both"/>
    </w:pPr>
    <w:rPr>
      <w:rFonts w:ascii="Calibri" w:hAnsi="Calibri"/>
      <w:color w:val="000000"/>
      <w:kern w:val="0"/>
      <w:szCs w:val="20"/>
    </w:rPr>
  </w:style>
  <w:style w:type="character" w:customStyle="1" w:styleId="1473">
    <w:name w:val="11111正式正文 Char Char"/>
    <w:link w:val="1474"/>
    <w:qFormat/>
    <w:uiPriority w:val="0"/>
    <w:rPr>
      <w:rFonts w:ascii="Calibri" w:hAnsi="Calibri"/>
      <w:sz w:val="24"/>
      <w:szCs w:val="28"/>
      <w:lang w:val="en-US" w:eastAsia="zh-CN" w:bidi="ar-SA"/>
    </w:rPr>
  </w:style>
  <w:style w:type="paragraph" w:customStyle="1" w:styleId="1474">
    <w:name w:val="11111正式正文"/>
    <w:link w:val="1473"/>
    <w:qFormat/>
    <w:uiPriority w:val="0"/>
    <w:pPr>
      <w:spacing w:after="200" w:line="500" w:lineRule="exact"/>
      <w:ind w:firstLine="200" w:firstLineChars="200"/>
    </w:pPr>
    <w:rPr>
      <w:rFonts w:ascii="Calibri" w:hAnsi="Calibri" w:eastAsia="宋体" w:cs="Times New Roman"/>
      <w:sz w:val="24"/>
      <w:szCs w:val="28"/>
      <w:lang w:val="en-US" w:eastAsia="zh-CN" w:bidi="ar-SA"/>
    </w:rPr>
  </w:style>
  <w:style w:type="character" w:customStyle="1" w:styleId="1475">
    <w:name w:val="title_black_141"/>
    <w:qFormat/>
    <w:uiPriority w:val="0"/>
    <w:rPr>
      <w:color w:val="000000"/>
      <w:sz w:val="21"/>
      <w:szCs w:val="21"/>
      <w:u w:val="none"/>
    </w:rPr>
  </w:style>
  <w:style w:type="character" w:customStyle="1" w:styleId="1476">
    <w:name w:val="样式 样式9 + 宋体 Char Char"/>
    <w:link w:val="1477"/>
    <w:qFormat/>
    <w:uiPriority w:val="0"/>
    <w:rPr>
      <w:rFonts w:ascii="Calibri" w:hAnsi="Calibri"/>
      <w:sz w:val="26"/>
      <w:szCs w:val="26"/>
    </w:rPr>
  </w:style>
  <w:style w:type="paragraph" w:customStyle="1" w:styleId="1477">
    <w:name w:val="样式 样式9 + 宋体"/>
    <w:basedOn w:val="1"/>
    <w:link w:val="1476"/>
    <w:qFormat/>
    <w:uiPriority w:val="0"/>
    <w:pPr>
      <w:spacing w:line="480" w:lineRule="exact"/>
      <w:ind w:firstLine="200" w:firstLineChars="200"/>
      <w:jc w:val="both"/>
    </w:pPr>
    <w:rPr>
      <w:rFonts w:ascii="Calibri" w:hAnsi="Calibri"/>
      <w:kern w:val="0"/>
      <w:sz w:val="26"/>
      <w:szCs w:val="26"/>
    </w:rPr>
  </w:style>
  <w:style w:type="character" w:customStyle="1" w:styleId="1478">
    <w:name w:val="wenben2"/>
    <w:qFormat/>
    <w:uiPriority w:val="0"/>
    <w:rPr>
      <w:color w:val="1C1C1C"/>
      <w:sz w:val="21"/>
      <w:szCs w:val="21"/>
      <w:u w:val="none"/>
    </w:rPr>
  </w:style>
  <w:style w:type="character" w:customStyle="1" w:styleId="1479">
    <w:name w:val="样式 样式4 + 首行缩进:  1.92 字符 Char Char"/>
    <w:link w:val="1480"/>
    <w:qFormat/>
    <w:uiPriority w:val="0"/>
    <w:rPr>
      <w:rFonts w:ascii="宋体" w:hAnsi="宋体" w:cs="宋体"/>
      <w:sz w:val="28"/>
    </w:rPr>
  </w:style>
  <w:style w:type="paragraph" w:customStyle="1" w:styleId="1480">
    <w:name w:val="样式 样式4 + 首行缩进:  1.92 字符"/>
    <w:basedOn w:val="1"/>
    <w:link w:val="1479"/>
    <w:qFormat/>
    <w:uiPriority w:val="0"/>
    <w:pPr>
      <w:spacing w:line="300" w:lineRule="auto"/>
      <w:ind w:firstLine="538" w:firstLineChars="192"/>
      <w:jc w:val="both"/>
    </w:pPr>
    <w:rPr>
      <w:rFonts w:ascii="宋体" w:hAnsi="宋体"/>
      <w:kern w:val="0"/>
      <w:sz w:val="28"/>
      <w:szCs w:val="20"/>
    </w:rPr>
  </w:style>
  <w:style w:type="character" w:customStyle="1" w:styleId="1481">
    <w:name w:val="表头样式1 Char1"/>
    <w:link w:val="1482"/>
    <w:qFormat/>
    <w:uiPriority w:val="0"/>
    <w:rPr>
      <w:rFonts w:ascii="Calibri" w:hAnsi="Calibri" w:eastAsia="黑体"/>
      <w:b/>
      <w:sz w:val="24"/>
    </w:rPr>
  </w:style>
  <w:style w:type="paragraph" w:customStyle="1" w:styleId="1482">
    <w:name w:val="表头样式1"/>
    <w:basedOn w:val="1"/>
    <w:link w:val="1481"/>
    <w:qFormat/>
    <w:uiPriority w:val="0"/>
    <w:pPr>
      <w:spacing w:after="80" w:line="480" w:lineRule="atLeast"/>
      <w:ind w:firstLine="200" w:firstLineChars="200"/>
      <w:jc w:val="center"/>
    </w:pPr>
    <w:rPr>
      <w:rFonts w:ascii="Calibri" w:hAnsi="Calibri" w:eastAsia="黑体"/>
      <w:b/>
      <w:kern w:val="0"/>
      <w:szCs w:val="20"/>
    </w:rPr>
  </w:style>
  <w:style w:type="character" w:customStyle="1" w:styleId="1483">
    <w:name w:val="keywords1"/>
    <w:qFormat/>
    <w:uiPriority w:val="0"/>
    <w:rPr>
      <w:b/>
      <w:bCs/>
      <w:color w:val="FF6600"/>
    </w:rPr>
  </w:style>
  <w:style w:type="character" w:customStyle="1" w:styleId="1484">
    <w:name w:val="lulu正文0 Char Char"/>
    <w:link w:val="1485"/>
    <w:qFormat/>
    <w:uiPriority w:val="0"/>
    <w:rPr>
      <w:rFonts w:cs="宋体"/>
      <w:sz w:val="26"/>
    </w:rPr>
  </w:style>
  <w:style w:type="paragraph" w:customStyle="1" w:styleId="1485">
    <w:name w:val="lulu正文0"/>
    <w:basedOn w:val="1"/>
    <w:link w:val="1484"/>
    <w:qFormat/>
    <w:uiPriority w:val="0"/>
    <w:pPr>
      <w:widowControl w:val="0"/>
      <w:spacing w:line="480" w:lineRule="exact"/>
      <w:ind w:firstLine="520" w:firstLineChars="200"/>
      <w:jc w:val="both"/>
    </w:pPr>
    <w:rPr>
      <w:kern w:val="0"/>
      <w:sz w:val="26"/>
      <w:szCs w:val="20"/>
    </w:rPr>
  </w:style>
  <w:style w:type="character" w:customStyle="1" w:styleId="1486">
    <w:name w:val="正文文本1 Char Char"/>
    <w:qFormat/>
    <w:uiPriority w:val="0"/>
    <w:rPr>
      <w:rFonts w:ascii="宋体" w:hAnsi="华文宋体" w:eastAsia="宋体" w:cs="宋体"/>
      <w:w w:val="80"/>
      <w:kern w:val="2"/>
      <w:sz w:val="28"/>
      <w:lang w:val="en-US" w:eastAsia="zh-CN"/>
    </w:rPr>
  </w:style>
  <w:style w:type="character" w:customStyle="1" w:styleId="1487">
    <w:name w:val="unnamed31"/>
    <w:qFormat/>
    <w:uiPriority w:val="0"/>
    <w:rPr>
      <w:color w:val="000000"/>
      <w:sz w:val="18"/>
      <w:szCs w:val="18"/>
    </w:rPr>
  </w:style>
  <w:style w:type="character" w:customStyle="1" w:styleId="1488">
    <w:name w:val="标准样式 Char Char Char Char"/>
    <w:qFormat/>
    <w:uiPriority w:val="0"/>
    <w:rPr>
      <w:rFonts w:ascii="宋体" w:eastAsia="宋体"/>
      <w:kern w:val="2"/>
      <w:sz w:val="28"/>
      <w:szCs w:val="26"/>
      <w:lang w:val="en-US" w:eastAsia="zh-CN"/>
    </w:rPr>
  </w:style>
  <w:style w:type="character" w:customStyle="1" w:styleId="1489">
    <w:name w:val="ldblue1"/>
    <w:qFormat/>
    <w:uiPriority w:val="0"/>
    <w:rPr>
      <w:rFonts w:hint="default" w:ascii="Verdana" w:hAnsi="Verdana"/>
      <w:color w:val="003CD9"/>
      <w:sz w:val="22"/>
      <w:szCs w:val="22"/>
    </w:rPr>
  </w:style>
  <w:style w:type="character" w:customStyle="1" w:styleId="1490">
    <w:name w:val="f14b"/>
    <w:basedOn w:val="81"/>
    <w:qFormat/>
    <w:uiPriority w:val="0"/>
  </w:style>
  <w:style w:type="character" w:customStyle="1" w:styleId="1491">
    <w:name w:val="正文(首行缩进) Char Char"/>
    <w:qFormat/>
    <w:uiPriority w:val="0"/>
    <w:rPr>
      <w:rFonts w:eastAsia="宋体"/>
      <w:snapToGrid w:val="0"/>
      <w:sz w:val="24"/>
      <w:szCs w:val="24"/>
    </w:rPr>
  </w:style>
  <w:style w:type="character" w:customStyle="1" w:styleId="1492">
    <w:name w:val="排版正文 Char Char Char Char Char"/>
    <w:link w:val="1493"/>
    <w:qFormat/>
    <w:uiPriority w:val="0"/>
    <w:rPr>
      <w:rFonts w:ascii="Calibri" w:hAnsi="Calibri"/>
      <w:color w:val="000000"/>
      <w:sz w:val="26"/>
      <w:szCs w:val="26"/>
    </w:rPr>
  </w:style>
  <w:style w:type="paragraph" w:customStyle="1" w:styleId="1493">
    <w:name w:val="排版正文 Char Char Char"/>
    <w:basedOn w:val="1"/>
    <w:link w:val="1492"/>
    <w:qFormat/>
    <w:uiPriority w:val="0"/>
    <w:pPr>
      <w:spacing w:line="460" w:lineRule="exact"/>
      <w:ind w:firstLine="200" w:firstLineChars="200"/>
      <w:jc w:val="both"/>
    </w:pPr>
    <w:rPr>
      <w:rFonts w:ascii="Calibri" w:hAnsi="Calibri"/>
      <w:color w:val="000000"/>
      <w:kern w:val="0"/>
      <w:sz w:val="26"/>
      <w:szCs w:val="26"/>
    </w:rPr>
  </w:style>
  <w:style w:type="character" w:customStyle="1" w:styleId="1494">
    <w:name w:val="main_141"/>
    <w:qFormat/>
    <w:uiPriority w:val="0"/>
    <w:rPr>
      <w:rFonts w:hint="default" w:ascii="Verdana" w:hAnsi="Verdana"/>
      <w:color w:val="333333"/>
      <w:sz w:val="23"/>
      <w:szCs w:val="23"/>
    </w:rPr>
  </w:style>
  <w:style w:type="character" w:customStyle="1" w:styleId="1495">
    <w:name w:val="11标题1 Char1"/>
    <w:link w:val="1496"/>
    <w:qFormat/>
    <w:uiPriority w:val="0"/>
    <w:rPr>
      <w:rFonts w:ascii="宋体" w:hAnsi="宋体" w:eastAsia="微软雅黑" w:cs="宋体"/>
      <w:b/>
      <w:bCs/>
      <w:kern w:val="44"/>
      <w:sz w:val="30"/>
    </w:rPr>
  </w:style>
  <w:style w:type="paragraph" w:customStyle="1" w:styleId="1496">
    <w:name w:val="11标题1"/>
    <w:basedOn w:val="6"/>
    <w:link w:val="1495"/>
    <w:qFormat/>
    <w:uiPriority w:val="0"/>
    <w:pPr>
      <w:spacing w:beforeLines="100" w:afterLines="100"/>
    </w:pPr>
    <w:rPr>
      <w:rFonts w:ascii="宋体" w:hAnsi="宋体" w:eastAsia="微软雅黑"/>
      <w:sz w:val="30"/>
      <w:szCs w:val="20"/>
    </w:rPr>
  </w:style>
  <w:style w:type="character" w:customStyle="1" w:styleId="1497">
    <w:name w:val="样式39 Char Char"/>
    <w:link w:val="1498"/>
    <w:qFormat/>
    <w:uiPriority w:val="0"/>
    <w:rPr>
      <w:rFonts w:ascii="宋体" w:hAnsi="宋体"/>
      <w:sz w:val="26"/>
      <w:szCs w:val="26"/>
    </w:rPr>
  </w:style>
  <w:style w:type="paragraph" w:customStyle="1" w:styleId="1498">
    <w:name w:val="样式39"/>
    <w:basedOn w:val="1"/>
    <w:link w:val="1497"/>
    <w:qFormat/>
    <w:uiPriority w:val="0"/>
    <w:pPr>
      <w:spacing w:line="480" w:lineRule="exact"/>
      <w:ind w:firstLine="520" w:firstLineChars="200"/>
      <w:jc w:val="both"/>
    </w:pPr>
    <w:rPr>
      <w:rFonts w:ascii="宋体" w:hAnsi="宋体"/>
      <w:kern w:val="0"/>
      <w:sz w:val="26"/>
      <w:szCs w:val="26"/>
    </w:rPr>
  </w:style>
  <w:style w:type="character" w:customStyle="1" w:styleId="1499">
    <w:name w:val="Char Char12"/>
    <w:qFormat/>
    <w:uiPriority w:val="0"/>
    <w:rPr>
      <w:rFonts w:ascii="Arial" w:hAnsi="Arial" w:eastAsia="黑体"/>
      <w:b/>
      <w:bCs/>
      <w:kern w:val="2"/>
      <w:sz w:val="32"/>
      <w:szCs w:val="32"/>
      <w:lang w:val="en-US" w:eastAsia="zh-CN"/>
    </w:rPr>
  </w:style>
  <w:style w:type="character" w:customStyle="1" w:styleId="1500">
    <w:name w:val="样式19 Char Char"/>
    <w:link w:val="1501"/>
    <w:qFormat/>
    <w:uiPriority w:val="0"/>
    <w:rPr>
      <w:rFonts w:ascii="宋体" w:hAnsi="宋体" w:cs="宋体"/>
      <w:sz w:val="26"/>
      <w:szCs w:val="26"/>
    </w:rPr>
  </w:style>
  <w:style w:type="paragraph" w:customStyle="1" w:styleId="1501">
    <w:name w:val="样式19"/>
    <w:basedOn w:val="1"/>
    <w:link w:val="1500"/>
    <w:qFormat/>
    <w:uiPriority w:val="0"/>
    <w:pPr>
      <w:spacing w:line="460" w:lineRule="exact"/>
      <w:ind w:firstLine="520" w:firstLineChars="200"/>
      <w:jc w:val="both"/>
    </w:pPr>
    <w:rPr>
      <w:rFonts w:ascii="宋体" w:hAnsi="宋体"/>
      <w:kern w:val="0"/>
      <w:sz w:val="26"/>
      <w:szCs w:val="26"/>
    </w:rPr>
  </w:style>
  <w:style w:type="character" w:customStyle="1" w:styleId="1502">
    <w:name w:val="文本 Char Char"/>
    <w:qFormat/>
    <w:uiPriority w:val="0"/>
    <w:rPr>
      <w:rFonts w:eastAsia="宋体"/>
      <w:snapToGrid w:val="0"/>
      <w:kern w:val="28"/>
      <w:sz w:val="26"/>
      <w:szCs w:val="26"/>
      <w:lang w:val="en-US" w:eastAsia="zh-CN"/>
    </w:rPr>
  </w:style>
  <w:style w:type="character" w:customStyle="1" w:styleId="1503">
    <w:name w:val="表中文字 Char Char"/>
    <w:qFormat/>
    <w:uiPriority w:val="0"/>
    <w:rPr>
      <w:rFonts w:ascii="Calibri" w:hAnsi="Calibri" w:eastAsia="宋体"/>
      <w:color w:val="000000"/>
    </w:rPr>
  </w:style>
  <w:style w:type="character" w:customStyle="1" w:styleId="1504">
    <w:name w:val="样式 样式 四号 黑色 + 首行缩进:  2 字符 Char Char"/>
    <w:link w:val="1505"/>
    <w:qFormat/>
    <w:uiPriority w:val="0"/>
    <w:rPr>
      <w:rFonts w:ascii="Calibri" w:hAnsi="Calibri" w:cs="宋体"/>
      <w:color w:val="000000"/>
      <w:sz w:val="28"/>
      <w:lang w:val="en-US" w:eastAsia="zh-CN" w:bidi="ar-SA"/>
    </w:rPr>
  </w:style>
  <w:style w:type="paragraph" w:customStyle="1" w:styleId="1505">
    <w:name w:val="样式 样式 四号 黑色 + 首行缩进:  2 字符"/>
    <w:link w:val="1504"/>
    <w:qFormat/>
    <w:uiPriority w:val="0"/>
    <w:pPr>
      <w:spacing w:after="200" w:line="360" w:lineRule="auto"/>
      <w:ind w:firstLine="200" w:firstLineChars="200"/>
    </w:pPr>
    <w:rPr>
      <w:rFonts w:ascii="Calibri" w:hAnsi="Calibri" w:eastAsia="宋体" w:cs="宋体"/>
      <w:color w:val="000000"/>
      <w:sz w:val="28"/>
      <w:lang w:val="en-US" w:eastAsia="zh-CN" w:bidi="ar-SA"/>
    </w:rPr>
  </w:style>
  <w:style w:type="character" w:customStyle="1" w:styleId="1506">
    <w:name w:val="表格表格 Char Char"/>
    <w:link w:val="1507"/>
    <w:qFormat/>
    <w:uiPriority w:val="0"/>
    <w:rPr>
      <w:rFonts w:ascii="Calibri" w:hAnsi="Calibri" w:cs="宋体"/>
      <w:color w:val="000000"/>
      <w:szCs w:val="21"/>
    </w:rPr>
  </w:style>
  <w:style w:type="paragraph" w:customStyle="1" w:styleId="1507">
    <w:name w:val="表格表格"/>
    <w:basedOn w:val="1"/>
    <w:link w:val="1506"/>
    <w:qFormat/>
    <w:uiPriority w:val="0"/>
    <w:pPr>
      <w:spacing w:line="440" w:lineRule="exact"/>
      <w:ind w:firstLine="200" w:firstLineChars="200"/>
      <w:jc w:val="both"/>
    </w:pPr>
    <w:rPr>
      <w:rFonts w:ascii="Calibri" w:hAnsi="Calibri"/>
      <w:color w:val="000000"/>
      <w:kern w:val="0"/>
      <w:sz w:val="20"/>
    </w:rPr>
  </w:style>
  <w:style w:type="character" w:customStyle="1" w:styleId="1508">
    <w:name w:val="样式 表格文字 + 10 磅 Char Char"/>
    <w:link w:val="1509"/>
    <w:qFormat/>
    <w:uiPriority w:val="0"/>
  </w:style>
  <w:style w:type="paragraph" w:customStyle="1" w:styleId="1509">
    <w:name w:val="样式 表格文字 + 10 磅"/>
    <w:basedOn w:val="255"/>
    <w:link w:val="1508"/>
    <w:qFormat/>
    <w:uiPriority w:val="0"/>
    <w:pPr>
      <w:adjustRightInd/>
      <w:spacing w:line="440" w:lineRule="exact"/>
      <w:ind w:firstLine="200" w:firstLineChars="200"/>
      <w:textAlignment w:val="auto"/>
    </w:pPr>
    <w:rPr>
      <w:sz w:val="20"/>
    </w:rPr>
  </w:style>
  <w:style w:type="character" w:customStyle="1" w:styleId="1510">
    <w:name w:val="style31"/>
    <w:qFormat/>
    <w:uiPriority w:val="0"/>
    <w:rPr>
      <w:color w:val="auto"/>
      <w:sz w:val="18"/>
      <w:szCs w:val="18"/>
      <w:u w:val="none"/>
    </w:rPr>
  </w:style>
  <w:style w:type="character" w:customStyle="1" w:styleId="1511">
    <w:name w:val="13b1"/>
    <w:qFormat/>
    <w:uiPriority w:val="0"/>
    <w:rPr>
      <w:color w:val="000000"/>
      <w:sz w:val="26"/>
      <w:szCs w:val="26"/>
    </w:rPr>
  </w:style>
  <w:style w:type="character" w:customStyle="1" w:styleId="1512">
    <w:name w:val="图名中文 Char Char Char"/>
    <w:qFormat/>
    <w:uiPriority w:val="0"/>
    <w:rPr>
      <w:rFonts w:ascii="宋体" w:hAnsi="宋体"/>
      <w:sz w:val="21"/>
      <w:szCs w:val="21"/>
      <w:lang w:eastAsia="en-US"/>
    </w:rPr>
  </w:style>
  <w:style w:type="character" w:customStyle="1" w:styleId="1513">
    <w:name w:val="3zw"/>
    <w:basedOn w:val="81"/>
    <w:qFormat/>
    <w:uiPriority w:val="0"/>
  </w:style>
  <w:style w:type="character" w:customStyle="1" w:styleId="1514">
    <w:name w:val="iyz5991"/>
    <w:basedOn w:val="81"/>
    <w:qFormat/>
    <w:uiPriority w:val="0"/>
  </w:style>
  <w:style w:type="character" w:customStyle="1" w:styleId="1515">
    <w:name w:val="样式 四号 黑色 Char Char"/>
    <w:link w:val="1516"/>
    <w:qFormat/>
    <w:uiPriority w:val="0"/>
    <w:rPr>
      <w:rFonts w:ascii="Calibri" w:hAnsi="Calibri" w:cs="宋体"/>
      <w:sz w:val="24"/>
      <w:szCs w:val="24"/>
    </w:rPr>
  </w:style>
  <w:style w:type="paragraph" w:customStyle="1" w:styleId="1516">
    <w:name w:val="样式 四号 黑色"/>
    <w:basedOn w:val="1"/>
    <w:link w:val="1515"/>
    <w:qFormat/>
    <w:uiPriority w:val="0"/>
    <w:pPr>
      <w:ind w:firstLine="560" w:firstLineChars="200"/>
      <w:jc w:val="both"/>
    </w:pPr>
    <w:rPr>
      <w:rFonts w:ascii="Calibri" w:hAnsi="Calibri"/>
      <w:kern w:val="0"/>
      <w:szCs w:val="24"/>
    </w:rPr>
  </w:style>
  <w:style w:type="character" w:customStyle="1" w:styleId="1517">
    <w:name w:val="3213213213 Char Char"/>
    <w:link w:val="1518"/>
    <w:qFormat/>
    <w:uiPriority w:val="0"/>
    <w:rPr>
      <w:rFonts w:ascii="Calibri" w:hAnsi="Calibri" w:cs="宋体"/>
      <w:sz w:val="28"/>
    </w:rPr>
  </w:style>
  <w:style w:type="paragraph" w:customStyle="1" w:styleId="1518">
    <w:name w:val="3213213213"/>
    <w:basedOn w:val="1"/>
    <w:link w:val="1517"/>
    <w:qFormat/>
    <w:uiPriority w:val="0"/>
    <w:pPr>
      <w:ind w:firstLine="480" w:firstLineChars="200"/>
      <w:jc w:val="both"/>
    </w:pPr>
    <w:rPr>
      <w:rFonts w:ascii="Calibri" w:hAnsi="Calibri"/>
      <w:kern w:val="0"/>
      <w:sz w:val="28"/>
      <w:szCs w:val="20"/>
    </w:rPr>
  </w:style>
  <w:style w:type="character" w:customStyle="1" w:styleId="1519">
    <w:name w:val="样式 标题 3 Char Char Char Char Char Char Char Char Char Char Char C..."/>
    <w:qFormat/>
    <w:uiPriority w:val="0"/>
    <w:rPr>
      <w:rFonts w:ascii="Times New Roman" w:hAnsi="Times New Roman" w:eastAsia="仿宋_GB2312"/>
      <w:bCs/>
      <w:smallCaps/>
      <w:color w:val="000000"/>
      <w:spacing w:val="8"/>
      <w:sz w:val="28"/>
      <w:szCs w:val="32"/>
      <w:vertAlign w:val="baseline"/>
    </w:rPr>
  </w:style>
  <w:style w:type="character" w:customStyle="1" w:styleId="1520">
    <w:name w:val="明显引用 Char1"/>
    <w:qFormat/>
    <w:uiPriority w:val="0"/>
    <w:rPr>
      <w:rFonts w:ascii="Calibri" w:hAnsi="Calibri" w:eastAsia="宋体" w:cs="Times New Roman"/>
      <w:b/>
      <w:bCs/>
      <w:i/>
      <w:iCs/>
      <w:color w:val="4F81BD"/>
      <w:kern w:val="0"/>
      <w:sz w:val="24"/>
      <w:lang w:eastAsia="en-US"/>
    </w:rPr>
  </w:style>
  <w:style w:type="character" w:customStyle="1" w:styleId="1521">
    <w:name w:val="frd1"/>
    <w:qFormat/>
    <w:uiPriority w:val="0"/>
    <w:rPr>
      <w:color w:val="E10900"/>
    </w:rPr>
  </w:style>
  <w:style w:type="character" w:customStyle="1" w:styleId="1522">
    <w:name w:val="search_content1"/>
    <w:qFormat/>
    <w:uiPriority w:val="0"/>
    <w:rPr>
      <w:sz w:val="20"/>
      <w:szCs w:val="20"/>
    </w:rPr>
  </w:style>
  <w:style w:type="character" w:customStyle="1" w:styleId="1523">
    <w:name w:val="小节标题 Char1"/>
    <w:qFormat/>
    <w:uiPriority w:val="0"/>
    <w:rPr>
      <w:rFonts w:eastAsia="宋体"/>
      <w:b/>
      <w:bCs/>
      <w:kern w:val="2"/>
      <w:sz w:val="32"/>
      <w:szCs w:val="32"/>
      <w:lang w:val="en-US" w:eastAsia="zh-CN"/>
    </w:rPr>
  </w:style>
  <w:style w:type="character" w:customStyle="1" w:styleId="1524">
    <w:name w:val="节标题 Char Char"/>
    <w:qFormat/>
    <w:uiPriority w:val="0"/>
    <w:rPr>
      <w:rFonts w:ascii="Arial" w:hAnsi="Arial" w:eastAsia="黑体"/>
      <w:b/>
      <w:bCs/>
      <w:kern w:val="2"/>
      <w:sz w:val="32"/>
      <w:szCs w:val="32"/>
      <w:lang w:val="en-US" w:eastAsia="zh-CN"/>
    </w:rPr>
  </w:style>
  <w:style w:type="character" w:customStyle="1" w:styleId="1525">
    <w:name w:val="表文字 Char Char Char Char Char"/>
    <w:link w:val="1526"/>
    <w:qFormat/>
    <w:uiPriority w:val="0"/>
    <w:rPr>
      <w:rFonts w:ascii="Calibri" w:hAnsi="Calibri"/>
      <w:szCs w:val="21"/>
      <w:lang w:val="en-US" w:eastAsia="zh-CN" w:bidi="ar-SA"/>
    </w:rPr>
  </w:style>
  <w:style w:type="paragraph" w:customStyle="1" w:styleId="1526">
    <w:name w:val="表文字 Char Char Char"/>
    <w:link w:val="1525"/>
    <w:qFormat/>
    <w:uiPriority w:val="0"/>
    <w:pPr>
      <w:widowControl w:val="0"/>
      <w:adjustRightInd w:val="0"/>
      <w:spacing w:after="200" w:line="240" w:lineRule="exact"/>
      <w:jc w:val="center"/>
      <w:textAlignment w:val="baseline"/>
    </w:pPr>
    <w:rPr>
      <w:rFonts w:ascii="Calibri" w:hAnsi="Calibri" w:eastAsia="宋体" w:cs="Times New Roman"/>
      <w:szCs w:val="21"/>
      <w:lang w:val="en-US" w:eastAsia="zh-CN" w:bidi="ar-SA"/>
    </w:rPr>
  </w:style>
  <w:style w:type="character" w:customStyle="1" w:styleId="1527">
    <w:name w:val="标准样式 Char Char Char Char Char"/>
    <w:link w:val="1528"/>
    <w:qFormat/>
    <w:uiPriority w:val="0"/>
    <w:rPr>
      <w:rFonts w:ascii="Calibri" w:hAnsi="Calibri"/>
      <w:sz w:val="28"/>
      <w:lang w:val="en-US" w:eastAsia="zh-CN" w:bidi="ar-SA"/>
    </w:rPr>
  </w:style>
  <w:style w:type="paragraph" w:customStyle="1" w:styleId="1528">
    <w:name w:val="标准样式 Char Char"/>
    <w:link w:val="1527"/>
    <w:qFormat/>
    <w:uiPriority w:val="0"/>
    <w:pPr>
      <w:widowControl w:val="0"/>
      <w:spacing w:after="200" w:line="600" w:lineRule="exact"/>
      <w:ind w:firstLine="200" w:firstLineChars="200"/>
      <w:jc w:val="both"/>
    </w:pPr>
    <w:rPr>
      <w:rFonts w:ascii="Calibri" w:hAnsi="Calibri" w:eastAsia="宋体" w:cs="Times New Roman"/>
      <w:sz w:val="28"/>
      <w:lang w:val="en-US" w:eastAsia="zh-CN" w:bidi="ar-SA"/>
    </w:rPr>
  </w:style>
  <w:style w:type="character" w:customStyle="1" w:styleId="1529">
    <w:name w:val="样式 左 首行缩进:  1.01 厘米 Char Char Char Char Char"/>
    <w:link w:val="1530"/>
    <w:qFormat/>
    <w:uiPriority w:val="0"/>
    <w:rPr>
      <w:rFonts w:ascii="Calibri" w:hAnsi="Calibri" w:cs="宋体"/>
      <w:sz w:val="26"/>
      <w:szCs w:val="26"/>
    </w:rPr>
  </w:style>
  <w:style w:type="paragraph" w:customStyle="1" w:styleId="1530">
    <w:name w:val="样式 左 首行缩进:  1.01 厘米 Char Char"/>
    <w:basedOn w:val="1"/>
    <w:link w:val="1529"/>
    <w:qFormat/>
    <w:uiPriority w:val="0"/>
    <w:pPr>
      <w:spacing w:line="460" w:lineRule="exact"/>
      <w:ind w:firstLine="200" w:firstLineChars="200"/>
      <w:jc w:val="both"/>
    </w:pPr>
    <w:rPr>
      <w:rFonts w:ascii="Calibri" w:hAnsi="Calibri"/>
      <w:kern w:val="0"/>
      <w:sz w:val="26"/>
      <w:szCs w:val="26"/>
    </w:rPr>
  </w:style>
  <w:style w:type="character" w:customStyle="1" w:styleId="1531">
    <w:name w:val="正文四号 Char Char Char Char Char"/>
    <w:link w:val="1532"/>
    <w:qFormat/>
    <w:uiPriority w:val="0"/>
    <w:rPr>
      <w:rFonts w:ascii="Calibri" w:hAnsi="Calibri" w:cs="宋体"/>
      <w:sz w:val="24"/>
      <w:szCs w:val="24"/>
    </w:rPr>
  </w:style>
  <w:style w:type="paragraph" w:customStyle="1" w:styleId="1532">
    <w:name w:val="正文四号 Char Char Char"/>
    <w:basedOn w:val="1"/>
    <w:link w:val="1531"/>
    <w:qFormat/>
    <w:uiPriority w:val="0"/>
    <w:pPr>
      <w:ind w:firstLine="200" w:firstLineChars="200"/>
      <w:jc w:val="both"/>
    </w:pPr>
    <w:rPr>
      <w:rFonts w:ascii="Calibri" w:hAnsi="Calibri"/>
      <w:kern w:val="0"/>
      <w:szCs w:val="24"/>
    </w:rPr>
  </w:style>
  <w:style w:type="character" w:customStyle="1" w:styleId="1533">
    <w:name w:val="图名中文 Char Char"/>
    <w:link w:val="1534"/>
    <w:qFormat/>
    <w:uiPriority w:val="0"/>
    <w:rPr>
      <w:rFonts w:ascii="宋体" w:hAnsi="宋体"/>
      <w:szCs w:val="21"/>
      <w:lang w:eastAsia="en-US"/>
    </w:rPr>
  </w:style>
  <w:style w:type="paragraph" w:customStyle="1" w:styleId="1534">
    <w:name w:val="图名中文"/>
    <w:basedOn w:val="1"/>
    <w:link w:val="1533"/>
    <w:qFormat/>
    <w:uiPriority w:val="0"/>
    <w:pPr>
      <w:spacing w:line="300" w:lineRule="auto"/>
      <w:ind w:firstLine="480" w:firstLineChars="200"/>
      <w:jc w:val="center"/>
    </w:pPr>
    <w:rPr>
      <w:rFonts w:ascii="宋体" w:hAnsi="宋体"/>
      <w:kern w:val="0"/>
      <w:sz w:val="20"/>
      <w:lang w:eastAsia="en-US"/>
    </w:rPr>
  </w:style>
  <w:style w:type="character" w:customStyle="1" w:styleId="1535">
    <w:name w:val="xb"/>
    <w:basedOn w:val="81"/>
    <w:qFormat/>
    <w:uiPriority w:val="0"/>
  </w:style>
  <w:style w:type="character" w:customStyle="1" w:styleId="1536">
    <w:name w:val="list_link"/>
    <w:basedOn w:val="81"/>
    <w:qFormat/>
    <w:uiPriority w:val="0"/>
  </w:style>
  <w:style w:type="character" w:customStyle="1" w:styleId="1537">
    <w:name w:val="sb"/>
    <w:basedOn w:val="81"/>
    <w:qFormat/>
    <w:uiPriority w:val="0"/>
  </w:style>
  <w:style w:type="character" w:customStyle="1" w:styleId="1538">
    <w:name w:val="g Char"/>
    <w:qFormat/>
    <w:uiPriority w:val="0"/>
    <w:rPr>
      <w:rFonts w:eastAsia="宋体"/>
      <w:kern w:val="2"/>
      <w:sz w:val="18"/>
      <w:szCs w:val="18"/>
      <w:lang w:val="en-US" w:eastAsia="zh-CN"/>
    </w:rPr>
  </w:style>
  <w:style w:type="character" w:customStyle="1" w:styleId="1539">
    <w:name w:val="报告 Char Char"/>
    <w:qFormat/>
    <w:uiPriority w:val="0"/>
    <w:rPr>
      <w:rFonts w:ascii="Calibri" w:hAnsi="Calibri" w:eastAsia="宋体"/>
      <w:sz w:val="24"/>
    </w:rPr>
  </w:style>
  <w:style w:type="character" w:customStyle="1" w:styleId="1540">
    <w:name w:val="n表名 Char Char"/>
    <w:link w:val="1541"/>
    <w:qFormat/>
    <w:uiPriority w:val="0"/>
    <w:rPr>
      <w:rFonts w:ascii="黑体" w:hAnsi="Cambria" w:eastAsia="黑体"/>
    </w:rPr>
  </w:style>
  <w:style w:type="paragraph" w:customStyle="1" w:styleId="1541">
    <w:name w:val="n表名"/>
    <w:basedOn w:val="22"/>
    <w:link w:val="1540"/>
    <w:qFormat/>
    <w:uiPriority w:val="0"/>
    <w:pPr>
      <w:suppressAutoHyphens/>
      <w:adjustRightInd/>
      <w:snapToGrid/>
      <w:spacing w:beforeLines="50" w:afterLines="50" w:line="240" w:lineRule="auto"/>
      <w:jc w:val="center"/>
      <w:textAlignment w:val="auto"/>
    </w:pPr>
    <w:rPr>
      <w:rFonts w:ascii="黑体" w:hAnsi="Cambria"/>
      <w:b w:val="0"/>
      <w:bCs w:val="0"/>
      <w:color w:val="auto"/>
      <w:sz w:val="20"/>
      <w:szCs w:val="20"/>
    </w:rPr>
  </w:style>
  <w:style w:type="character" w:customStyle="1" w:styleId="1542">
    <w:name w:val="表注 Char Char"/>
    <w:link w:val="1543"/>
    <w:qFormat/>
    <w:uiPriority w:val="0"/>
    <w:rPr>
      <w:rFonts w:ascii="Calibri" w:hAnsi="Calibri" w:eastAsia="新宋体" w:cs="Arial"/>
      <w:b/>
      <w:szCs w:val="21"/>
    </w:rPr>
  </w:style>
  <w:style w:type="paragraph" w:customStyle="1" w:styleId="1543">
    <w:name w:val="表注"/>
    <w:basedOn w:val="1"/>
    <w:link w:val="1542"/>
    <w:qFormat/>
    <w:uiPriority w:val="0"/>
    <w:pPr>
      <w:autoSpaceDE w:val="0"/>
      <w:autoSpaceDN w:val="0"/>
      <w:spacing w:beforeLines="50" w:afterLines="50" w:line="440" w:lineRule="exact"/>
      <w:ind w:firstLine="200" w:firstLineChars="200"/>
      <w:jc w:val="center"/>
    </w:pPr>
    <w:rPr>
      <w:rFonts w:ascii="Calibri" w:hAnsi="Calibri" w:eastAsia="新宋体"/>
      <w:b/>
      <w:kern w:val="0"/>
      <w:sz w:val="20"/>
    </w:rPr>
  </w:style>
  <w:style w:type="character" w:customStyle="1" w:styleId="1544">
    <w:name w:val="样式 样式 首行缩进:  2 字符 段后: 0.5 行 + 首行缩进:  2 字符 段后: 0.5 行 Char Char"/>
    <w:link w:val="1545"/>
    <w:qFormat/>
    <w:uiPriority w:val="0"/>
    <w:rPr>
      <w:rFonts w:ascii="Calibri" w:hAnsi="Calibri" w:cs="宋体"/>
      <w:sz w:val="28"/>
    </w:rPr>
  </w:style>
  <w:style w:type="paragraph" w:customStyle="1" w:styleId="1545">
    <w:name w:val="样式 样式 首行缩进:  2 字符 段后: 0.5 行 + 首行缩进:  2 字符 段后: 0.5 行"/>
    <w:basedOn w:val="1"/>
    <w:link w:val="1544"/>
    <w:qFormat/>
    <w:uiPriority w:val="0"/>
    <w:pPr>
      <w:spacing w:afterLines="50"/>
      <w:ind w:firstLine="560" w:firstLineChars="200"/>
      <w:jc w:val="both"/>
    </w:pPr>
    <w:rPr>
      <w:rFonts w:ascii="Calibri" w:hAnsi="Calibri"/>
      <w:kern w:val="0"/>
      <w:sz w:val="28"/>
      <w:szCs w:val="20"/>
    </w:rPr>
  </w:style>
  <w:style w:type="character" w:customStyle="1" w:styleId="1546">
    <w:name w:val="样式 正文四号 + 自动设置 Char Char"/>
    <w:link w:val="1547"/>
    <w:qFormat/>
    <w:uiPriority w:val="0"/>
    <w:rPr>
      <w:rFonts w:ascii="Calibri" w:hAnsi="Calibri"/>
      <w:sz w:val="28"/>
      <w:szCs w:val="24"/>
    </w:rPr>
  </w:style>
  <w:style w:type="paragraph" w:customStyle="1" w:styleId="1547">
    <w:name w:val="样式 正文四号 + 自动设置"/>
    <w:basedOn w:val="346"/>
    <w:link w:val="1546"/>
    <w:qFormat/>
    <w:uiPriority w:val="0"/>
    <w:pPr>
      <w:spacing w:afterLines="50"/>
      <w:ind w:firstLine="200" w:firstLineChars="200"/>
      <w:jc w:val="both"/>
    </w:pPr>
    <w:rPr>
      <w:rFonts w:ascii="Calibri" w:hAnsi="Calibri"/>
      <w:kern w:val="0"/>
      <w:szCs w:val="24"/>
    </w:rPr>
  </w:style>
  <w:style w:type="character" w:customStyle="1" w:styleId="1548">
    <w:name w:val="环评正文 Char Char"/>
    <w:qFormat/>
    <w:uiPriority w:val="0"/>
    <w:rPr>
      <w:rFonts w:ascii="Calibri" w:hAnsi="Calibri" w:eastAsia="宋体"/>
      <w:bCs/>
      <w:color w:val="000000"/>
      <w:sz w:val="28"/>
      <w:szCs w:val="28"/>
    </w:rPr>
  </w:style>
  <w:style w:type="character" w:customStyle="1" w:styleId="1549">
    <w:name w:val="Char Char3"/>
    <w:qFormat/>
    <w:uiPriority w:val="0"/>
    <w:rPr>
      <w:rFonts w:hint="eastAsia" w:ascii="宋体" w:hAnsi="宋体" w:eastAsia="宋体"/>
      <w:sz w:val="28"/>
      <w:lang w:val="en-US" w:eastAsia="zh-CN"/>
    </w:rPr>
  </w:style>
  <w:style w:type="character" w:customStyle="1" w:styleId="1550">
    <w:name w:val="正文11111111111111111111111 Char Char"/>
    <w:qFormat/>
    <w:uiPriority w:val="0"/>
    <w:rPr>
      <w:rFonts w:eastAsia="宋体" w:cs="宋体"/>
      <w:sz w:val="24"/>
    </w:rPr>
  </w:style>
  <w:style w:type="character" w:customStyle="1" w:styleId="1551">
    <w:name w:val="正文文字缩进 3 Char Char"/>
    <w:qFormat/>
    <w:uiPriority w:val="0"/>
    <w:rPr>
      <w:kern w:val="2"/>
      <w:sz w:val="16"/>
      <w:szCs w:val="16"/>
    </w:rPr>
  </w:style>
  <w:style w:type="character" w:customStyle="1" w:styleId="1552">
    <w:name w:val="段落 Char Char Char Char"/>
    <w:link w:val="1553"/>
    <w:qFormat/>
    <w:uiPriority w:val="0"/>
    <w:rPr>
      <w:rFonts w:ascii="Calibri" w:hAnsi="Calibri"/>
      <w:sz w:val="24"/>
      <w:szCs w:val="24"/>
    </w:rPr>
  </w:style>
  <w:style w:type="paragraph" w:customStyle="1" w:styleId="1553">
    <w:name w:val="段落 Char"/>
    <w:basedOn w:val="1"/>
    <w:link w:val="1552"/>
    <w:qFormat/>
    <w:uiPriority w:val="0"/>
    <w:pPr>
      <w:topLinePunct/>
      <w:ind w:firstLine="200" w:firstLineChars="200"/>
      <w:jc w:val="both"/>
    </w:pPr>
    <w:rPr>
      <w:rFonts w:ascii="Calibri" w:hAnsi="Calibri"/>
      <w:kern w:val="0"/>
      <w:szCs w:val="24"/>
    </w:rPr>
  </w:style>
  <w:style w:type="character" w:customStyle="1" w:styleId="1554">
    <w:name w:val="正文-biao Char Char"/>
    <w:link w:val="1555"/>
    <w:qFormat/>
    <w:uiPriority w:val="0"/>
    <w:rPr>
      <w:rFonts w:ascii="Calibri" w:hAnsi="宋体"/>
      <w:sz w:val="24"/>
      <w:szCs w:val="24"/>
    </w:rPr>
  </w:style>
  <w:style w:type="paragraph" w:customStyle="1" w:styleId="1555">
    <w:name w:val="正文-biao"/>
    <w:basedOn w:val="1"/>
    <w:link w:val="1554"/>
    <w:qFormat/>
    <w:uiPriority w:val="0"/>
    <w:pPr>
      <w:spacing w:before="60" w:line="460" w:lineRule="exact"/>
      <w:ind w:firstLine="482" w:firstLineChars="200"/>
      <w:jc w:val="both"/>
    </w:pPr>
    <w:rPr>
      <w:rFonts w:ascii="Calibri" w:hAnsi="宋体"/>
      <w:kern w:val="0"/>
      <w:szCs w:val="24"/>
    </w:rPr>
  </w:style>
  <w:style w:type="character" w:customStyle="1" w:styleId="1556">
    <w:name w:val="正文01 Char1"/>
    <w:qFormat/>
    <w:uiPriority w:val="0"/>
    <w:rPr>
      <w:rFonts w:eastAsia="宋体"/>
      <w:bCs/>
      <w:kern w:val="2"/>
      <w:sz w:val="24"/>
      <w:szCs w:val="24"/>
      <w:lang w:val="en-US" w:eastAsia="zh-CN"/>
    </w:rPr>
  </w:style>
  <w:style w:type="character" w:customStyle="1" w:styleId="1557">
    <w:name w:val="样式 (西文) Times New Roman (中文) 宋体 (符号) 宋体 行距: 固定值 20 磅 首行缩进:  ... Char Char"/>
    <w:qFormat/>
    <w:uiPriority w:val="0"/>
    <w:rPr>
      <w:rFonts w:ascii="Calibri" w:hAnsi="宋体" w:eastAsia="宋体"/>
      <w:sz w:val="24"/>
      <w:lang w:eastAsia="zh-CN"/>
    </w:rPr>
  </w:style>
  <w:style w:type="character" w:customStyle="1" w:styleId="1558">
    <w:name w:val="Char Char32"/>
    <w:qFormat/>
    <w:uiPriority w:val="0"/>
    <w:rPr>
      <w:rFonts w:eastAsia="宋体"/>
      <w:sz w:val="21"/>
      <w:lang w:val="en-US" w:eastAsia="zh-CN"/>
    </w:rPr>
  </w:style>
  <w:style w:type="character" w:customStyle="1" w:styleId="1559">
    <w:name w:val="样式 样式1 + 首行缩进:  2 字符 Char1"/>
    <w:qFormat/>
    <w:uiPriority w:val="0"/>
    <w:rPr>
      <w:rFonts w:eastAsia="宋体" w:cs="宋体"/>
      <w:bCs/>
      <w:kern w:val="2"/>
      <w:sz w:val="24"/>
      <w:lang w:val="en-US" w:eastAsia="zh-CN"/>
    </w:rPr>
  </w:style>
  <w:style w:type="character" w:customStyle="1" w:styleId="1560">
    <w:name w:val="list_title"/>
    <w:basedOn w:val="81"/>
    <w:qFormat/>
    <w:uiPriority w:val="0"/>
  </w:style>
  <w:style w:type="character" w:customStyle="1" w:styleId="1561">
    <w:name w:val="引用 Char1"/>
    <w:qFormat/>
    <w:uiPriority w:val="0"/>
    <w:rPr>
      <w:i/>
      <w:iCs/>
      <w:color w:val="000000"/>
    </w:rPr>
  </w:style>
  <w:style w:type="character" w:customStyle="1" w:styleId="1562">
    <w:name w:val="不明显强调2"/>
    <w:qFormat/>
    <w:uiPriority w:val="0"/>
    <w:rPr>
      <w:i/>
      <w:iCs/>
      <w:color w:val="808080"/>
    </w:rPr>
  </w:style>
  <w:style w:type="character" w:customStyle="1" w:styleId="1563">
    <w:name w:val="不明显参考1"/>
    <w:qFormat/>
    <w:uiPriority w:val="0"/>
    <w:rPr>
      <w:smallCaps/>
      <w:color w:val="C0504D"/>
      <w:u w:val="single"/>
    </w:rPr>
  </w:style>
  <w:style w:type="character" w:customStyle="1" w:styleId="1564">
    <w:name w:val="lemmatitleh11"/>
    <w:basedOn w:val="81"/>
    <w:qFormat/>
    <w:uiPriority w:val="0"/>
  </w:style>
  <w:style w:type="character" w:customStyle="1" w:styleId="1565">
    <w:name w:val="注 Char Char"/>
    <w:qFormat/>
    <w:uiPriority w:val="0"/>
    <w:rPr>
      <w:rFonts w:ascii="Arial" w:hAnsi="Arial" w:eastAsia="宋体"/>
      <w:kern w:val="2"/>
      <w:sz w:val="18"/>
      <w:szCs w:val="24"/>
      <w:lang w:val="en-US" w:eastAsia="zh-CN"/>
    </w:rPr>
  </w:style>
  <w:style w:type="character" w:customStyle="1" w:styleId="1566">
    <w:name w:val="Re Char"/>
    <w:qFormat/>
    <w:uiPriority w:val="0"/>
    <w:rPr>
      <w:rFonts w:eastAsia="宋体"/>
      <w:b/>
      <w:bCs/>
      <w:kern w:val="2"/>
      <w:sz w:val="32"/>
      <w:szCs w:val="32"/>
      <w:lang w:val="en-US" w:eastAsia="zh-CN"/>
    </w:rPr>
  </w:style>
  <w:style w:type="character" w:customStyle="1" w:styleId="1567">
    <w:name w:val="正文文字1 Char Char"/>
    <w:qFormat/>
    <w:uiPriority w:val="0"/>
    <w:rPr>
      <w:rFonts w:ascii="宋体" w:eastAsia="宋体"/>
      <w:kern w:val="2"/>
      <w:sz w:val="24"/>
      <w:lang w:val="en-US" w:eastAsia="zh-CN"/>
    </w:rPr>
  </w:style>
  <w:style w:type="character" w:customStyle="1" w:styleId="1568">
    <w:name w:val="MFS单位 Char Char"/>
    <w:link w:val="1569"/>
    <w:qFormat/>
    <w:uiPriority w:val="0"/>
    <w:rPr>
      <w:sz w:val="18"/>
      <w:szCs w:val="24"/>
    </w:rPr>
  </w:style>
  <w:style w:type="paragraph" w:customStyle="1" w:styleId="1569">
    <w:name w:val="MFS单位"/>
    <w:basedOn w:val="1"/>
    <w:link w:val="1568"/>
    <w:qFormat/>
    <w:uiPriority w:val="0"/>
    <w:pPr>
      <w:widowControl w:val="0"/>
      <w:spacing w:line="240" w:lineRule="auto"/>
      <w:jc w:val="right"/>
    </w:pPr>
    <w:rPr>
      <w:kern w:val="0"/>
      <w:sz w:val="18"/>
      <w:szCs w:val="24"/>
    </w:rPr>
  </w:style>
  <w:style w:type="character" w:customStyle="1" w:styleId="1570">
    <w:name w:val="正文111111111 Char Char"/>
    <w:qFormat/>
    <w:uiPriority w:val="0"/>
    <w:rPr>
      <w:rFonts w:eastAsia="宋体" w:cs="宋体"/>
      <w:sz w:val="24"/>
    </w:rPr>
  </w:style>
  <w:style w:type="character" w:customStyle="1" w:styleId="1571">
    <w:name w:val="正文（首行缩进两字） Char Char Char Char Char Char Char Char1"/>
    <w:qFormat/>
    <w:uiPriority w:val="0"/>
    <w:rPr>
      <w:rFonts w:eastAsia="宋体"/>
      <w:kern w:val="2"/>
      <w:sz w:val="28"/>
      <w:lang w:val="en-US" w:eastAsia="zh-CN"/>
    </w:rPr>
  </w:style>
  <w:style w:type="character" w:customStyle="1" w:styleId="1572">
    <w:name w:val="H3 Char1"/>
    <w:qFormat/>
    <w:uiPriority w:val="0"/>
    <w:rPr>
      <w:b/>
      <w:bCs/>
      <w:kern w:val="2"/>
      <w:sz w:val="32"/>
      <w:szCs w:val="32"/>
    </w:rPr>
  </w:style>
  <w:style w:type="character" w:customStyle="1" w:styleId="1573">
    <w:name w:val="Char Char2"/>
    <w:qFormat/>
    <w:uiPriority w:val="0"/>
    <w:rPr>
      <w:rFonts w:eastAsia="宋体"/>
      <w:kern w:val="2"/>
      <w:sz w:val="18"/>
      <w:szCs w:val="18"/>
      <w:lang w:val="en-US" w:eastAsia="zh-CN"/>
    </w:rPr>
  </w:style>
  <w:style w:type="character" w:customStyle="1" w:styleId="1574">
    <w:name w:val="正文文字缩进 Char Char1"/>
    <w:qFormat/>
    <w:uiPriority w:val="0"/>
    <w:rPr>
      <w:rFonts w:eastAsia="宋体"/>
      <w:kern w:val="2"/>
      <w:sz w:val="21"/>
      <w:szCs w:val="24"/>
      <w:lang w:val="en-US" w:eastAsia="zh-CN"/>
    </w:rPr>
  </w:style>
  <w:style w:type="character" w:customStyle="1" w:styleId="1575">
    <w:name w:val="正文缩进 Char2"/>
    <w:qFormat/>
    <w:uiPriority w:val="0"/>
    <w:rPr>
      <w:rFonts w:eastAsia="宋体"/>
      <w:kern w:val="2"/>
      <w:sz w:val="28"/>
      <w:lang w:val="en-US" w:eastAsia="zh-CN"/>
    </w:rPr>
  </w:style>
  <w:style w:type="character" w:customStyle="1" w:styleId="1576">
    <w:name w:val="样式2 Char Char1"/>
    <w:qFormat/>
    <w:uiPriority w:val="0"/>
    <w:rPr>
      <w:rFonts w:ascii="Arial" w:hAnsi="Arial" w:eastAsia="宋体" w:cs="Arial"/>
      <w:bCs/>
      <w:color w:val="000000"/>
      <w:sz w:val="24"/>
      <w:szCs w:val="24"/>
      <w:lang w:val="zh-CN" w:eastAsia="zh-CN"/>
    </w:rPr>
  </w:style>
  <w:style w:type="character" w:customStyle="1" w:styleId="1577">
    <w:name w:val="haha Char Char Char"/>
    <w:qFormat/>
    <w:uiPriority w:val="0"/>
    <w:rPr>
      <w:rFonts w:eastAsia="仿宋_GB2312"/>
      <w:kern w:val="2"/>
      <w:sz w:val="24"/>
      <w:lang w:val="en-US" w:eastAsia="zh-CN"/>
    </w:rPr>
  </w:style>
  <w:style w:type="character" w:customStyle="1" w:styleId="1578">
    <w:name w:val="lff Char Char Char"/>
    <w:qFormat/>
    <w:uiPriority w:val="0"/>
    <w:rPr>
      <w:rFonts w:ascii="宋体" w:hAnsi="宋体" w:eastAsia="宋体"/>
      <w:snapToGrid w:val="0"/>
      <w:color w:val="000000"/>
      <w:sz w:val="28"/>
      <w:szCs w:val="28"/>
      <w:lang w:val="en-US" w:eastAsia="zh-CN"/>
    </w:rPr>
  </w:style>
  <w:style w:type="character" w:customStyle="1" w:styleId="1579">
    <w:name w:val="样式5 Char Char Char"/>
    <w:qFormat/>
    <w:uiPriority w:val="0"/>
    <w:rPr>
      <w:rFonts w:eastAsia="仿宋_GB2312"/>
      <w:kern w:val="2"/>
      <w:sz w:val="24"/>
      <w:szCs w:val="24"/>
      <w:lang w:val="en-US" w:eastAsia="zh-CN"/>
    </w:rPr>
  </w:style>
  <w:style w:type="character" w:customStyle="1" w:styleId="1580">
    <w:name w:val="haha Char Char"/>
    <w:qFormat/>
    <w:uiPriority w:val="0"/>
    <w:rPr>
      <w:rFonts w:eastAsia="仿宋_GB2312"/>
      <w:sz w:val="24"/>
    </w:rPr>
  </w:style>
  <w:style w:type="character" w:customStyle="1" w:styleId="1581">
    <w:name w:val="g Char Char"/>
    <w:qFormat/>
    <w:uiPriority w:val="0"/>
    <w:rPr>
      <w:rFonts w:eastAsia="宋体"/>
      <w:bCs/>
      <w:kern w:val="2"/>
      <w:sz w:val="18"/>
      <w:szCs w:val="18"/>
      <w:lang w:val="en-US" w:eastAsia="zh-CN"/>
    </w:rPr>
  </w:style>
  <w:style w:type="character" w:customStyle="1" w:styleId="1582">
    <w:name w:val="标题 3 Char Char1"/>
    <w:qFormat/>
    <w:uiPriority w:val="0"/>
    <w:rPr>
      <w:rFonts w:eastAsia="宋体"/>
      <w:b/>
      <w:bCs/>
      <w:kern w:val="2"/>
      <w:sz w:val="32"/>
      <w:szCs w:val="32"/>
      <w:lang w:val="en-US" w:eastAsia="zh-CN"/>
    </w:rPr>
  </w:style>
  <w:style w:type="character" w:customStyle="1" w:styleId="1583">
    <w:name w:val="陈光的正文 Char Char"/>
    <w:link w:val="1584"/>
    <w:qFormat/>
    <w:uiPriority w:val="0"/>
    <w:rPr>
      <w:sz w:val="28"/>
    </w:rPr>
  </w:style>
  <w:style w:type="paragraph" w:customStyle="1" w:styleId="1584">
    <w:name w:val="陈光的正文"/>
    <w:basedOn w:val="1"/>
    <w:link w:val="1583"/>
    <w:qFormat/>
    <w:uiPriority w:val="0"/>
    <w:pPr>
      <w:widowControl w:val="0"/>
      <w:spacing w:beforeLines="10" w:afterLines="10"/>
      <w:ind w:firstLine="560" w:firstLineChars="200"/>
      <w:jc w:val="both"/>
    </w:pPr>
    <w:rPr>
      <w:kern w:val="0"/>
      <w:sz w:val="28"/>
      <w:szCs w:val="20"/>
    </w:rPr>
  </w:style>
  <w:style w:type="character" w:customStyle="1" w:styleId="1585">
    <w:name w:val="g Char Char1"/>
    <w:qFormat/>
    <w:uiPriority w:val="0"/>
    <w:rPr>
      <w:rFonts w:eastAsia="宋体"/>
      <w:kern w:val="2"/>
      <w:sz w:val="18"/>
      <w:lang w:val="en-US" w:eastAsia="zh-CN"/>
    </w:rPr>
  </w:style>
  <w:style w:type="character" w:customStyle="1" w:styleId="1586">
    <w:name w:val="样式 Arial 小四"/>
    <w:qFormat/>
    <w:uiPriority w:val="0"/>
    <w:rPr>
      <w:rFonts w:ascii="Arial" w:hAnsi="Arial"/>
      <w:sz w:val="24"/>
    </w:rPr>
  </w:style>
  <w:style w:type="character" w:customStyle="1" w:styleId="1587">
    <w:name w:val="H1 Char2"/>
    <w:qFormat/>
    <w:uiPriority w:val="0"/>
    <w:rPr>
      <w:bCs/>
      <w:color w:val="000000"/>
      <w:kern w:val="44"/>
      <w:sz w:val="28"/>
      <w:szCs w:val="28"/>
    </w:rPr>
  </w:style>
  <w:style w:type="character" w:customStyle="1" w:styleId="1588">
    <w:name w:val="文本框五号1.5倍行距 Char Char Char"/>
    <w:basedOn w:val="1025"/>
    <w:qFormat/>
    <w:uiPriority w:val="0"/>
    <w:rPr>
      <w:rFonts w:eastAsia="仿宋_GB2312"/>
      <w:kern w:val="2"/>
      <w:sz w:val="21"/>
      <w:szCs w:val="21"/>
      <w:lang w:val="en-US" w:eastAsia="zh-CN" w:bidi="ar-SA"/>
    </w:rPr>
  </w:style>
  <w:style w:type="character" w:customStyle="1" w:styleId="1589">
    <w:name w:val="ch1"/>
    <w:qFormat/>
    <w:uiPriority w:val="0"/>
    <w:rPr>
      <w:rFonts w:hint="default"/>
      <w:sz w:val="18"/>
    </w:rPr>
  </w:style>
  <w:style w:type="character" w:customStyle="1" w:styleId="1590">
    <w:name w:val="样式 首行缩进:  2 字符 Char Char"/>
    <w:qFormat/>
    <w:uiPriority w:val="0"/>
    <w:rPr>
      <w:rFonts w:ascii="Calibri" w:hAnsi="Calibri" w:eastAsia="宋体" w:cs="宋体"/>
      <w:sz w:val="28"/>
      <w:lang w:eastAsia="en-US"/>
    </w:rPr>
  </w:style>
  <w:style w:type="character" w:customStyle="1" w:styleId="1591">
    <w:name w:val="样式 标题 3 Char Char"/>
    <w:qFormat/>
    <w:uiPriority w:val="0"/>
    <w:rPr>
      <w:rFonts w:eastAsia="宋体"/>
      <w:snapToGrid w:val="0"/>
      <w:sz w:val="28"/>
      <w:szCs w:val="28"/>
    </w:rPr>
  </w:style>
  <w:style w:type="character" w:customStyle="1" w:styleId="1592">
    <w:name w:val="haha Char Char Char Char"/>
    <w:qFormat/>
    <w:uiPriority w:val="0"/>
    <w:rPr>
      <w:rFonts w:eastAsia="仿宋_GB2312"/>
      <w:kern w:val="2"/>
      <w:sz w:val="24"/>
      <w:szCs w:val="24"/>
      <w:lang w:val="en-US" w:eastAsia="zh-CN"/>
    </w:rPr>
  </w:style>
  <w:style w:type="character" w:customStyle="1" w:styleId="1593">
    <w:name w:val="湛江钢铁表 Char Char"/>
    <w:qFormat/>
    <w:uiPriority w:val="0"/>
    <w:rPr>
      <w:rFonts w:eastAsia="仿宋_GB2312"/>
      <w:snapToGrid w:val="0"/>
      <w:szCs w:val="21"/>
    </w:rPr>
  </w:style>
  <w:style w:type="character" w:customStyle="1" w:styleId="1594">
    <w:name w:val="样式 湛江钢铁表 + Char Char"/>
    <w:basedOn w:val="1593"/>
    <w:qFormat/>
    <w:uiPriority w:val="0"/>
    <w:rPr>
      <w:rFonts w:eastAsia="仿宋_GB2312"/>
      <w:snapToGrid w:val="0"/>
      <w:szCs w:val="21"/>
    </w:rPr>
  </w:style>
  <w:style w:type="character" w:customStyle="1" w:styleId="1595">
    <w:name w:val="t1"/>
    <w:basedOn w:val="81"/>
    <w:qFormat/>
    <w:uiPriority w:val="0"/>
  </w:style>
  <w:style w:type="character" w:customStyle="1" w:styleId="1596">
    <w:name w:val="表格标题 Char Char"/>
    <w:qFormat/>
    <w:uiPriority w:val="0"/>
    <w:rPr>
      <w:rFonts w:eastAsia="宋体"/>
      <w:kern w:val="2"/>
      <w:sz w:val="21"/>
      <w:lang w:val="en-US" w:eastAsia="zh-CN"/>
    </w:rPr>
  </w:style>
  <w:style w:type="character" w:customStyle="1" w:styleId="1597">
    <w:name w:val="list_description"/>
    <w:basedOn w:val="81"/>
    <w:qFormat/>
    <w:uiPriority w:val="0"/>
  </w:style>
  <w:style w:type="character" w:customStyle="1" w:styleId="1598">
    <w:name w:val="表格文字-大表-小五"/>
    <w:qFormat/>
    <w:uiPriority w:val="0"/>
    <w:rPr>
      <w:color w:val="000000"/>
      <w:sz w:val="18"/>
    </w:rPr>
  </w:style>
  <w:style w:type="character" w:customStyle="1" w:styleId="1599">
    <w:name w:val="Char Char101"/>
    <w:qFormat/>
    <w:uiPriority w:val="0"/>
    <w:rPr>
      <w:rFonts w:eastAsia="宋体"/>
      <w:snapToGrid w:val="0"/>
      <w:spacing w:val="8"/>
      <w:kern w:val="2"/>
      <w:sz w:val="18"/>
      <w:szCs w:val="18"/>
      <w:lang w:val="en-US" w:eastAsia="zh-CN"/>
    </w:rPr>
  </w:style>
  <w:style w:type="character" w:customStyle="1" w:styleId="1600">
    <w:name w:val="标题 2 Char Char Char Char Char Char Char"/>
    <w:qFormat/>
    <w:uiPriority w:val="0"/>
    <w:rPr>
      <w:rFonts w:eastAsia="黑体"/>
      <w:b/>
      <w:kern w:val="2"/>
      <w:sz w:val="32"/>
      <w:lang w:val="en-US" w:eastAsia="zh-CN"/>
    </w:rPr>
  </w:style>
  <w:style w:type="character" w:customStyle="1" w:styleId="1601">
    <w:name w:val="10"/>
    <w:qFormat/>
    <w:uiPriority w:val="0"/>
    <w:rPr>
      <w:rFonts w:hint="default" w:ascii="Times New Roman" w:hAnsi="Times New Roman" w:cs="Times New Roman"/>
      <w:sz w:val="20"/>
      <w:szCs w:val="20"/>
    </w:rPr>
  </w:style>
  <w:style w:type="character" w:customStyle="1" w:styleId="1602">
    <w:name w:val="正文首行缩进 Char2"/>
    <w:basedOn w:val="161"/>
    <w:qFormat/>
    <w:uiPriority w:val="0"/>
    <w:rPr>
      <w:rFonts w:ascii="Calibri" w:hAnsi="Calibri" w:eastAsia="宋体" w:cs="Times New Roman"/>
      <w:kern w:val="0"/>
      <w:sz w:val="24"/>
      <w:lang w:eastAsia="en-US"/>
    </w:rPr>
  </w:style>
  <w:style w:type="character" w:customStyle="1" w:styleId="1603">
    <w:name w:val="z-窗体顶端 Char"/>
    <w:link w:val="1604"/>
    <w:qFormat/>
    <w:uiPriority w:val="0"/>
    <w:rPr>
      <w:rFonts w:ascii="Arial" w:hAnsi="Arial" w:cs="Arial"/>
      <w:vanish/>
      <w:sz w:val="16"/>
      <w:szCs w:val="16"/>
      <w:lang w:eastAsia="en-US"/>
    </w:rPr>
  </w:style>
  <w:style w:type="paragraph" w:customStyle="1" w:styleId="1604">
    <w:name w:val="z-窗体顶端1"/>
    <w:basedOn w:val="1"/>
    <w:next w:val="1"/>
    <w:link w:val="1603"/>
    <w:qFormat/>
    <w:uiPriority w:val="0"/>
    <w:pPr>
      <w:pBdr>
        <w:bottom w:val="single" w:color="auto" w:sz="6" w:space="1"/>
      </w:pBdr>
      <w:spacing w:line="440" w:lineRule="exact"/>
      <w:ind w:firstLine="200" w:firstLineChars="200"/>
      <w:jc w:val="center"/>
    </w:pPr>
    <w:rPr>
      <w:rFonts w:ascii="Arial" w:hAnsi="Arial"/>
      <w:vanish/>
      <w:kern w:val="0"/>
      <w:sz w:val="16"/>
      <w:szCs w:val="16"/>
      <w:lang w:eastAsia="en-US"/>
    </w:rPr>
  </w:style>
  <w:style w:type="character" w:customStyle="1" w:styleId="1605">
    <w:name w:val="z-窗体底端 Char"/>
    <w:link w:val="1606"/>
    <w:qFormat/>
    <w:uiPriority w:val="0"/>
    <w:rPr>
      <w:rFonts w:ascii="Arial" w:hAnsi="Arial" w:cs="Arial"/>
      <w:vanish/>
      <w:sz w:val="16"/>
      <w:szCs w:val="16"/>
      <w:lang w:eastAsia="en-US"/>
    </w:rPr>
  </w:style>
  <w:style w:type="paragraph" w:customStyle="1" w:styleId="1606">
    <w:name w:val="z-窗体底端1"/>
    <w:basedOn w:val="1"/>
    <w:next w:val="1"/>
    <w:link w:val="1605"/>
    <w:qFormat/>
    <w:uiPriority w:val="0"/>
    <w:pPr>
      <w:pBdr>
        <w:top w:val="single" w:color="auto" w:sz="6" w:space="1"/>
      </w:pBdr>
      <w:spacing w:line="440" w:lineRule="exact"/>
      <w:ind w:firstLine="200" w:firstLineChars="200"/>
      <w:jc w:val="center"/>
    </w:pPr>
    <w:rPr>
      <w:rFonts w:ascii="Arial" w:hAnsi="Arial"/>
      <w:vanish/>
      <w:kern w:val="0"/>
      <w:sz w:val="16"/>
      <w:szCs w:val="16"/>
      <w:lang w:eastAsia="en-US"/>
    </w:rPr>
  </w:style>
  <w:style w:type="character" w:customStyle="1" w:styleId="1607">
    <w:name w:val="引用 Char2"/>
    <w:qFormat/>
    <w:uiPriority w:val="0"/>
    <w:rPr>
      <w:rFonts w:ascii="Calibri" w:hAnsi="Calibri" w:eastAsia="宋体" w:cs="Times New Roman"/>
      <w:i/>
      <w:iCs/>
      <w:color w:val="000000"/>
      <w:kern w:val="0"/>
      <w:sz w:val="24"/>
      <w:lang w:eastAsia="en-US"/>
    </w:rPr>
  </w:style>
  <w:style w:type="paragraph" w:customStyle="1" w:styleId="1608">
    <w:name w:val="索引 11"/>
    <w:basedOn w:val="1"/>
    <w:next w:val="1"/>
    <w:qFormat/>
    <w:uiPriority w:val="0"/>
    <w:pPr>
      <w:spacing w:line="440" w:lineRule="exact"/>
      <w:ind w:firstLine="200" w:firstLineChars="200"/>
      <w:jc w:val="both"/>
    </w:pPr>
    <w:rPr>
      <w:rFonts w:ascii="宋体"/>
      <w:kern w:val="0"/>
      <w:sz w:val="26"/>
      <w:szCs w:val="20"/>
    </w:rPr>
  </w:style>
  <w:style w:type="paragraph" w:customStyle="1" w:styleId="1609">
    <w:name w:val="Char Char Char Char Char Char1 Char4"/>
    <w:basedOn w:val="1"/>
    <w:qFormat/>
    <w:uiPriority w:val="0"/>
    <w:pPr>
      <w:widowControl w:val="0"/>
      <w:spacing w:line="240" w:lineRule="auto"/>
      <w:jc w:val="both"/>
    </w:pPr>
    <w:rPr>
      <w:sz w:val="21"/>
      <w:szCs w:val="24"/>
    </w:rPr>
  </w:style>
  <w:style w:type="paragraph" w:customStyle="1" w:styleId="1610">
    <w:name w:val="公式 新"/>
    <w:basedOn w:val="1"/>
    <w:qFormat/>
    <w:uiPriority w:val="0"/>
    <w:pPr>
      <w:spacing w:beforeLines="50" w:afterLines="50"/>
      <w:ind w:firstLine="200" w:firstLineChars="200"/>
      <w:jc w:val="center"/>
    </w:pPr>
    <w:rPr>
      <w:rFonts w:ascii="宋体" w:cs="宋体"/>
      <w:kern w:val="0"/>
      <w:szCs w:val="20"/>
    </w:rPr>
  </w:style>
  <w:style w:type="paragraph" w:customStyle="1" w:styleId="1611">
    <w:name w:val="标题41"/>
    <w:basedOn w:val="1"/>
    <w:next w:val="878"/>
    <w:qFormat/>
    <w:uiPriority w:val="0"/>
    <w:pPr>
      <w:tabs>
        <w:tab w:val="left" w:pos="840"/>
      </w:tabs>
      <w:spacing w:line="440" w:lineRule="exact"/>
      <w:ind w:left="840" w:firstLine="200" w:firstLineChars="200"/>
      <w:jc w:val="center"/>
    </w:pPr>
    <w:rPr>
      <w:rFonts w:ascii="宋体" w:eastAsia="仿宋_GB2312"/>
      <w:bCs/>
      <w:kern w:val="0"/>
      <w:szCs w:val="20"/>
    </w:rPr>
  </w:style>
  <w:style w:type="paragraph" w:customStyle="1" w:styleId="1612">
    <w:name w:val="样式1."/>
    <w:basedOn w:val="1"/>
    <w:qFormat/>
    <w:uiPriority w:val="0"/>
    <w:pPr>
      <w:spacing w:line="460" w:lineRule="exact"/>
      <w:ind w:firstLine="200" w:firstLineChars="200"/>
      <w:jc w:val="both"/>
    </w:pPr>
    <w:rPr>
      <w:rFonts w:ascii="黑体" w:eastAsia="黑体"/>
      <w:b/>
      <w:kern w:val="0"/>
      <w:sz w:val="30"/>
      <w:szCs w:val="20"/>
    </w:rPr>
  </w:style>
  <w:style w:type="paragraph" w:customStyle="1" w:styleId="1613">
    <w:name w:val="样式 小四 居中 行距: 1.5 倍行距"/>
    <w:basedOn w:val="1"/>
    <w:qFormat/>
    <w:uiPriority w:val="0"/>
    <w:pPr>
      <w:spacing w:beforeLines="50" w:line="440" w:lineRule="exact"/>
      <w:ind w:firstLine="200" w:firstLineChars="200"/>
      <w:jc w:val="center"/>
    </w:pPr>
    <w:rPr>
      <w:rFonts w:ascii="宋体" w:eastAsia="黑体" w:cs="宋体"/>
      <w:kern w:val="0"/>
      <w:szCs w:val="20"/>
    </w:rPr>
  </w:style>
  <w:style w:type="paragraph" w:customStyle="1" w:styleId="1614">
    <w:name w:val="样式 四号 首行缩进:  0.99 厘米 行距: 固定值 23 磅"/>
    <w:basedOn w:val="1"/>
    <w:qFormat/>
    <w:uiPriority w:val="0"/>
    <w:pPr>
      <w:spacing w:line="460" w:lineRule="exact"/>
      <w:ind w:firstLine="560" w:firstLineChars="200"/>
      <w:jc w:val="both"/>
    </w:pPr>
    <w:rPr>
      <w:rFonts w:ascii="宋体" w:cs="宋体"/>
      <w:kern w:val="0"/>
      <w:sz w:val="28"/>
      <w:szCs w:val="20"/>
    </w:rPr>
  </w:style>
  <w:style w:type="paragraph" w:customStyle="1" w:styleId="1615">
    <w:name w:val="wpsplain"/>
    <w:basedOn w:val="1"/>
    <w:qFormat/>
    <w:uiPriority w:val="0"/>
    <w:pPr>
      <w:spacing w:line="440" w:lineRule="exact"/>
      <w:ind w:firstLine="200" w:firstLineChars="200"/>
      <w:jc w:val="both"/>
    </w:pPr>
    <w:rPr>
      <w:rFonts w:ascii="宋体"/>
      <w:kern w:val="0"/>
      <w:sz w:val="20"/>
      <w:szCs w:val="20"/>
    </w:rPr>
  </w:style>
  <w:style w:type="paragraph" w:customStyle="1" w:styleId="1616">
    <w:name w:val="表biao"/>
    <w:basedOn w:val="1"/>
    <w:qFormat/>
    <w:uiPriority w:val="0"/>
    <w:pPr>
      <w:spacing w:line="280" w:lineRule="exact"/>
      <w:ind w:firstLine="200" w:firstLineChars="200"/>
      <w:jc w:val="center"/>
    </w:pPr>
    <w:rPr>
      <w:rFonts w:ascii="宋体"/>
      <w:kern w:val="0"/>
    </w:rPr>
  </w:style>
  <w:style w:type="paragraph" w:customStyle="1" w:styleId="1617">
    <w:name w:val="正文首行缩进1"/>
    <w:basedOn w:val="31"/>
    <w:qFormat/>
    <w:uiPriority w:val="0"/>
    <w:pPr>
      <w:widowControl w:val="0"/>
      <w:spacing w:after="0" w:line="312" w:lineRule="auto"/>
      <w:ind w:firstLine="567"/>
      <w:textAlignment w:val="baseline"/>
    </w:pPr>
    <w:rPr>
      <w:sz w:val="28"/>
      <w:lang w:val="zh-CN"/>
    </w:rPr>
  </w:style>
  <w:style w:type="paragraph" w:customStyle="1" w:styleId="1618">
    <w:name w:val="Char Char Char1 Char Char Char Char Char Char Char Char Char Char4"/>
    <w:basedOn w:val="1"/>
    <w:qFormat/>
    <w:uiPriority w:val="0"/>
    <w:pPr>
      <w:widowControl w:val="0"/>
      <w:spacing w:line="240" w:lineRule="auto"/>
      <w:jc w:val="both"/>
    </w:pPr>
    <w:rPr>
      <w:sz w:val="21"/>
      <w:szCs w:val="24"/>
    </w:rPr>
  </w:style>
  <w:style w:type="paragraph" w:customStyle="1" w:styleId="1619">
    <w:name w:val="样式 样式 样式 四号 黑色 + 首行缩进:  2 字符 + 小四 下划线 居中"/>
    <w:basedOn w:val="1505"/>
    <w:qFormat/>
    <w:uiPriority w:val="0"/>
    <w:pPr>
      <w:ind w:firstLine="0" w:firstLineChars="0"/>
      <w:jc w:val="center"/>
    </w:pPr>
    <w:rPr>
      <w:sz w:val="24"/>
      <w:u w:val="single"/>
    </w:rPr>
  </w:style>
  <w:style w:type="paragraph" w:customStyle="1" w:styleId="1620">
    <w:name w:val="p25"/>
    <w:basedOn w:val="1"/>
    <w:qFormat/>
    <w:uiPriority w:val="0"/>
    <w:pPr>
      <w:spacing w:line="240" w:lineRule="auto"/>
      <w:jc w:val="center"/>
    </w:pPr>
    <w:rPr>
      <w:kern w:val="0"/>
      <w:sz w:val="21"/>
    </w:rPr>
  </w:style>
  <w:style w:type="paragraph" w:customStyle="1" w:styleId="1621">
    <w:name w:val="样式 样式 样式 首行缩进:  2 字符 段后: 0.5 行 + 首行缩进:  2 字符 段后: 0.5 行 + 段后: 0.5...1"/>
    <w:basedOn w:val="1545"/>
    <w:qFormat/>
    <w:uiPriority w:val="0"/>
    <w:pPr>
      <w:spacing w:afterLines="0"/>
    </w:pPr>
  </w:style>
  <w:style w:type="paragraph" w:customStyle="1" w:styleId="1622">
    <w:name w:val="样式 标题 3 + (中文) 黑体 小四 非加粗 段前: 7.8 磅 段后: 7.8 磅 行距: 1.5 倍行距"/>
    <w:basedOn w:val="8"/>
    <w:qFormat/>
    <w:uiPriority w:val="0"/>
    <w:pPr>
      <w:spacing w:before="156" w:after="156" w:line="360" w:lineRule="auto"/>
      <w:jc w:val="both"/>
    </w:pPr>
    <w:rPr>
      <w:rFonts w:eastAsia="黑体" w:cs="宋体"/>
      <w:b w:val="0"/>
      <w:bCs w:val="0"/>
      <w:szCs w:val="20"/>
      <w:lang w:val="zh-CN"/>
    </w:rPr>
  </w:style>
  <w:style w:type="paragraph" w:customStyle="1" w:styleId="1623">
    <w:name w:val="样式 标题 1标题 1 CharH1H11H12Heading 11level 1Level 1 Head章章..."/>
    <w:basedOn w:val="6"/>
    <w:qFormat/>
    <w:uiPriority w:val="0"/>
    <w:pPr>
      <w:widowControl w:val="0"/>
      <w:spacing w:beforeLines="100" w:afterLines="100" w:line="348" w:lineRule="auto"/>
      <w:ind w:firstLine="200" w:firstLineChars="200"/>
      <w:jc w:val="left"/>
      <w:textAlignment w:val="baseline"/>
    </w:pPr>
    <w:rPr>
      <w:rFonts w:ascii="Times New Roman" w:hAnsi="Times New Roman" w:cs="宋体"/>
      <w:color w:val="000000"/>
      <w:szCs w:val="20"/>
      <w:lang w:val="zh-CN"/>
    </w:rPr>
  </w:style>
  <w:style w:type="paragraph" w:customStyle="1" w:styleId="1624">
    <w:name w:val="引文目录标题1"/>
    <w:basedOn w:val="1"/>
    <w:next w:val="1"/>
    <w:qFormat/>
    <w:uiPriority w:val="0"/>
    <w:pPr>
      <w:spacing w:before="120" w:line="480" w:lineRule="exact"/>
      <w:ind w:firstLine="200" w:firstLineChars="200"/>
      <w:jc w:val="both"/>
    </w:pPr>
    <w:rPr>
      <w:rFonts w:ascii="Arial" w:hAnsi="Arial"/>
      <w:b/>
      <w:bCs/>
      <w:kern w:val="0"/>
      <w:szCs w:val="20"/>
    </w:rPr>
  </w:style>
  <w:style w:type="paragraph" w:customStyle="1" w:styleId="1625">
    <w:name w:val="p33"/>
    <w:basedOn w:val="1"/>
    <w:qFormat/>
    <w:uiPriority w:val="0"/>
    <w:pPr>
      <w:spacing w:line="240" w:lineRule="auto"/>
      <w:ind w:left="2" w:right="-105" w:hanging="2"/>
      <w:jc w:val="center"/>
    </w:pPr>
    <w:rPr>
      <w:b/>
      <w:bCs/>
      <w:spacing w:val="8"/>
      <w:kern w:val="0"/>
      <w:szCs w:val="24"/>
    </w:rPr>
  </w:style>
  <w:style w:type="paragraph" w:customStyle="1" w:styleId="1626">
    <w:name w:val="普通(Web)1"/>
    <w:basedOn w:val="1"/>
    <w:qFormat/>
    <w:uiPriority w:val="0"/>
    <w:pPr>
      <w:spacing w:line="440" w:lineRule="exact"/>
      <w:ind w:firstLine="200" w:firstLineChars="200"/>
      <w:jc w:val="both"/>
    </w:pPr>
    <w:rPr>
      <w:rFonts w:ascii="宋体" w:hAnsi="宋体" w:cs="宋体"/>
      <w:color w:val="000000"/>
      <w:kern w:val="0"/>
      <w:szCs w:val="20"/>
    </w:rPr>
  </w:style>
  <w:style w:type="paragraph" w:customStyle="1" w:styleId="1627">
    <w:name w:val="列表接续1"/>
    <w:basedOn w:val="1"/>
    <w:qFormat/>
    <w:uiPriority w:val="0"/>
    <w:pPr>
      <w:spacing w:after="120" w:line="440" w:lineRule="exact"/>
      <w:ind w:left="420" w:leftChars="200" w:firstLine="200" w:firstLineChars="200"/>
      <w:jc w:val="both"/>
    </w:pPr>
    <w:rPr>
      <w:rFonts w:ascii="宋体"/>
      <w:kern w:val="0"/>
      <w:szCs w:val="20"/>
    </w:rPr>
  </w:style>
  <w:style w:type="paragraph" w:customStyle="1" w:styleId="1628">
    <w:name w:val="样式 样式 段前: 0.5 行 + 首行缩进:  2 字符"/>
    <w:basedOn w:val="1629"/>
    <w:qFormat/>
    <w:uiPriority w:val="0"/>
    <w:pPr>
      <w:spacing w:beforeLines="0"/>
    </w:pPr>
  </w:style>
  <w:style w:type="paragraph" w:customStyle="1" w:styleId="1629">
    <w:name w:val="样式 段前: 0.5 行"/>
    <w:basedOn w:val="1"/>
    <w:qFormat/>
    <w:uiPriority w:val="0"/>
    <w:pPr>
      <w:spacing w:beforeLines="50"/>
      <w:ind w:firstLine="200" w:firstLineChars="200"/>
      <w:jc w:val="both"/>
    </w:pPr>
    <w:rPr>
      <w:rFonts w:ascii="宋体" w:cs="宋体"/>
      <w:kern w:val="0"/>
      <w:szCs w:val="20"/>
    </w:rPr>
  </w:style>
  <w:style w:type="paragraph" w:customStyle="1" w:styleId="1630">
    <w:name w:val="Title 1"/>
    <w:basedOn w:val="6"/>
    <w:next w:val="1"/>
    <w:qFormat/>
    <w:uiPriority w:val="0"/>
    <w:pPr>
      <w:pageBreakBefore/>
      <w:spacing w:before="480" w:after="360" w:line="240" w:lineRule="auto"/>
      <w:ind w:left="927" w:hanging="360"/>
      <w:jc w:val="left"/>
    </w:pPr>
    <w:rPr>
      <w:rFonts w:ascii="Cambria" w:hAnsi="Cambria" w:cs="Arial"/>
      <w:kern w:val="0"/>
      <w:sz w:val="32"/>
      <w:szCs w:val="20"/>
      <w:lang w:val="zh-CN"/>
    </w:rPr>
  </w:style>
  <w:style w:type="paragraph" w:customStyle="1" w:styleId="1631">
    <w:name w:val="样式 表中文字 + 段后: 0.5 行1"/>
    <w:basedOn w:val="198"/>
    <w:qFormat/>
    <w:uiPriority w:val="0"/>
    <w:pPr>
      <w:keepNext w:val="0"/>
      <w:keepLines w:val="0"/>
      <w:spacing w:line="340" w:lineRule="exact"/>
      <w:ind w:firstLine="200" w:firstLineChars="200"/>
    </w:pPr>
    <w:rPr>
      <w:rFonts w:ascii="Arial" w:hAnsi="Arial" w:cs="宋体"/>
      <w:bCs w:val="0"/>
      <w:kern w:val="0"/>
      <w:szCs w:val="21"/>
      <w:lang w:val="zh-CN" w:eastAsia="zh-TW"/>
    </w:rPr>
  </w:style>
  <w:style w:type="paragraph" w:customStyle="1" w:styleId="1632">
    <w:name w:val="资料来源"/>
    <w:basedOn w:val="1"/>
    <w:next w:val="1244"/>
    <w:qFormat/>
    <w:uiPriority w:val="0"/>
    <w:pPr>
      <w:spacing w:beforeLines="25" w:line="440" w:lineRule="exact"/>
      <w:ind w:firstLine="200" w:firstLineChars="200"/>
      <w:jc w:val="both"/>
    </w:pPr>
    <w:rPr>
      <w:rFonts w:ascii="宋体"/>
      <w:kern w:val="0"/>
      <w:sz w:val="20"/>
      <w:szCs w:val="20"/>
    </w:rPr>
  </w:style>
  <w:style w:type="paragraph" w:customStyle="1" w:styleId="1633">
    <w:name w:val="小四表格"/>
    <w:basedOn w:val="1"/>
    <w:qFormat/>
    <w:uiPriority w:val="0"/>
    <w:pPr>
      <w:spacing w:line="440" w:lineRule="exact"/>
      <w:ind w:firstLine="200" w:firstLineChars="200"/>
      <w:jc w:val="center"/>
    </w:pPr>
    <w:rPr>
      <w:rFonts w:ascii="宋体"/>
      <w:kern w:val="0"/>
      <w:szCs w:val="20"/>
    </w:rPr>
  </w:style>
  <w:style w:type="paragraph" w:customStyle="1" w:styleId="1634">
    <w:name w:val="612正文"/>
    <w:basedOn w:val="1"/>
    <w:qFormat/>
    <w:uiPriority w:val="0"/>
    <w:pPr>
      <w:spacing w:line="480" w:lineRule="atLeast"/>
      <w:ind w:firstLine="480" w:firstLineChars="200"/>
      <w:jc w:val="both"/>
    </w:pPr>
    <w:rPr>
      <w:rFonts w:ascii="宋体"/>
      <w:snapToGrid w:val="0"/>
      <w:kern w:val="0"/>
      <w:szCs w:val="20"/>
    </w:rPr>
  </w:style>
  <w:style w:type="paragraph" w:customStyle="1" w:styleId="1635">
    <w:name w:val="索引 61"/>
    <w:basedOn w:val="1"/>
    <w:next w:val="1"/>
    <w:qFormat/>
    <w:uiPriority w:val="0"/>
    <w:pPr>
      <w:spacing w:line="440" w:lineRule="exact"/>
      <w:ind w:left="1000" w:leftChars="1000" w:firstLine="200" w:firstLineChars="200"/>
      <w:jc w:val="both"/>
    </w:pPr>
    <w:rPr>
      <w:rFonts w:ascii="宋体"/>
      <w:kern w:val="0"/>
      <w:szCs w:val="20"/>
    </w:rPr>
  </w:style>
  <w:style w:type="paragraph" w:customStyle="1" w:styleId="1636">
    <w:name w:val="Char Char Char1 Char Char Char Char Char Char Char1"/>
    <w:basedOn w:val="1"/>
    <w:qFormat/>
    <w:uiPriority w:val="0"/>
    <w:pPr>
      <w:widowControl w:val="0"/>
      <w:spacing w:line="240" w:lineRule="auto"/>
      <w:jc w:val="both"/>
    </w:pPr>
    <w:rPr>
      <w:rFonts w:ascii="Tahoma" w:hAnsi="Tahoma"/>
      <w:szCs w:val="20"/>
    </w:rPr>
  </w:style>
  <w:style w:type="paragraph" w:customStyle="1" w:styleId="1637">
    <w:name w:val="Char Char Char1 Char Char Char Char Char Char Char2"/>
    <w:basedOn w:val="1"/>
    <w:qFormat/>
    <w:uiPriority w:val="0"/>
    <w:pPr>
      <w:widowControl w:val="0"/>
      <w:spacing w:line="240" w:lineRule="auto"/>
      <w:jc w:val="both"/>
    </w:pPr>
    <w:rPr>
      <w:rFonts w:ascii="Tahoma" w:hAnsi="Tahoma"/>
      <w:szCs w:val="20"/>
    </w:rPr>
  </w:style>
  <w:style w:type="paragraph" w:customStyle="1" w:styleId="1638">
    <w:name w:val="正文首行缩进2"/>
    <w:basedOn w:val="31"/>
    <w:qFormat/>
    <w:uiPriority w:val="0"/>
    <w:pPr>
      <w:widowControl w:val="0"/>
      <w:spacing w:after="0" w:line="312" w:lineRule="auto"/>
      <w:ind w:firstLine="567"/>
      <w:textAlignment w:val="baseline"/>
    </w:pPr>
    <w:rPr>
      <w:sz w:val="28"/>
      <w:lang w:val="zh-CN"/>
    </w:rPr>
  </w:style>
  <w:style w:type="paragraph" w:customStyle="1" w:styleId="1639">
    <w:name w:val="Char Char Char Char Char Char Char Char Char Char2"/>
    <w:basedOn w:val="1"/>
    <w:qFormat/>
    <w:uiPriority w:val="0"/>
    <w:pPr>
      <w:widowControl w:val="0"/>
      <w:spacing w:line="240" w:lineRule="auto"/>
      <w:jc w:val="both"/>
    </w:pPr>
    <w:rPr>
      <w:rFonts w:ascii="宋体" w:hAnsi="宋体" w:cs="宋体"/>
      <w:color w:val="000000"/>
      <w:sz w:val="21"/>
    </w:rPr>
  </w:style>
  <w:style w:type="paragraph" w:customStyle="1" w:styleId="1640">
    <w:name w:val="大表左紧"/>
    <w:basedOn w:val="1641"/>
    <w:qFormat/>
    <w:uiPriority w:val="0"/>
    <w:pPr>
      <w:tabs>
        <w:tab w:val="left" w:pos="1701"/>
      </w:tabs>
      <w:spacing w:line="276" w:lineRule="auto"/>
    </w:pPr>
    <w:rPr>
      <w:spacing w:val="-6"/>
    </w:rPr>
  </w:style>
  <w:style w:type="paragraph" w:customStyle="1" w:styleId="1641">
    <w:name w:val="大表文左对"/>
    <w:basedOn w:val="1642"/>
    <w:qFormat/>
    <w:uiPriority w:val="0"/>
    <w:pPr>
      <w:tabs>
        <w:tab w:val="left" w:pos="1701"/>
      </w:tabs>
      <w:jc w:val="left"/>
    </w:pPr>
  </w:style>
  <w:style w:type="paragraph" w:customStyle="1" w:styleId="1642">
    <w:name w:val="大表格文字"/>
    <w:basedOn w:val="1"/>
    <w:qFormat/>
    <w:uiPriority w:val="0"/>
    <w:pPr>
      <w:widowControl w:val="0"/>
      <w:tabs>
        <w:tab w:val="left" w:pos="1701"/>
      </w:tabs>
      <w:spacing w:line="300" w:lineRule="auto"/>
      <w:jc w:val="center"/>
    </w:pPr>
    <w:rPr>
      <w:rFonts w:cs="宋体"/>
      <w:color w:val="000000"/>
      <w:sz w:val="18"/>
      <w:szCs w:val="20"/>
    </w:rPr>
  </w:style>
  <w:style w:type="paragraph" w:customStyle="1" w:styleId="1643">
    <w:name w:val="样式 标题 2节Head2A2b2H2H21Heading 2 HiddenHeading 2 CCBSHD2..."/>
    <w:basedOn w:val="7"/>
    <w:qFormat/>
    <w:uiPriority w:val="0"/>
    <w:pPr>
      <w:widowControl w:val="0"/>
      <w:spacing w:beforeLines="0" w:afterLines="0" w:line="348" w:lineRule="auto"/>
      <w:ind w:firstLine="200" w:firstLineChars="200"/>
      <w:jc w:val="both"/>
      <w:textAlignment w:val="baseline"/>
    </w:pPr>
    <w:rPr>
      <w:rFonts w:ascii="Times New Roman" w:eastAsia="宋体" w:cs="宋体"/>
      <w:b w:val="0"/>
      <w:bCs w:val="0"/>
      <w:color w:val="000000"/>
      <w:spacing w:val="8"/>
      <w:kern w:val="0"/>
      <w:sz w:val="28"/>
      <w:szCs w:val="20"/>
      <w:lang w:val="zh-CN"/>
    </w:rPr>
  </w:style>
  <w:style w:type="paragraph" w:customStyle="1" w:styleId="1644">
    <w:name w:val="图表目录1"/>
    <w:basedOn w:val="1"/>
    <w:next w:val="1"/>
    <w:qFormat/>
    <w:uiPriority w:val="0"/>
    <w:pPr>
      <w:widowControl w:val="0"/>
      <w:topLinePunct/>
      <w:spacing w:line="240" w:lineRule="exact"/>
      <w:jc w:val="both"/>
    </w:pPr>
    <w:rPr>
      <w:rFonts w:ascii="宋体" w:hAnsi="宋体"/>
      <w:sz w:val="21"/>
    </w:rPr>
  </w:style>
  <w:style w:type="paragraph" w:customStyle="1" w:styleId="1645">
    <w:name w:val="列表 31"/>
    <w:basedOn w:val="1"/>
    <w:qFormat/>
    <w:uiPriority w:val="0"/>
    <w:pPr>
      <w:spacing w:line="440" w:lineRule="exact"/>
      <w:ind w:left="100" w:leftChars="400" w:hanging="200" w:hangingChars="200"/>
      <w:jc w:val="both"/>
    </w:pPr>
    <w:rPr>
      <w:rFonts w:ascii="宋体"/>
      <w:snapToGrid w:val="0"/>
      <w:kern w:val="28"/>
      <w:sz w:val="26"/>
      <w:szCs w:val="26"/>
    </w:rPr>
  </w:style>
  <w:style w:type="paragraph" w:customStyle="1" w:styleId="1646">
    <w:name w:val="样式 样式 标题 2节Head2A2b2H2H21Heading 2 HiddenHeading 2 CCBSHD2... + ..."/>
    <w:basedOn w:val="1643"/>
    <w:qFormat/>
    <w:uiPriority w:val="0"/>
    <w:pPr>
      <w:ind w:firstLine="0" w:firstLineChars="0"/>
    </w:pPr>
  </w:style>
  <w:style w:type="paragraph" w:customStyle="1" w:styleId="1647">
    <w:name w:val="表格 + 小五"/>
    <w:basedOn w:val="689"/>
    <w:qFormat/>
    <w:uiPriority w:val="0"/>
    <w:pPr>
      <w:adjustRightInd/>
      <w:snapToGrid/>
      <w:spacing w:beforeLines="0" w:line="240" w:lineRule="auto"/>
      <w:ind w:firstLine="200" w:firstLineChars="200"/>
      <w:outlineLvl w:val="9"/>
    </w:pPr>
    <w:rPr>
      <w:bCs w:val="0"/>
      <w:sz w:val="18"/>
      <w:szCs w:val="24"/>
    </w:rPr>
  </w:style>
  <w:style w:type="paragraph" w:customStyle="1" w:styleId="1648">
    <w:name w:val="样式 居中"/>
    <w:basedOn w:val="1"/>
    <w:qFormat/>
    <w:uiPriority w:val="0"/>
    <w:pPr>
      <w:ind w:firstLine="200" w:firstLineChars="200"/>
      <w:jc w:val="center"/>
      <w:textAlignment w:val="center"/>
    </w:pPr>
    <w:rPr>
      <w:rFonts w:ascii="宋体" w:cs="宋体"/>
      <w:kern w:val="0"/>
      <w:szCs w:val="20"/>
    </w:rPr>
  </w:style>
  <w:style w:type="paragraph" w:customStyle="1" w:styleId="1649">
    <w:name w:val="公式文字"/>
    <w:basedOn w:val="1326"/>
    <w:qFormat/>
    <w:uiPriority w:val="0"/>
    <w:pPr>
      <w:spacing w:after="0" w:line="500" w:lineRule="exact"/>
      <w:ind w:left="0" w:leftChars="0"/>
    </w:pPr>
    <w:rPr>
      <w:sz w:val="28"/>
      <w:szCs w:val="28"/>
    </w:rPr>
  </w:style>
  <w:style w:type="paragraph" w:customStyle="1" w:styleId="1650">
    <w:name w:val="z正文 Char Char Char"/>
    <w:basedOn w:val="1"/>
    <w:qFormat/>
    <w:uiPriority w:val="0"/>
    <w:pPr>
      <w:ind w:firstLine="200" w:firstLineChars="200"/>
      <w:jc w:val="both"/>
    </w:pPr>
    <w:rPr>
      <w:rFonts w:ascii="宋体" w:hAnsi="宋体" w:eastAsia="仿宋_GB2312" w:cs="宋体"/>
      <w:kern w:val="0"/>
      <w:sz w:val="28"/>
      <w:szCs w:val="28"/>
    </w:rPr>
  </w:style>
  <w:style w:type="paragraph" w:customStyle="1" w:styleId="1651">
    <w:name w:val="样式 标题 3标题 3 Char标题 3 Char Char标题 3 Char2标题 3 Char1 Char标题 3...1"/>
    <w:basedOn w:val="8"/>
    <w:qFormat/>
    <w:uiPriority w:val="0"/>
    <w:pPr>
      <w:tabs>
        <w:tab w:val="left" w:pos="720"/>
        <w:tab w:val="left" w:pos="1931"/>
      </w:tabs>
      <w:spacing w:beforeLines="0" w:afterLines="0" w:line="240" w:lineRule="auto"/>
      <w:ind w:left="1418" w:hanging="567"/>
      <w:jc w:val="both"/>
    </w:pPr>
    <w:rPr>
      <w:b w:val="0"/>
      <w:bCs w:val="0"/>
      <w:sz w:val="30"/>
      <w:szCs w:val="20"/>
      <w:lang w:val="zh-CN"/>
    </w:rPr>
  </w:style>
  <w:style w:type="paragraph" w:customStyle="1" w:styleId="1652">
    <w:name w:val="引文目录1"/>
    <w:basedOn w:val="1"/>
    <w:next w:val="1"/>
    <w:qFormat/>
    <w:uiPriority w:val="0"/>
    <w:pPr>
      <w:spacing w:line="440" w:lineRule="exact"/>
      <w:ind w:firstLine="200" w:firstLineChars="200"/>
      <w:jc w:val="both"/>
    </w:pPr>
    <w:rPr>
      <w:rFonts w:ascii="宋体"/>
      <w:kern w:val="0"/>
      <w:sz w:val="28"/>
      <w:szCs w:val="20"/>
    </w:rPr>
  </w:style>
  <w:style w:type="paragraph" w:customStyle="1" w:styleId="1653">
    <w:name w:val="样式15"/>
    <w:basedOn w:val="1"/>
    <w:qFormat/>
    <w:uiPriority w:val="0"/>
    <w:pPr>
      <w:spacing w:line="480" w:lineRule="exact"/>
      <w:ind w:firstLine="520" w:firstLineChars="200"/>
      <w:jc w:val="both"/>
    </w:pPr>
    <w:rPr>
      <w:rFonts w:ascii="宋体"/>
      <w:kern w:val="0"/>
      <w:sz w:val="26"/>
      <w:szCs w:val="26"/>
    </w:rPr>
  </w:style>
  <w:style w:type="paragraph" w:customStyle="1" w:styleId="1654">
    <w:name w:val="样式 标题 3标题 3 Char Char标题 3 Char1H3Heading 3 - old标题 3 Char C..."/>
    <w:basedOn w:val="8"/>
    <w:qFormat/>
    <w:uiPriority w:val="0"/>
    <w:pPr>
      <w:spacing w:beforeLines="0" w:afterLines="0" w:line="415" w:lineRule="auto"/>
      <w:ind w:left="1474" w:hanging="1474"/>
      <w:jc w:val="both"/>
    </w:pPr>
    <w:rPr>
      <w:rFonts w:cs="宋体"/>
      <w:b w:val="0"/>
      <w:szCs w:val="20"/>
      <w:lang w:val="zh-CN"/>
    </w:rPr>
  </w:style>
  <w:style w:type="paragraph" w:customStyle="1" w:styleId="1655">
    <w:name w:val="公式说明"/>
    <w:next w:val="1"/>
    <w:qFormat/>
    <w:uiPriority w:val="0"/>
    <w:pPr>
      <w:spacing w:after="200" w:line="360" w:lineRule="auto"/>
      <w:ind w:firstLine="1200" w:firstLineChars="500"/>
    </w:pPr>
    <w:rPr>
      <w:rFonts w:ascii="Times New Roman" w:hAnsi="Times New Roman" w:eastAsia="仿宋_GB2312" w:cs="宋体"/>
      <w:sz w:val="24"/>
      <w:lang w:val="en-US" w:eastAsia="zh-CN" w:bidi="ar-SA"/>
    </w:rPr>
  </w:style>
  <w:style w:type="paragraph" w:customStyle="1" w:styleId="1656">
    <w:name w:val="正文标准样式"/>
    <w:basedOn w:val="1"/>
    <w:qFormat/>
    <w:uiPriority w:val="0"/>
    <w:pPr>
      <w:ind w:firstLine="560" w:firstLineChars="200"/>
      <w:jc w:val="both"/>
    </w:pPr>
    <w:rPr>
      <w:rFonts w:ascii="宋体"/>
      <w:kern w:val="0"/>
      <w:sz w:val="28"/>
      <w:szCs w:val="20"/>
    </w:rPr>
  </w:style>
  <w:style w:type="paragraph" w:customStyle="1" w:styleId="1657">
    <w:name w:val="1111表中文字"/>
    <w:basedOn w:val="1"/>
    <w:qFormat/>
    <w:uiPriority w:val="0"/>
    <w:pPr>
      <w:spacing w:line="440" w:lineRule="exact"/>
      <w:ind w:firstLine="200" w:firstLineChars="200"/>
      <w:jc w:val="center"/>
    </w:pPr>
    <w:rPr>
      <w:rFonts w:ascii="宋体"/>
      <w:kern w:val="0"/>
      <w:szCs w:val="20"/>
    </w:rPr>
  </w:style>
  <w:style w:type="paragraph" w:customStyle="1" w:styleId="1658">
    <w:name w:val="列表 21"/>
    <w:basedOn w:val="1"/>
    <w:qFormat/>
    <w:uiPriority w:val="0"/>
    <w:pPr>
      <w:spacing w:line="440" w:lineRule="exact"/>
      <w:ind w:left="100" w:leftChars="200" w:hanging="200" w:hangingChars="200"/>
      <w:jc w:val="both"/>
    </w:pPr>
    <w:rPr>
      <w:rFonts w:ascii="宋体"/>
      <w:snapToGrid w:val="0"/>
      <w:kern w:val="28"/>
      <w:sz w:val="26"/>
      <w:szCs w:val="26"/>
    </w:rPr>
  </w:style>
  <w:style w:type="paragraph" w:customStyle="1" w:styleId="1659">
    <w:name w:val="文本块1"/>
    <w:basedOn w:val="1"/>
    <w:qFormat/>
    <w:uiPriority w:val="0"/>
    <w:pPr>
      <w:spacing w:line="440" w:lineRule="exact"/>
      <w:ind w:left="-120" w:leftChars="-50" w:right="-120" w:rightChars="-50" w:firstLine="200" w:firstLineChars="200"/>
      <w:jc w:val="both"/>
    </w:pPr>
    <w:rPr>
      <w:rFonts w:ascii="宋体" w:eastAsia="仿宋_GB2312"/>
      <w:kern w:val="0"/>
      <w:szCs w:val="20"/>
    </w:rPr>
  </w:style>
  <w:style w:type="paragraph" w:customStyle="1" w:styleId="1660">
    <w:name w:val="列表接续 21"/>
    <w:basedOn w:val="1"/>
    <w:qFormat/>
    <w:uiPriority w:val="0"/>
    <w:pPr>
      <w:spacing w:line="344" w:lineRule="atLeast"/>
      <w:ind w:firstLine="200" w:firstLineChars="200"/>
      <w:jc w:val="both"/>
      <w:textAlignment w:val="baseline"/>
    </w:pPr>
    <w:rPr>
      <w:rFonts w:ascii="宋体"/>
      <w:kern w:val="0"/>
      <w:sz w:val="28"/>
      <w:szCs w:val="20"/>
    </w:rPr>
  </w:style>
  <w:style w:type="paragraph" w:customStyle="1" w:styleId="1661">
    <w:name w:val="修订1"/>
    <w:qFormat/>
    <w:uiPriority w:val="0"/>
    <w:rPr>
      <w:rFonts w:ascii="Times New Roman" w:hAnsi="Times New Roman" w:eastAsia="宋体" w:cs="Times New Roman"/>
      <w:sz w:val="28"/>
      <w:szCs w:val="24"/>
      <w:lang w:val="en-US" w:eastAsia="zh-CN" w:bidi="ar-SA"/>
    </w:rPr>
  </w:style>
  <w:style w:type="paragraph" w:customStyle="1" w:styleId="1662">
    <w:name w:val="正文文本 211"/>
    <w:basedOn w:val="1"/>
    <w:qFormat/>
    <w:uiPriority w:val="0"/>
    <w:pPr>
      <w:widowControl w:val="0"/>
      <w:autoSpaceDE w:val="0"/>
      <w:autoSpaceDN w:val="0"/>
      <w:spacing w:line="365" w:lineRule="auto"/>
      <w:ind w:firstLine="200" w:firstLineChars="200"/>
      <w:jc w:val="center"/>
      <w:textAlignment w:val="bottom"/>
    </w:pPr>
    <w:rPr>
      <w:color w:val="000000"/>
      <w:spacing w:val="10"/>
      <w:kern w:val="10"/>
      <w:szCs w:val="20"/>
    </w:rPr>
  </w:style>
  <w:style w:type="paragraph" w:customStyle="1" w:styleId="1663">
    <w:name w:val="Char Char Char1 Char Char Char Char Char Char Char Char Char Char3"/>
    <w:basedOn w:val="1"/>
    <w:qFormat/>
    <w:uiPriority w:val="0"/>
    <w:pPr>
      <w:widowControl w:val="0"/>
      <w:ind w:firstLine="200" w:firstLineChars="200"/>
      <w:jc w:val="both"/>
    </w:pPr>
    <w:rPr>
      <w:rFonts w:ascii="宋体" w:hAnsi="宋体" w:cs="宋体"/>
      <w:szCs w:val="26"/>
    </w:rPr>
  </w:style>
  <w:style w:type="paragraph" w:customStyle="1" w:styleId="1664">
    <w:name w:val="样式 (中文) 黑体 小三 加粗 黑色 行距: 1.5 倍行距"/>
    <w:basedOn w:val="1"/>
    <w:qFormat/>
    <w:uiPriority w:val="0"/>
    <w:pPr>
      <w:widowControl w:val="0"/>
      <w:jc w:val="both"/>
    </w:pPr>
    <w:rPr>
      <w:rFonts w:cs="宋体"/>
      <w:b/>
      <w:bCs/>
      <w:color w:val="000000"/>
      <w:sz w:val="30"/>
      <w:szCs w:val="20"/>
    </w:rPr>
  </w:style>
  <w:style w:type="paragraph" w:customStyle="1" w:styleId="1665">
    <w:name w:val="列表接续 51"/>
    <w:basedOn w:val="1"/>
    <w:qFormat/>
    <w:uiPriority w:val="0"/>
    <w:pPr>
      <w:widowControl w:val="0"/>
      <w:spacing w:after="120" w:line="348" w:lineRule="auto"/>
      <w:ind w:left="2100" w:leftChars="1000"/>
      <w:jc w:val="both"/>
    </w:pPr>
    <w:rPr>
      <w:snapToGrid w:val="0"/>
      <w:kern w:val="0"/>
      <w:sz w:val="28"/>
      <w:szCs w:val="24"/>
    </w:rPr>
  </w:style>
  <w:style w:type="paragraph" w:customStyle="1" w:styleId="1666">
    <w:name w:val="p29"/>
    <w:basedOn w:val="1"/>
    <w:qFormat/>
    <w:uiPriority w:val="0"/>
    <w:pPr>
      <w:jc w:val="center"/>
    </w:pPr>
    <w:rPr>
      <w:rFonts w:ascii="宋体" w:hAnsi="宋体" w:cs="宋体"/>
      <w:b/>
      <w:bCs/>
      <w:kern w:val="0"/>
      <w:szCs w:val="24"/>
    </w:rPr>
  </w:style>
  <w:style w:type="paragraph" w:customStyle="1" w:styleId="1667">
    <w:name w:val="样式 首行缩进:  0.85 厘米1"/>
    <w:basedOn w:val="1"/>
    <w:qFormat/>
    <w:uiPriority w:val="0"/>
    <w:pPr>
      <w:spacing w:line="460" w:lineRule="exact"/>
      <w:ind w:firstLine="520" w:firstLineChars="200"/>
      <w:jc w:val="both"/>
    </w:pPr>
    <w:rPr>
      <w:rFonts w:ascii="宋体" w:cs="宋体"/>
      <w:color w:val="000000"/>
      <w:kern w:val="0"/>
      <w:sz w:val="26"/>
      <w:szCs w:val="26"/>
    </w:rPr>
  </w:style>
  <w:style w:type="paragraph" w:customStyle="1" w:styleId="1668">
    <w:name w:val="正文首行缩进  2字符"/>
    <w:basedOn w:val="1"/>
    <w:qFormat/>
    <w:uiPriority w:val="0"/>
    <w:pPr>
      <w:ind w:firstLine="480" w:firstLineChars="200"/>
      <w:jc w:val="both"/>
    </w:pPr>
    <w:rPr>
      <w:rFonts w:ascii="宋体"/>
      <w:kern w:val="0"/>
      <w:szCs w:val="20"/>
    </w:rPr>
  </w:style>
  <w:style w:type="paragraph" w:customStyle="1" w:styleId="1669">
    <w:name w:val="索引标题1"/>
    <w:basedOn w:val="1"/>
    <w:next w:val="1608"/>
    <w:qFormat/>
    <w:uiPriority w:val="0"/>
    <w:pPr>
      <w:widowControl w:val="0"/>
      <w:spacing w:line="240" w:lineRule="auto"/>
      <w:jc w:val="both"/>
    </w:pPr>
    <w:rPr>
      <w:sz w:val="21"/>
      <w:szCs w:val="24"/>
    </w:rPr>
  </w:style>
  <w:style w:type="paragraph" w:customStyle="1" w:styleId="1670">
    <w:name w:val="样式 标题 2节标题 + Times New Roman 红色"/>
    <w:basedOn w:val="7"/>
    <w:qFormat/>
    <w:uiPriority w:val="0"/>
    <w:pPr>
      <w:tabs>
        <w:tab w:val="left" w:pos="4990"/>
      </w:tabs>
      <w:spacing w:beforeLines="0" w:afterLines="0" w:line="240" w:lineRule="auto"/>
      <w:ind w:left="431"/>
      <w:jc w:val="both"/>
    </w:pPr>
    <w:rPr>
      <w:rFonts w:ascii="Times New Roman" w:eastAsia="华文中宋" w:cs="宋体"/>
      <w:color w:val="FF0000"/>
      <w:kern w:val="0"/>
      <w:sz w:val="26"/>
      <w:szCs w:val="20"/>
      <w:lang w:val="zh-CN" w:eastAsia="en-US"/>
    </w:rPr>
  </w:style>
  <w:style w:type="paragraph" w:customStyle="1" w:styleId="1671">
    <w:name w:val="列表 51"/>
    <w:basedOn w:val="1"/>
    <w:qFormat/>
    <w:uiPriority w:val="0"/>
    <w:pPr>
      <w:spacing w:line="360" w:lineRule="atLeast"/>
      <w:ind w:left="2100" w:hanging="420" w:firstLineChars="200"/>
      <w:jc w:val="both"/>
      <w:textAlignment w:val="baseline"/>
    </w:pPr>
    <w:rPr>
      <w:rFonts w:ascii="宋体"/>
      <w:kern w:val="0"/>
      <w:szCs w:val="20"/>
    </w:rPr>
  </w:style>
  <w:style w:type="paragraph" w:customStyle="1" w:styleId="1672">
    <w:name w:val="备注"/>
    <w:next w:val="1"/>
    <w:qFormat/>
    <w:uiPriority w:val="0"/>
    <w:pPr>
      <w:spacing w:after="200" w:line="276" w:lineRule="auto"/>
    </w:pPr>
    <w:rPr>
      <w:rFonts w:ascii="Calibri" w:hAnsi="Calibri" w:eastAsia="仿宋_GB2312" w:cs="Times New Roman"/>
      <w:szCs w:val="24"/>
      <w:lang w:val="en-US" w:eastAsia="zh-CN" w:bidi="ar-SA"/>
    </w:rPr>
  </w:style>
  <w:style w:type="paragraph" w:customStyle="1" w:styleId="1673">
    <w:name w:val="列表编号 51"/>
    <w:basedOn w:val="1"/>
    <w:qFormat/>
    <w:uiPriority w:val="0"/>
    <w:pPr>
      <w:tabs>
        <w:tab w:val="left" w:pos="720"/>
      </w:tabs>
      <w:spacing w:line="440" w:lineRule="exact"/>
      <w:ind w:left="720" w:hanging="360" w:firstLineChars="200"/>
      <w:contextualSpacing/>
      <w:jc w:val="both"/>
    </w:pPr>
    <w:rPr>
      <w:rFonts w:ascii="宋体"/>
      <w:kern w:val="0"/>
      <w:szCs w:val="20"/>
    </w:rPr>
  </w:style>
  <w:style w:type="paragraph" w:customStyle="1" w:styleId="1674">
    <w:name w:val="样式 正文文本正文文本 Char + 首行缩进:  0.85 厘米"/>
    <w:basedOn w:val="31"/>
    <w:qFormat/>
    <w:uiPriority w:val="0"/>
    <w:pPr>
      <w:spacing w:after="4" w:line="300" w:lineRule="auto"/>
      <w:ind w:firstLine="482"/>
      <w:jc w:val="both"/>
      <w:textAlignment w:val="baseline"/>
    </w:pPr>
    <w:rPr>
      <w:rFonts w:ascii="Arial" w:hAnsi="Arial" w:cs="Arial"/>
      <w:lang w:val="zh-CN"/>
    </w:rPr>
  </w:style>
  <w:style w:type="paragraph" w:customStyle="1" w:styleId="1675">
    <w:name w:val="五号表格"/>
    <w:basedOn w:val="1"/>
    <w:qFormat/>
    <w:uiPriority w:val="0"/>
    <w:pPr>
      <w:ind w:firstLine="200" w:firstLineChars="200"/>
      <w:jc w:val="center"/>
    </w:pPr>
    <w:rPr>
      <w:rFonts w:ascii="宋体"/>
      <w:kern w:val="0"/>
      <w:szCs w:val="20"/>
    </w:rPr>
  </w:style>
  <w:style w:type="paragraph" w:customStyle="1" w:styleId="1676">
    <w:name w:val="列表1"/>
    <w:basedOn w:val="1"/>
    <w:qFormat/>
    <w:uiPriority w:val="0"/>
    <w:pPr>
      <w:spacing w:line="440" w:lineRule="exact"/>
      <w:ind w:firstLine="200" w:firstLineChars="200"/>
      <w:jc w:val="center"/>
    </w:pPr>
    <w:rPr>
      <w:rFonts w:ascii="宋体"/>
      <w:kern w:val="0"/>
      <w:szCs w:val="20"/>
    </w:rPr>
  </w:style>
  <w:style w:type="paragraph" w:customStyle="1" w:styleId="1677">
    <w:name w:val="样式 标题 1一、1.标题 1 + 段前: 7.8 磅 段后: 7.8 磅"/>
    <w:basedOn w:val="6"/>
    <w:qFormat/>
    <w:uiPriority w:val="0"/>
    <w:pPr>
      <w:tabs>
        <w:tab w:val="left" w:pos="425"/>
      </w:tabs>
      <w:spacing w:beforeLines="100" w:after="156" w:line="240" w:lineRule="auto"/>
      <w:ind w:left="425" w:hanging="425"/>
    </w:pPr>
    <w:rPr>
      <w:rFonts w:ascii="微软雅黑" w:hAnsi="微软雅黑" w:cs="宋体"/>
      <w:kern w:val="0"/>
      <w:sz w:val="32"/>
      <w:szCs w:val="20"/>
      <w:lang w:val="zh-CN"/>
    </w:rPr>
  </w:style>
  <w:style w:type="paragraph" w:customStyle="1" w:styleId="1678">
    <w:name w:val="Char Char Char Char Char Char Char Char Char"/>
    <w:basedOn w:val="1"/>
    <w:qFormat/>
    <w:uiPriority w:val="0"/>
    <w:pPr>
      <w:spacing w:line="440" w:lineRule="exact"/>
      <w:ind w:firstLine="200" w:firstLineChars="200"/>
      <w:jc w:val="both"/>
    </w:pPr>
    <w:rPr>
      <w:rFonts w:ascii="宋体"/>
      <w:kern w:val="0"/>
      <w:szCs w:val="20"/>
    </w:rPr>
  </w:style>
  <w:style w:type="paragraph" w:customStyle="1" w:styleId="1679">
    <w:name w:val="表1表2"/>
    <w:basedOn w:val="1"/>
    <w:qFormat/>
    <w:uiPriority w:val="0"/>
    <w:pPr>
      <w:autoSpaceDE w:val="0"/>
      <w:autoSpaceDN w:val="0"/>
      <w:ind w:firstLine="200" w:firstLineChars="200"/>
      <w:jc w:val="center"/>
      <w:textAlignment w:val="center"/>
    </w:pPr>
    <w:rPr>
      <w:rFonts w:ascii="宋体" w:eastAsia="仿宋体"/>
      <w:kern w:val="0"/>
      <w:szCs w:val="20"/>
    </w:rPr>
  </w:style>
  <w:style w:type="paragraph" w:customStyle="1" w:styleId="1680">
    <w:name w:val="样式 样式 段前: 0.5 行 首行缩进:  2 字符 + 五号 居中 段前: 0.5 行 行距: 单倍行距"/>
    <w:qFormat/>
    <w:uiPriority w:val="0"/>
    <w:pPr>
      <w:jc w:val="center"/>
    </w:pPr>
    <w:rPr>
      <w:rFonts w:ascii="Times New Roman" w:hAnsi="Times New Roman" w:eastAsia="宋体" w:cs="Times New Roman"/>
      <w:sz w:val="21"/>
      <w:lang w:val="en-US" w:eastAsia="zh-CN" w:bidi="ar-SA"/>
    </w:rPr>
  </w:style>
  <w:style w:type="paragraph" w:customStyle="1" w:styleId="1681">
    <w:name w:val="zww"/>
    <w:basedOn w:val="778"/>
    <w:qFormat/>
    <w:uiPriority w:val="0"/>
    <w:pPr>
      <w:spacing w:line="400" w:lineRule="atLeast"/>
      <w:ind w:firstLine="397"/>
    </w:pPr>
    <w:rPr>
      <w:rFonts w:ascii="Arial Narrow" w:hAnsi="Arial Narrow" w:cs="Arial Narrow"/>
      <w:kern w:val="32"/>
      <w:sz w:val="22"/>
      <w:szCs w:val="22"/>
    </w:rPr>
  </w:style>
  <w:style w:type="paragraph" w:customStyle="1" w:styleId="1682">
    <w:name w:val="Char Char Char Char Char Char Char Char Char Char Char Char Char Char Char1 Char"/>
    <w:basedOn w:val="1"/>
    <w:qFormat/>
    <w:uiPriority w:val="0"/>
    <w:pPr>
      <w:spacing w:line="440" w:lineRule="exact"/>
      <w:ind w:firstLine="200" w:firstLineChars="200"/>
      <w:jc w:val="both"/>
    </w:pPr>
    <w:rPr>
      <w:rFonts w:ascii="宋体" w:hAnsi="宋体" w:cs="宋体"/>
      <w:kern w:val="0"/>
      <w:szCs w:val="20"/>
    </w:rPr>
  </w:style>
  <w:style w:type="paragraph" w:customStyle="1" w:styleId="1683">
    <w:name w:val="样式 首行缩进:  0.99 厘米"/>
    <w:basedOn w:val="1"/>
    <w:qFormat/>
    <w:uiPriority w:val="0"/>
    <w:pPr>
      <w:ind w:firstLine="560" w:firstLineChars="200"/>
      <w:jc w:val="both"/>
    </w:pPr>
    <w:rPr>
      <w:rFonts w:ascii="宋体" w:cs="宋体"/>
      <w:kern w:val="0"/>
      <w:szCs w:val="20"/>
    </w:rPr>
  </w:style>
  <w:style w:type="paragraph" w:customStyle="1" w:styleId="1684">
    <w:name w:val="列表 41"/>
    <w:basedOn w:val="1"/>
    <w:qFormat/>
    <w:uiPriority w:val="0"/>
    <w:pPr>
      <w:spacing w:line="440" w:lineRule="exact"/>
      <w:ind w:left="100" w:leftChars="600" w:hanging="200" w:hangingChars="200"/>
      <w:jc w:val="both"/>
    </w:pPr>
    <w:rPr>
      <w:rFonts w:ascii="宋体"/>
      <w:snapToGrid w:val="0"/>
      <w:kern w:val="28"/>
      <w:sz w:val="26"/>
      <w:szCs w:val="26"/>
    </w:rPr>
  </w:style>
  <w:style w:type="paragraph" w:customStyle="1" w:styleId="1685">
    <w:name w:val="普通(网站)2"/>
    <w:basedOn w:val="1"/>
    <w:qFormat/>
    <w:uiPriority w:val="0"/>
    <w:pPr>
      <w:spacing w:before="100" w:beforeAutospacing="1" w:after="100" w:afterAutospacing="1" w:line="440" w:lineRule="exact"/>
      <w:ind w:firstLine="200" w:firstLineChars="200"/>
      <w:jc w:val="both"/>
    </w:pPr>
    <w:rPr>
      <w:rFonts w:ascii="宋体" w:hAnsi="宋体" w:cs="宋体"/>
      <w:kern w:val="0"/>
      <w:szCs w:val="20"/>
    </w:rPr>
  </w:style>
  <w:style w:type="paragraph" w:customStyle="1" w:styleId="1686">
    <w:name w:val="索引 21"/>
    <w:basedOn w:val="1"/>
    <w:next w:val="1"/>
    <w:qFormat/>
    <w:uiPriority w:val="0"/>
    <w:pPr>
      <w:spacing w:line="500" w:lineRule="exact"/>
      <w:ind w:left="200" w:leftChars="200" w:firstLine="200" w:firstLineChars="200"/>
      <w:jc w:val="both"/>
    </w:pPr>
    <w:rPr>
      <w:rFonts w:ascii="宋体"/>
      <w:kern w:val="0"/>
      <w:szCs w:val="20"/>
    </w:rPr>
  </w:style>
  <w:style w:type="paragraph" w:customStyle="1" w:styleId="1687">
    <w:name w:val="zxz5"/>
    <w:next w:val="1"/>
    <w:qFormat/>
    <w:uiPriority w:val="0"/>
    <w:pPr>
      <w:tabs>
        <w:tab w:val="left" w:pos="0"/>
      </w:tabs>
      <w:spacing w:after="200" w:line="276" w:lineRule="auto"/>
      <w:jc w:val="center"/>
    </w:pPr>
    <w:rPr>
      <w:rFonts w:ascii="宋体" w:hAnsi="宋体" w:eastAsia="Times New Roman" w:cs="宋体"/>
      <w:bCs/>
      <w:sz w:val="18"/>
      <w:szCs w:val="18"/>
      <w:lang w:val="en-US" w:eastAsia="zh-CN" w:bidi="ar-SA"/>
    </w:rPr>
  </w:style>
  <w:style w:type="paragraph" w:customStyle="1" w:styleId="1688">
    <w:name w:val="图形"/>
    <w:basedOn w:val="1"/>
    <w:qFormat/>
    <w:uiPriority w:val="0"/>
    <w:pPr>
      <w:spacing w:line="440" w:lineRule="exact"/>
      <w:ind w:firstLine="200" w:firstLineChars="200"/>
      <w:jc w:val="center"/>
    </w:pPr>
    <w:rPr>
      <w:rFonts w:ascii="宋体"/>
      <w:kern w:val="0"/>
      <w:shd w:val="clear" w:color="auto" w:fill="FFFFFF"/>
      <w:lang w:val="zh-CN"/>
    </w:rPr>
  </w:style>
  <w:style w:type="paragraph" w:customStyle="1" w:styleId="1689">
    <w:name w:val="样式 黑体 小四 行距: 固定值 24 磅"/>
    <w:basedOn w:val="1"/>
    <w:qFormat/>
    <w:uiPriority w:val="0"/>
    <w:pPr>
      <w:spacing w:line="480" w:lineRule="exact"/>
      <w:ind w:firstLine="200" w:firstLineChars="200"/>
      <w:jc w:val="both"/>
    </w:pPr>
    <w:rPr>
      <w:rFonts w:ascii="黑体" w:eastAsia="黑体"/>
      <w:kern w:val="0"/>
      <w:szCs w:val="20"/>
    </w:rPr>
  </w:style>
  <w:style w:type="paragraph" w:customStyle="1" w:styleId="1690">
    <w:name w:val="样式 表名 + 首行缩进:  0.74 厘米"/>
    <w:basedOn w:val="1"/>
    <w:qFormat/>
    <w:uiPriority w:val="0"/>
    <w:pPr>
      <w:overflowPunct w:val="0"/>
      <w:ind w:firstLine="200" w:firstLineChars="200"/>
      <w:jc w:val="center"/>
      <w:textAlignment w:val="baseline"/>
    </w:pPr>
    <w:rPr>
      <w:rFonts w:ascii="Arial" w:hAnsi="Arial" w:eastAsia="黑体"/>
      <w:color w:val="000000"/>
      <w:kern w:val="0"/>
      <w:szCs w:val="20"/>
    </w:rPr>
  </w:style>
  <w:style w:type="paragraph" w:customStyle="1" w:styleId="1691">
    <w:name w:val="表文-左"/>
    <w:basedOn w:val="255"/>
    <w:qFormat/>
    <w:uiPriority w:val="0"/>
    <w:pPr>
      <w:adjustRightInd/>
      <w:spacing w:line="440" w:lineRule="exact"/>
      <w:ind w:firstLine="200" w:firstLineChars="200"/>
      <w:textAlignment w:val="auto"/>
    </w:pPr>
    <w:rPr>
      <w:rFonts w:ascii="仿宋_GB2312" w:hAnsi="Arial Black" w:eastAsia="仿宋_GB2312"/>
      <w:kern w:val="44"/>
      <w:sz w:val="24"/>
    </w:rPr>
  </w:style>
  <w:style w:type="paragraph" w:customStyle="1" w:styleId="1692">
    <w:name w:val="样式 样式 段前: 0.5 行 段后: 7.8 磅 首行缩进:  2 字符 + 首行缩进:  2 字符 段前: 0.5 行1"/>
    <w:basedOn w:val="1"/>
    <w:qFormat/>
    <w:uiPriority w:val="0"/>
    <w:pPr>
      <w:spacing w:beforeLines="50"/>
      <w:ind w:firstLine="200" w:firstLineChars="200"/>
      <w:jc w:val="both"/>
    </w:pPr>
    <w:rPr>
      <w:rFonts w:ascii="宋体" w:cs="宋体"/>
      <w:kern w:val="0"/>
      <w:szCs w:val="20"/>
    </w:rPr>
  </w:style>
  <w:style w:type="paragraph" w:customStyle="1" w:styleId="1693">
    <w:name w:val="样式 报告正文"/>
    <w:basedOn w:val="1"/>
    <w:qFormat/>
    <w:uiPriority w:val="0"/>
    <w:pPr>
      <w:spacing w:line="440" w:lineRule="exact"/>
      <w:ind w:firstLine="480" w:firstLineChars="200"/>
      <w:jc w:val="center"/>
    </w:pPr>
    <w:rPr>
      <w:rFonts w:ascii="宋体" w:hAnsi="宋体" w:cs="Verdana"/>
      <w:bCs/>
      <w:kern w:val="0"/>
      <w:sz w:val="18"/>
      <w:szCs w:val="18"/>
    </w:rPr>
  </w:style>
  <w:style w:type="paragraph" w:customStyle="1" w:styleId="1694">
    <w:name w:val="Char4 Char Char Char Char Char Char1"/>
    <w:basedOn w:val="1"/>
    <w:qFormat/>
    <w:uiPriority w:val="0"/>
    <w:pPr>
      <w:ind w:firstLine="200" w:firstLineChars="200"/>
      <w:jc w:val="both"/>
    </w:pPr>
    <w:rPr>
      <w:rFonts w:ascii="宋体" w:hAnsi="宋体" w:cs="宋体"/>
      <w:kern w:val="0"/>
      <w:szCs w:val="20"/>
    </w:rPr>
  </w:style>
  <w:style w:type="paragraph" w:customStyle="1" w:styleId="1695">
    <w:name w:val="2级标题"/>
    <w:basedOn w:val="1"/>
    <w:qFormat/>
    <w:uiPriority w:val="0"/>
    <w:pPr>
      <w:spacing w:line="460" w:lineRule="exact"/>
      <w:ind w:firstLine="200" w:firstLineChars="200"/>
      <w:jc w:val="both"/>
    </w:pPr>
    <w:rPr>
      <w:rFonts w:ascii="宋体" w:cs="宋体"/>
      <w:b/>
      <w:kern w:val="0"/>
      <w:sz w:val="26"/>
      <w:szCs w:val="26"/>
    </w:rPr>
  </w:style>
  <w:style w:type="paragraph" w:customStyle="1" w:styleId="1696">
    <w:name w:val="样式 标题 4 + 段后: 0.5 行"/>
    <w:basedOn w:val="9"/>
    <w:qFormat/>
    <w:uiPriority w:val="0"/>
    <w:pPr>
      <w:keepNext/>
      <w:keepLines/>
      <w:tabs>
        <w:tab w:val="left" w:pos="720"/>
        <w:tab w:val="left" w:pos="864"/>
      </w:tabs>
      <w:spacing w:line="460" w:lineRule="exact"/>
      <w:ind w:left="864" w:hanging="864"/>
      <w:jc w:val="both"/>
    </w:pPr>
    <w:rPr>
      <w:rFonts w:cs="宋体"/>
      <w:kern w:val="0"/>
      <w:sz w:val="32"/>
      <w:szCs w:val="32"/>
      <w:lang w:val="zh-CN"/>
    </w:rPr>
  </w:style>
  <w:style w:type="paragraph" w:customStyle="1" w:styleId="1697">
    <w:name w:val="样式 标题 3标题 3 Char + 段前: 1 行 段后: 1 行"/>
    <w:basedOn w:val="8"/>
    <w:qFormat/>
    <w:uiPriority w:val="0"/>
    <w:pPr>
      <w:tabs>
        <w:tab w:val="left" w:pos="720"/>
        <w:tab w:val="left" w:pos="1931"/>
      </w:tabs>
      <w:spacing w:beforeLines="100" w:afterLines="100" w:line="240" w:lineRule="auto"/>
      <w:ind w:left="1418" w:hanging="567"/>
      <w:jc w:val="both"/>
    </w:pPr>
    <w:rPr>
      <w:rFonts w:cs="宋体"/>
      <w:b w:val="0"/>
      <w:bCs w:val="0"/>
      <w:szCs w:val="20"/>
      <w:lang w:val="zh-CN"/>
    </w:rPr>
  </w:style>
  <w:style w:type="paragraph" w:customStyle="1" w:styleId="1698">
    <w:name w:val="册除格式 Char Char"/>
    <w:qFormat/>
    <w:uiPriority w:val="0"/>
    <w:pPr>
      <w:spacing w:after="200" w:line="360" w:lineRule="auto"/>
      <w:ind w:firstLine="482"/>
    </w:pPr>
    <w:rPr>
      <w:rFonts w:ascii="黑体" w:hAnsi="Arial" w:eastAsia="宋体" w:cs="Arial"/>
      <w:snapToGrid w:val="0"/>
      <w:spacing w:val="4"/>
      <w:kern w:val="18"/>
      <w:sz w:val="24"/>
      <w:szCs w:val="28"/>
      <w:lang w:val="en-US" w:eastAsia="zh-CN" w:bidi="ar-SA"/>
    </w:rPr>
  </w:style>
  <w:style w:type="paragraph" w:customStyle="1" w:styleId="1699">
    <w:name w:val="缩格正文"/>
    <w:basedOn w:val="1"/>
    <w:qFormat/>
    <w:uiPriority w:val="0"/>
    <w:pPr>
      <w:spacing w:line="440" w:lineRule="exact"/>
      <w:ind w:firstLine="600" w:firstLineChars="200"/>
      <w:jc w:val="both"/>
    </w:pPr>
    <w:rPr>
      <w:rFonts w:ascii="宋体"/>
      <w:kern w:val="0"/>
      <w:sz w:val="28"/>
      <w:szCs w:val="20"/>
    </w:rPr>
  </w:style>
  <w:style w:type="paragraph" w:customStyle="1" w:styleId="1700">
    <w:name w:val="标题2 Char Char Char"/>
    <w:basedOn w:val="1"/>
    <w:qFormat/>
    <w:uiPriority w:val="0"/>
    <w:pPr>
      <w:widowControl w:val="0"/>
      <w:spacing w:line="240" w:lineRule="auto"/>
      <w:jc w:val="both"/>
    </w:pPr>
    <w:rPr>
      <w:sz w:val="30"/>
      <w:szCs w:val="24"/>
    </w:rPr>
  </w:style>
  <w:style w:type="paragraph" w:customStyle="1" w:styleId="1701">
    <w:name w:val="小标题(1)"/>
    <w:basedOn w:val="31"/>
    <w:qFormat/>
    <w:uiPriority w:val="0"/>
    <w:pPr>
      <w:spacing w:before="60" w:after="60" w:line="264" w:lineRule="auto"/>
      <w:ind w:firstLine="240" w:firstLineChars="100"/>
      <w:jc w:val="both"/>
      <w:textAlignment w:val="baseline"/>
    </w:pPr>
    <w:rPr>
      <w:kern w:val="2"/>
      <w:lang w:val="zh-CN"/>
    </w:rPr>
  </w:style>
  <w:style w:type="paragraph" w:customStyle="1" w:styleId="1702">
    <w:name w:val="样式 标题 3 + Times New Roman"/>
    <w:basedOn w:val="8"/>
    <w:qFormat/>
    <w:uiPriority w:val="0"/>
    <w:pPr>
      <w:tabs>
        <w:tab w:val="left" w:pos="280"/>
      </w:tabs>
      <w:spacing w:beforeLines="100" w:afterLines="100" w:line="240" w:lineRule="auto"/>
      <w:jc w:val="both"/>
    </w:pPr>
    <w:rPr>
      <w:b w:val="0"/>
      <w:sz w:val="30"/>
      <w:szCs w:val="30"/>
      <w:lang w:val="zh-CN"/>
    </w:rPr>
  </w:style>
  <w:style w:type="paragraph" w:customStyle="1" w:styleId="1703">
    <w:name w:val="表格文本 五号 居中 单倍行距"/>
    <w:basedOn w:val="1"/>
    <w:next w:val="1"/>
    <w:qFormat/>
    <w:uiPriority w:val="0"/>
    <w:pPr>
      <w:spacing w:line="440" w:lineRule="exact"/>
      <w:ind w:firstLine="200" w:firstLineChars="200"/>
      <w:jc w:val="center"/>
      <w:textAlignment w:val="baseline"/>
    </w:pPr>
    <w:rPr>
      <w:rFonts w:ascii="宋体" w:hAnsi="Courier New" w:cs="宋体"/>
      <w:kern w:val="0"/>
      <w:szCs w:val="20"/>
    </w:rPr>
  </w:style>
  <w:style w:type="paragraph" w:customStyle="1" w:styleId="1704">
    <w:name w:val="123"/>
    <w:basedOn w:val="1"/>
    <w:next w:val="1"/>
    <w:qFormat/>
    <w:uiPriority w:val="0"/>
    <w:pPr>
      <w:ind w:firstLine="562" w:firstLineChars="200"/>
      <w:jc w:val="both"/>
    </w:pPr>
    <w:rPr>
      <w:rFonts w:ascii="宋体"/>
      <w:b/>
      <w:bCs/>
      <w:color w:val="000000"/>
      <w:kern w:val="0"/>
      <w:sz w:val="28"/>
      <w:szCs w:val="20"/>
    </w:rPr>
  </w:style>
  <w:style w:type="paragraph" w:customStyle="1" w:styleId="1705">
    <w:name w:val="juzhong"/>
    <w:basedOn w:val="1"/>
    <w:qFormat/>
    <w:uiPriority w:val="0"/>
    <w:pPr>
      <w:spacing w:before="100" w:beforeAutospacing="1" w:after="100" w:afterAutospacing="1" w:line="440" w:lineRule="exact"/>
      <w:ind w:firstLine="200" w:firstLineChars="200"/>
      <w:jc w:val="both"/>
    </w:pPr>
    <w:rPr>
      <w:rFonts w:ascii="宋体" w:hAnsi="宋体" w:cs="宋体"/>
      <w:color w:val="000000"/>
      <w:kern w:val="0"/>
      <w:szCs w:val="20"/>
    </w:rPr>
  </w:style>
  <w:style w:type="paragraph" w:customStyle="1" w:styleId="1706">
    <w:name w:val="表1"/>
    <w:basedOn w:val="1"/>
    <w:qFormat/>
    <w:uiPriority w:val="0"/>
    <w:pPr>
      <w:spacing w:before="40" w:line="0" w:lineRule="atLeast"/>
      <w:ind w:firstLine="200" w:firstLineChars="200"/>
      <w:jc w:val="center"/>
    </w:pPr>
    <w:rPr>
      <w:rFonts w:ascii="宋体"/>
      <w:kern w:val="0"/>
      <w:szCs w:val="20"/>
    </w:rPr>
  </w:style>
  <w:style w:type="paragraph" w:customStyle="1" w:styleId="1707">
    <w:name w:val="正文文字1"/>
    <w:basedOn w:val="1"/>
    <w:qFormat/>
    <w:uiPriority w:val="0"/>
    <w:pPr>
      <w:ind w:firstLine="480" w:firstLineChars="200"/>
      <w:jc w:val="both"/>
    </w:pPr>
    <w:rPr>
      <w:rFonts w:ascii="宋体" w:eastAsia="华文中宋"/>
      <w:kern w:val="0"/>
      <w:szCs w:val="20"/>
    </w:rPr>
  </w:style>
  <w:style w:type="paragraph" w:customStyle="1" w:styleId="1708">
    <w:name w:val="样式 标题 1 + 段前: 0.5 行 段后: 0.5 行1"/>
    <w:basedOn w:val="6"/>
    <w:qFormat/>
    <w:uiPriority w:val="0"/>
    <w:pPr>
      <w:spacing w:beforeLines="100" w:afterLines="100" w:line="240" w:lineRule="auto"/>
    </w:pPr>
    <w:rPr>
      <w:rFonts w:ascii="微软雅黑" w:hAnsi="微软雅黑" w:cs="宋体"/>
      <w:kern w:val="0"/>
      <w:sz w:val="32"/>
      <w:szCs w:val="20"/>
      <w:lang w:val="zh-CN"/>
    </w:rPr>
  </w:style>
  <w:style w:type="paragraph" w:customStyle="1" w:styleId="1709">
    <w:name w:val="样式 样式 样式 样式 样式 样式 段前: 0.5 行 首行缩进:  2 字符 + 首行缩进:  2 字符 Char + 首行缩..."/>
    <w:basedOn w:val="1"/>
    <w:qFormat/>
    <w:uiPriority w:val="0"/>
    <w:pPr>
      <w:spacing w:line="460" w:lineRule="exact"/>
      <w:ind w:firstLine="560" w:firstLineChars="200"/>
      <w:jc w:val="both"/>
    </w:pPr>
    <w:rPr>
      <w:rFonts w:ascii="宋体" w:eastAsia="华文仿宋" w:cs="宋体"/>
      <w:kern w:val="0"/>
      <w:sz w:val="28"/>
      <w:szCs w:val="28"/>
    </w:rPr>
  </w:style>
  <w:style w:type="paragraph" w:customStyle="1" w:styleId="1710">
    <w:name w:val="公式文字1"/>
    <w:basedOn w:val="1649"/>
    <w:qFormat/>
    <w:uiPriority w:val="0"/>
    <w:pPr>
      <w:spacing w:beforeLines="50"/>
      <w:ind w:firstLine="562"/>
    </w:pPr>
    <w:rPr>
      <w:b/>
      <w:bCs/>
    </w:rPr>
  </w:style>
  <w:style w:type="paragraph" w:customStyle="1" w:styleId="1711">
    <w:name w:val="样式 标题 1 + 段后: 1.5 行"/>
    <w:basedOn w:val="6"/>
    <w:qFormat/>
    <w:uiPriority w:val="0"/>
    <w:pPr>
      <w:spacing w:beforeLines="100" w:afterLines="100" w:line="460" w:lineRule="exact"/>
    </w:pPr>
    <w:rPr>
      <w:rFonts w:ascii="微软雅黑" w:hAnsi="微软雅黑" w:eastAsia="微软雅黑" w:cs="宋体"/>
      <w:kern w:val="0"/>
      <w:sz w:val="32"/>
      <w:szCs w:val="20"/>
      <w:lang w:val="zh-CN"/>
    </w:rPr>
  </w:style>
  <w:style w:type="paragraph" w:customStyle="1" w:styleId="1712">
    <w:name w:val="样式 宋体 五号 首行缩进:  2 字符"/>
    <w:basedOn w:val="1"/>
    <w:next w:val="1"/>
    <w:qFormat/>
    <w:uiPriority w:val="0"/>
    <w:pPr>
      <w:spacing w:line="440" w:lineRule="exact"/>
      <w:ind w:firstLine="200" w:firstLineChars="200"/>
      <w:jc w:val="center"/>
    </w:pPr>
    <w:rPr>
      <w:rFonts w:ascii="宋体" w:cs="宋体"/>
      <w:kern w:val="0"/>
    </w:rPr>
  </w:style>
  <w:style w:type="paragraph" w:customStyle="1" w:styleId="1713">
    <w:name w:val="样式 正文 + 首行缩进:  2 字符"/>
    <w:basedOn w:val="1"/>
    <w:qFormat/>
    <w:uiPriority w:val="0"/>
    <w:pPr>
      <w:spacing w:line="529" w:lineRule="exact"/>
      <w:ind w:firstLine="480" w:firstLineChars="200"/>
      <w:jc w:val="both"/>
      <w:textAlignment w:val="baseline"/>
    </w:pPr>
    <w:rPr>
      <w:rFonts w:ascii="宋体" w:cs="宋体"/>
      <w:kern w:val="0"/>
      <w:szCs w:val="20"/>
    </w:rPr>
  </w:style>
  <w:style w:type="paragraph" w:customStyle="1" w:styleId="1714">
    <w:name w:val="33标题3"/>
    <w:basedOn w:val="1"/>
    <w:qFormat/>
    <w:uiPriority w:val="0"/>
    <w:pPr>
      <w:keepNext/>
      <w:keepLines/>
      <w:ind w:firstLine="200" w:firstLineChars="200"/>
      <w:jc w:val="both"/>
      <w:outlineLvl w:val="0"/>
    </w:pPr>
    <w:rPr>
      <w:rFonts w:ascii="宋体" w:hAnsi="宋体" w:cs="宋体"/>
      <w:b/>
      <w:bCs/>
      <w:kern w:val="44"/>
      <w:sz w:val="30"/>
      <w:szCs w:val="20"/>
    </w:rPr>
  </w:style>
  <w:style w:type="paragraph" w:customStyle="1" w:styleId="1715">
    <w:name w:val="样式 标题 3标题 3 Char标题 3 Char Char标题 3 Char2标题 3 Char1 Char标题 3..."/>
    <w:basedOn w:val="8"/>
    <w:qFormat/>
    <w:uiPriority w:val="0"/>
    <w:pPr>
      <w:tabs>
        <w:tab w:val="left" w:pos="720"/>
      </w:tabs>
      <w:spacing w:beforeLines="0" w:afterLines="0" w:line="360" w:lineRule="exact"/>
      <w:jc w:val="both"/>
    </w:pPr>
    <w:rPr>
      <w:rFonts w:cs="宋体"/>
      <w:b w:val="0"/>
      <w:bCs w:val="0"/>
      <w:szCs w:val="20"/>
      <w:lang w:val="zh-CN"/>
    </w:rPr>
  </w:style>
  <w:style w:type="paragraph" w:customStyle="1" w:styleId="1716">
    <w:name w:val="模型公式-居中"/>
    <w:next w:val="1"/>
    <w:qFormat/>
    <w:uiPriority w:val="0"/>
    <w:pPr>
      <w:spacing w:after="200" w:line="360" w:lineRule="auto"/>
      <w:jc w:val="center"/>
    </w:pPr>
    <w:rPr>
      <w:rFonts w:ascii="Times New Roman" w:hAnsi="Times New Roman" w:eastAsia="仿宋_GB2312" w:cs="Times New Roman"/>
      <w:bCs/>
      <w:sz w:val="24"/>
      <w:szCs w:val="24"/>
      <w:lang w:val="en-US" w:eastAsia="zh-CN" w:bidi="ar-SA"/>
    </w:rPr>
  </w:style>
  <w:style w:type="paragraph" w:customStyle="1" w:styleId="1717">
    <w:name w:val="样式 样式 标题 1章标题 + 加粗 段前: 1 行 段后: 1 行 行距: 2 倍行距 + 行距: 单倍行距"/>
    <w:basedOn w:val="1"/>
    <w:qFormat/>
    <w:uiPriority w:val="0"/>
    <w:pPr>
      <w:keepNext/>
      <w:keepLines/>
      <w:tabs>
        <w:tab w:val="left" w:pos="432"/>
      </w:tabs>
      <w:spacing w:beforeLines="100" w:afterLines="100" w:line="440" w:lineRule="exact"/>
      <w:ind w:left="432" w:hanging="432" w:firstLineChars="200"/>
      <w:jc w:val="both"/>
      <w:outlineLvl w:val="0"/>
    </w:pPr>
    <w:rPr>
      <w:rFonts w:ascii="宋体" w:eastAsia="黑体" w:cs="宋体"/>
      <w:bCs/>
      <w:kern w:val="44"/>
      <w:sz w:val="44"/>
      <w:szCs w:val="44"/>
    </w:rPr>
  </w:style>
  <w:style w:type="paragraph" w:customStyle="1" w:styleId="1718">
    <w:name w:val="bks138"/>
    <w:basedOn w:val="1"/>
    <w:qFormat/>
    <w:uiPriority w:val="0"/>
    <w:pPr>
      <w:spacing w:before="100" w:beforeAutospacing="1" w:after="100" w:afterAutospacing="1" w:line="440" w:lineRule="exact"/>
      <w:ind w:firstLine="200" w:firstLineChars="200"/>
      <w:jc w:val="both"/>
    </w:pPr>
    <w:rPr>
      <w:rFonts w:ascii="宋体" w:hAnsi="宋体" w:cs="宋体"/>
      <w:kern w:val="0"/>
      <w:szCs w:val="20"/>
    </w:rPr>
  </w:style>
  <w:style w:type="paragraph" w:customStyle="1" w:styleId="1719">
    <w:name w:val="样式 标题 2标题节标题 2 Char Char + 段前: 2 行"/>
    <w:basedOn w:val="7"/>
    <w:next w:val="1"/>
    <w:qFormat/>
    <w:uiPriority w:val="0"/>
    <w:pPr>
      <w:spacing w:beforeLines="0" w:afterLines="0" w:line="460" w:lineRule="exact"/>
      <w:ind w:left="431" w:firstLine="200"/>
      <w:jc w:val="both"/>
    </w:pPr>
    <w:rPr>
      <w:rFonts w:ascii="微软雅黑" w:hAnsi="微软雅黑" w:eastAsia="微软雅黑" w:cs="宋体"/>
      <w:color w:val="4F81BD"/>
      <w:kern w:val="0"/>
      <w:sz w:val="26"/>
      <w:szCs w:val="20"/>
      <w:lang w:val="zh-CN" w:eastAsia="en-US"/>
    </w:rPr>
  </w:style>
  <w:style w:type="paragraph" w:customStyle="1" w:styleId="1720">
    <w:name w:val="Char Char Char Char Char2 Char Char Char Char"/>
    <w:basedOn w:val="1"/>
    <w:next w:val="1"/>
    <w:qFormat/>
    <w:uiPriority w:val="0"/>
    <w:pPr>
      <w:ind w:firstLine="200" w:firstLineChars="200"/>
      <w:jc w:val="both"/>
    </w:pPr>
    <w:rPr>
      <w:rFonts w:ascii="宋体" w:hAnsi="宋体" w:cs="宋体"/>
      <w:kern w:val="0"/>
      <w:szCs w:val="26"/>
    </w:rPr>
  </w:style>
  <w:style w:type="paragraph" w:customStyle="1" w:styleId="1721">
    <w:name w:val="Char Char Char Char Char Char Char Char Char Char Char Char Char Char Char Char Char Char Char Char Char Char"/>
    <w:basedOn w:val="1"/>
    <w:qFormat/>
    <w:uiPriority w:val="0"/>
    <w:pPr>
      <w:spacing w:line="440" w:lineRule="exact"/>
      <w:ind w:firstLine="200" w:firstLineChars="200"/>
      <w:jc w:val="both"/>
    </w:pPr>
    <w:rPr>
      <w:rFonts w:ascii="宋体" w:hAnsi="宋体" w:eastAsia="仿宋_GB2312" w:cs="Courier New"/>
      <w:kern w:val="0"/>
      <w:sz w:val="32"/>
      <w:szCs w:val="32"/>
    </w:rPr>
  </w:style>
  <w:style w:type="paragraph" w:customStyle="1" w:styleId="1722">
    <w:name w:val="样式 纯文本普通文字 + (中文) 宋体 四号"/>
    <w:basedOn w:val="778"/>
    <w:qFormat/>
    <w:uiPriority w:val="0"/>
    <w:pPr>
      <w:spacing w:line="360" w:lineRule="auto"/>
      <w:ind w:firstLine="480"/>
    </w:pPr>
    <w:rPr>
      <w:rFonts w:hAnsi="宋体"/>
      <w:color w:val="000000"/>
      <w:kern w:val="21"/>
      <w:sz w:val="24"/>
      <w:szCs w:val="24"/>
    </w:rPr>
  </w:style>
  <w:style w:type="character" w:customStyle="1" w:styleId="1723">
    <w:name w:val="正文 Char Char"/>
    <w:qFormat/>
    <w:uiPriority w:val="0"/>
    <w:rPr>
      <w:rFonts w:ascii="宋体"/>
      <w:sz w:val="34"/>
      <w:lang w:val="en-US" w:eastAsia="zh-CN" w:bidi="ar-SA"/>
    </w:rPr>
  </w:style>
  <w:style w:type="paragraph" w:customStyle="1" w:styleId="1724">
    <w:name w:val="样式 标题 21标题21 Char标题 2 Char Char节标题节H2h2第一层条二级 标题 2标题 ..."/>
    <w:basedOn w:val="7"/>
    <w:qFormat/>
    <w:uiPriority w:val="0"/>
    <w:pPr>
      <w:tabs>
        <w:tab w:val="left" w:pos="1107"/>
      </w:tabs>
      <w:spacing w:beforeLines="0" w:afterLines="0" w:line="360" w:lineRule="auto"/>
      <w:ind w:left="431"/>
      <w:jc w:val="both"/>
    </w:pPr>
    <w:rPr>
      <w:rFonts w:ascii="Cambria" w:hAnsi="Cambria" w:eastAsia="宋体" w:cs="宋体"/>
      <w:b w:val="0"/>
      <w:bCs w:val="0"/>
      <w:color w:val="4F81BD"/>
      <w:kern w:val="0"/>
      <w:szCs w:val="20"/>
      <w:lang w:val="zh-CN" w:eastAsia="en-US"/>
    </w:rPr>
  </w:style>
  <w:style w:type="paragraph" w:customStyle="1" w:styleId="1725">
    <w:name w:val="样式 标题 3标题 3 Char + 左侧:  1 字符 右侧:  1 字符"/>
    <w:basedOn w:val="8"/>
    <w:qFormat/>
    <w:uiPriority w:val="0"/>
    <w:pPr>
      <w:spacing w:beforeLines="0" w:afterLines="0" w:line="460" w:lineRule="exact"/>
      <w:ind w:firstLine="200"/>
      <w:jc w:val="both"/>
    </w:pPr>
    <w:rPr>
      <w:rFonts w:cs="宋体"/>
      <w:b w:val="0"/>
      <w:kern w:val="0"/>
      <w:sz w:val="26"/>
      <w:szCs w:val="26"/>
      <w:lang w:val="zh-CN"/>
    </w:rPr>
  </w:style>
  <w:style w:type="paragraph" w:customStyle="1" w:styleId="1726">
    <w:name w:val="样式 13 磅 行距: 固定值 23 磅"/>
    <w:basedOn w:val="1"/>
    <w:qFormat/>
    <w:uiPriority w:val="0"/>
    <w:pPr>
      <w:spacing w:line="460" w:lineRule="exact"/>
      <w:ind w:firstLine="520" w:firstLineChars="200"/>
      <w:jc w:val="both"/>
    </w:pPr>
    <w:rPr>
      <w:rFonts w:ascii="宋体"/>
      <w:kern w:val="0"/>
      <w:sz w:val="26"/>
      <w:szCs w:val="20"/>
    </w:rPr>
  </w:style>
  <w:style w:type="paragraph" w:customStyle="1" w:styleId="1727">
    <w:name w:val="mtitle"/>
    <w:basedOn w:val="1"/>
    <w:qFormat/>
    <w:uiPriority w:val="0"/>
    <w:pPr>
      <w:spacing w:before="30" w:line="440" w:lineRule="exact"/>
      <w:ind w:firstLine="200" w:firstLineChars="200"/>
      <w:jc w:val="center"/>
    </w:pPr>
    <w:rPr>
      <w:rFonts w:ascii="方正小标宋简体" w:hAnsi="宋体" w:eastAsia="方正小标宋简体"/>
      <w:color w:val="000000"/>
      <w:kern w:val="0"/>
      <w:sz w:val="44"/>
      <w:szCs w:val="44"/>
    </w:rPr>
  </w:style>
  <w:style w:type="paragraph" w:customStyle="1" w:styleId="1728">
    <w:name w:val="td4"/>
    <w:basedOn w:val="1"/>
    <w:qFormat/>
    <w:uiPriority w:val="0"/>
    <w:pPr>
      <w:spacing w:before="100" w:beforeAutospacing="1" w:after="100" w:afterAutospacing="1" w:line="300" w:lineRule="atLeast"/>
      <w:ind w:firstLine="200" w:firstLineChars="200"/>
      <w:jc w:val="both"/>
    </w:pPr>
    <w:rPr>
      <w:rFonts w:ascii="宋体" w:hAnsi="宋体" w:cs="宋体"/>
      <w:color w:val="000000"/>
      <w:kern w:val="0"/>
      <w:sz w:val="18"/>
      <w:szCs w:val="18"/>
    </w:rPr>
  </w:style>
  <w:style w:type="paragraph" w:customStyle="1" w:styleId="1729">
    <w:name w:val="样式 段前: 0.5 行 首行缩进:  2 字符"/>
    <w:basedOn w:val="1"/>
    <w:qFormat/>
    <w:uiPriority w:val="0"/>
    <w:pPr>
      <w:spacing w:before="156"/>
      <w:ind w:firstLine="480" w:firstLineChars="200"/>
      <w:jc w:val="both"/>
    </w:pPr>
    <w:rPr>
      <w:rFonts w:ascii="宋体" w:cs="宋体"/>
      <w:kern w:val="0"/>
      <w:sz w:val="28"/>
      <w:szCs w:val="20"/>
    </w:rPr>
  </w:style>
  <w:style w:type="paragraph" w:customStyle="1" w:styleId="1730">
    <w:name w:val="Char Char Char Char Char Char Char Char Char Char Char Char Char Char Char Char Char Char Char Char Char Char Char Char Char Char Char Char Char Char Char Char Char"/>
    <w:basedOn w:val="1"/>
    <w:qFormat/>
    <w:uiPriority w:val="0"/>
    <w:pPr>
      <w:spacing w:after="160" w:line="240" w:lineRule="exact"/>
      <w:ind w:firstLine="200" w:firstLineChars="200"/>
      <w:jc w:val="both"/>
    </w:pPr>
    <w:rPr>
      <w:rFonts w:ascii="Verdana" w:hAnsi="Verdana" w:eastAsia="仿宋_GB2312" w:cs="Verdana"/>
      <w:kern w:val="0"/>
      <w:szCs w:val="20"/>
    </w:rPr>
  </w:style>
  <w:style w:type="paragraph" w:customStyle="1" w:styleId="1731">
    <w:name w:val="rw"/>
    <w:basedOn w:val="1"/>
    <w:qFormat/>
    <w:uiPriority w:val="0"/>
    <w:pPr>
      <w:spacing w:before="30" w:line="440" w:lineRule="exact"/>
      <w:ind w:left="100" w:right="100" w:firstLine="200" w:firstLineChars="200"/>
      <w:jc w:val="right"/>
    </w:pPr>
    <w:rPr>
      <w:rFonts w:ascii="方正仿宋简体" w:hAnsi="宋体" w:eastAsia="方正仿宋简体"/>
      <w:color w:val="000000"/>
      <w:kern w:val="0"/>
    </w:rPr>
  </w:style>
  <w:style w:type="paragraph" w:customStyle="1" w:styleId="1732">
    <w:name w:val="样式 样式 标题 2标题节标题 2 Char Char + 段前: 2 行 + 左侧:  1 字符 右侧:  1 字符"/>
    <w:basedOn w:val="1"/>
    <w:qFormat/>
    <w:uiPriority w:val="0"/>
    <w:pPr>
      <w:keepNext/>
      <w:keepLines/>
      <w:spacing w:line="460" w:lineRule="exact"/>
      <w:ind w:firstLine="200" w:firstLineChars="200"/>
      <w:jc w:val="both"/>
      <w:outlineLvl w:val="1"/>
    </w:pPr>
    <w:rPr>
      <w:rFonts w:ascii="宋体"/>
      <w:b/>
      <w:bCs/>
      <w:kern w:val="0"/>
      <w:sz w:val="26"/>
      <w:szCs w:val="26"/>
    </w:rPr>
  </w:style>
  <w:style w:type="paragraph" w:customStyle="1" w:styleId="1733">
    <w:name w:val="列表段落2"/>
    <w:basedOn w:val="1"/>
    <w:qFormat/>
    <w:uiPriority w:val="0"/>
    <w:pPr>
      <w:spacing w:line="440" w:lineRule="exact"/>
      <w:ind w:left="720" w:firstLine="200" w:firstLineChars="200"/>
      <w:contextualSpacing/>
      <w:jc w:val="both"/>
    </w:pPr>
    <w:rPr>
      <w:rFonts w:ascii="宋体"/>
      <w:kern w:val="0"/>
      <w:szCs w:val="20"/>
    </w:rPr>
  </w:style>
  <w:style w:type="paragraph" w:customStyle="1" w:styleId="1734">
    <w:name w:val="文本框内文字"/>
    <w:basedOn w:val="1"/>
    <w:qFormat/>
    <w:uiPriority w:val="0"/>
    <w:pPr>
      <w:spacing w:line="240" w:lineRule="exact"/>
      <w:ind w:left="-120" w:leftChars="-50" w:right="-120" w:rightChars="-50" w:firstLine="200" w:firstLineChars="200"/>
      <w:jc w:val="center"/>
    </w:pPr>
    <w:rPr>
      <w:rFonts w:ascii="仿宋_GB2312" w:eastAsia="仿宋_GB2312"/>
      <w:kern w:val="0"/>
      <w:szCs w:val="20"/>
    </w:rPr>
  </w:style>
  <w:style w:type="paragraph" w:customStyle="1" w:styleId="1735">
    <w:name w:val="样式 小四1"/>
    <w:basedOn w:val="1"/>
    <w:qFormat/>
    <w:uiPriority w:val="0"/>
    <w:pPr>
      <w:spacing w:beforeLines="50"/>
      <w:ind w:firstLine="200" w:firstLineChars="200"/>
      <w:jc w:val="both"/>
    </w:pPr>
    <w:rPr>
      <w:rFonts w:ascii="宋体" w:cs="宋体"/>
      <w:kern w:val="0"/>
      <w:szCs w:val="20"/>
    </w:rPr>
  </w:style>
  <w:style w:type="paragraph" w:customStyle="1" w:styleId="1736">
    <w:name w:val="编号A."/>
    <w:basedOn w:val="1"/>
    <w:qFormat/>
    <w:uiPriority w:val="0"/>
    <w:pPr>
      <w:tabs>
        <w:tab w:val="left" w:pos="547"/>
        <w:tab w:val="left" w:pos="907"/>
        <w:tab w:val="left" w:pos="1080"/>
      </w:tabs>
      <w:spacing w:line="480" w:lineRule="atLeast"/>
      <w:ind w:firstLine="547" w:firstLineChars="200"/>
      <w:jc w:val="both"/>
    </w:pPr>
    <w:rPr>
      <w:rFonts w:ascii="宋体"/>
      <w:kern w:val="0"/>
      <w:szCs w:val="20"/>
    </w:rPr>
  </w:style>
  <w:style w:type="paragraph" w:customStyle="1" w:styleId="1737">
    <w:name w:val="样式 样式 标题 1一、1.标题 1 + 段前: 1 行 段后: 1 行 + 段前: 1 行 段后: 1 行"/>
    <w:basedOn w:val="1"/>
    <w:qFormat/>
    <w:uiPriority w:val="0"/>
    <w:pPr>
      <w:keepNext/>
      <w:keepLines/>
      <w:pageBreakBefore/>
      <w:tabs>
        <w:tab w:val="left" w:pos="280"/>
        <w:tab w:val="left" w:pos="425"/>
      </w:tabs>
      <w:spacing w:beforeLines="100" w:afterLines="100"/>
      <w:ind w:left="431" w:hanging="431" w:firstLineChars="200"/>
      <w:jc w:val="both"/>
      <w:outlineLvl w:val="0"/>
    </w:pPr>
    <w:rPr>
      <w:rFonts w:ascii="宋体" w:eastAsia="黑体" w:cs="宋体"/>
      <w:kern w:val="44"/>
      <w:sz w:val="44"/>
      <w:szCs w:val="20"/>
    </w:rPr>
  </w:style>
  <w:style w:type="paragraph" w:customStyle="1" w:styleId="1738">
    <w:name w:val="样式 样式 样式 段前: 0.5 行 首行缩进:  2 字符 + 首行缩进:  2 字符 Char + 段前: 0.5 行"/>
    <w:basedOn w:val="1"/>
    <w:qFormat/>
    <w:uiPriority w:val="0"/>
    <w:pPr>
      <w:spacing w:line="460" w:lineRule="exact"/>
      <w:ind w:firstLine="200" w:firstLineChars="200"/>
      <w:jc w:val="both"/>
    </w:pPr>
    <w:rPr>
      <w:rFonts w:ascii="宋体" w:eastAsia="华文仿宋" w:cs="宋体"/>
      <w:kern w:val="0"/>
      <w:sz w:val="28"/>
      <w:szCs w:val="28"/>
    </w:rPr>
  </w:style>
  <w:style w:type="paragraph" w:customStyle="1" w:styleId="1739">
    <w:name w:val="f2"/>
    <w:basedOn w:val="1"/>
    <w:qFormat/>
    <w:uiPriority w:val="0"/>
    <w:pPr>
      <w:spacing w:before="100" w:beforeAutospacing="1" w:after="100" w:afterAutospacing="1" w:line="440" w:lineRule="exact"/>
      <w:ind w:firstLine="200" w:firstLineChars="200"/>
      <w:jc w:val="both"/>
    </w:pPr>
    <w:rPr>
      <w:rFonts w:ascii="宋体" w:hAnsi="宋体" w:cs="宋体"/>
      <w:kern w:val="0"/>
    </w:rPr>
  </w:style>
  <w:style w:type="paragraph" w:customStyle="1" w:styleId="1740">
    <w:name w:val="样式 13 磅 黑色 行距: 固定值 23 磅"/>
    <w:basedOn w:val="1"/>
    <w:qFormat/>
    <w:uiPriority w:val="0"/>
    <w:pPr>
      <w:spacing w:line="460" w:lineRule="exact"/>
      <w:ind w:firstLine="520" w:firstLineChars="200"/>
      <w:jc w:val="both"/>
    </w:pPr>
    <w:rPr>
      <w:rFonts w:ascii="宋体"/>
      <w:kern w:val="0"/>
      <w:sz w:val="26"/>
      <w:szCs w:val="20"/>
    </w:rPr>
  </w:style>
  <w:style w:type="paragraph" w:customStyle="1" w:styleId="1741">
    <w:name w:val="Char Char Char Char Char Char Char Char Char Char Char Char Char Char Char1"/>
    <w:basedOn w:val="1"/>
    <w:qFormat/>
    <w:uiPriority w:val="0"/>
    <w:pPr>
      <w:spacing w:line="440" w:lineRule="exact"/>
      <w:ind w:firstLine="200" w:firstLineChars="200"/>
      <w:jc w:val="both"/>
    </w:pPr>
    <w:rPr>
      <w:rFonts w:ascii="宋体"/>
      <w:kern w:val="0"/>
      <w:szCs w:val="20"/>
    </w:rPr>
  </w:style>
  <w:style w:type="paragraph" w:customStyle="1" w:styleId="1742">
    <w:name w:val="样式 样式 标题 2标题节标题 2 Char Char + 段前: 2 行 + 段前: 0.5 行 段后: 0.5 行1"/>
    <w:basedOn w:val="1719"/>
    <w:qFormat/>
    <w:uiPriority w:val="0"/>
  </w:style>
  <w:style w:type="paragraph" w:customStyle="1" w:styleId="1743">
    <w:name w:val="样式 样式 标题 3 + Times New Roman + 段前: 1 行 段后: 1 行"/>
    <w:basedOn w:val="1"/>
    <w:qFormat/>
    <w:uiPriority w:val="0"/>
    <w:pPr>
      <w:keepNext/>
      <w:keepLines/>
      <w:tabs>
        <w:tab w:val="left" w:pos="280"/>
        <w:tab w:val="left" w:pos="1931"/>
      </w:tabs>
      <w:spacing w:beforeLines="100" w:afterLines="100" w:line="440" w:lineRule="exact"/>
      <w:ind w:left="1418" w:hanging="567" w:firstLineChars="200"/>
      <w:jc w:val="both"/>
      <w:outlineLvl w:val="2"/>
    </w:pPr>
    <w:rPr>
      <w:rFonts w:ascii="宋体" w:eastAsia="黑体" w:cs="宋体"/>
      <w:kern w:val="0"/>
      <w:sz w:val="30"/>
      <w:szCs w:val="20"/>
    </w:rPr>
  </w:style>
  <w:style w:type="paragraph" w:customStyle="1" w:styleId="1744">
    <w:name w:val="表头格式"/>
    <w:basedOn w:val="1"/>
    <w:qFormat/>
    <w:uiPriority w:val="0"/>
    <w:pPr>
      <w:spacing w:beforeLines="50" w:line="360" w:lineRule="exact"/>
      <w:ind w:firstLine="200" w:firstLineChars="200"/>
      <w:jc w:val="center"/>
    </w:pPr>
    <w:rPr>
      <w:rFonts w:ascii="宋体" w:eastAsia="方正黑体简体"/>
      <w:kern w:val="0"/>
      <w:szCs w:val="20"/>
    </w:rPr>
  </w:style>
  <w:style w:type="paragraph" w:customStyle="1" w:styleId="1745">
    <w:name w:val="样式 样式 样式1 + 首行缩进:  2 字符 + 首行缩进:  2 字符"/>
    <w:basedOn w:val="1"/>
    <w:qFormat/>
    <w:uiPriority w:val="0"/>
    <w:pPr>
      <w:tabs>
        <w:tab w:val="left" w:pos="2265"/>
        <w:tab w:val="left" w:pos="3075"/>
      </w:tabs>
      <w:ind w:firstLine="200" w:firstLineChars="200"/>
      <w:jc w:val="center"/>
    </w:pPr>
    <w:rPr>
      <w:rFonts w:ascii="宋体" w:hAnsi="宋体" w:cs="宋体"/>
      <w:kern w:val="0"/>
      <w:szCs w:val="20"/>
    </w:rPr>
  </w:style>
  <w:style w:type="paragraph" w:customStyle="1" w:styleId="1746">
    <w:name w:val="正文+加粗"/>
    <w:basedOn w:val="1"/>
    <w:qFormat/>
    <w:uiPriority w:val="0"/>
    <w:pPr>
      <w:spacing w:line="500" w:lineRule="exact"/>
      <w:ind w:firstLine="200" w:firstLineChars="200"/>
      <w:jc w:val="both"/>
    </w:pPr>
    <w:rPr>
      <w:rFonts w:ascii="宋体"/>
      <w:b/>
      <w:kern w:val="0"/>
      <w:szCs w:val="20"/>
    </w:rPr>
  </w:style>
  <w:style w:type="paragraph" w:customStyle="1" w:styleId="1747">
    <w:name w:val="11号线正文缩进4字符"/>
    <w:basedOn w:val="1"/>
    <w:qFormat/>
    <w:uiPriority w:val="0"/>
    <w:pPr>
      <w:spacing w:line="500" w:lineRule="exact"/>
      <w:ind w:left="200" w:leftChars="200" w:firstLine="200" w:firstLineChars="200"/>
      <w:jc w:val="both"/>
    </w:pPr>
    <w:rPr>
      <w:rFonts w:ascii="宋体" w:hAnsi="宋体" w:cs="宋体"/>
      <w:kern w:val="0"/>
      <w:sz w:val="28"/>
      <w:szCs w:val="28"/>
    </w:rPr>
  </w:style>
  <w:style w:type="paragraph" w:customStyle="1" w:styleId="1748">
    <w:name w:val="文本框1"/>
    <w:basedOn w:val="1"/>
    <w:qFormat/>
    <w:uiPriority w:val="0"/>
    <w:pPr>
      <w:spacing w:after="60" w:line="340" w:lineRule="atLeast"/>
      <w:ind w:firstLine="567" w:firstLineChars="200"/>
      <w:jc w:val="both"/>
    </w:pPr>
    <w:rPr>
      <w:rFonts w:ascii="宋体" w:hAnsi="宋体"/>
      <w:kern w:val="0"/>
      <w:sz w:val="28"/>
      <w:szCs w:val="20"/>
    </w:rPr>
  </w:style>
  <w:style w:type="paragraph" w:customStyle="1" w:styleId="1749">
    <w:name w:val="编号(1)"/>
    <w:basedOn w:val="1"/>
    <w:qFormat/>
    <w:uiPriority w:val="0"/>
    <w:pPr>
      <w:tabs>
        <w:tab w:val="left" w:pos="547"/>
        <w:tab w:val="left" w:pos="907"/>
        <w:tab w:val="left" w:pos="1080"/>
      </w:tabs>
      <w:spacing w:line="480" w:lineRule="atLeast"/>
      <w:ind w:firstLine="547" w:firstLineChars="200"/>
      <w:jc w:val="both"/>
    </w:pPr>
    <w:rPr>
      <w:rFonts w:ascii="宋体"/>
      <w:kern w:val="0"/>
      <w:szCs w:val="20"/>
    </w:rPr>
  </w:style>
  <w:style w:type="paragraph" w:customStyle="1" w:styleId="1750">
    <w:name w:val="Char Char Char Char Char1 Char"/>
    <w:basedOn w:val="1"/>
    <w:qFormat/>
    <w:uiPriority w:val="0"/>
    <w:pPr>
      <w:ind w:firstLine="200" w:firstLineChars="200"/>
      <w:jc w:val="both"/>
    </w:pPr>
    <w:rPr>
      <w:rFonts w:ascii="宋体" w:eastAsia="黑体"/>
      <w:spacing w:val="20"/>
      <w:kern w:val="0"/>
      <w:sz w:val="32"/>
      <w:szCs w:val="32"/>
    </w:rPr>
  </w:style>
  <w:style w:type="paragraph" w:customStyle="1" w:styleId="1751">
    <w:name w:val="样式 样式 四号 + 首行缩进:  2 字符"/>
    <w:basedOn w:val="1"/>
    <w:qFormat/>
    <w:uiPriority w:val="0"/>
    <w:pPr>
      <w:spacing w:line="240" w:lineRule="atLeast"/>
      <w:ind w:firstLine="200" w:firstLineChars="200"/>
      <w:jc w:val="both"/>
    </w:pPr>
    <w:rPr>
      <w:rFonts w:ascii="宋体" w:cs="宋体"/>
      <w:kern w:val="0"/>
      <w:sz w:val="28"/>
      <w:szCs w:val="20"/>
    </w:rPr>
  </w:style>
  <w:style w:type="paragraph" w:customStyle="1" w:styleId="1752">
    <w:name w:val="样式 标题 1一、1.标题 1 + (西文) 昆仑黑体"/>
    <w:basedOn w:val="6"/>
    <w:qFormat/>
    <w:uiPriority w:val="0"/>
    <w:pPr>
      <w:tabs>
        <w:tab w:val="left" w:pos="1200"/>
      </w:tabs>
      <w:spacing w:beforeLines="100" w:afterLines="100" w:line="240" w:lineRule="auto"/>
      <w:ind w:left="1200" w:hanging="720"/>
    </w:pPr>
    <w:rPr>
      <w:rFonts w:ascii="昆仑黑体" w:hAnsi="昆仑黑体"/>
      <w:kern w:val="0"/>
      <w:sz w:val="32"/>
      <w:szCs w:val="20"/>
      <w:lang w:val="zh-CN"/>
    </w:rPr>
  </w:style>
  <w:style w:type="paragraph" w:customStyle="1" w:styleId="1753">
    <w:name w:val="样式 样式 表名 + 段后: 0.5 行 + 段后: 0.2 行"/>
    <w:basedOn w:val="1"/>
    <w:qFormat/>
    <w:uiPriority w:val="0"/>
    <w:pPr>
      <w:spacing w:before="120" w:afterLines="20"/>
      <w:ind w:firstLine="200" w:firstLineChars="200"/>
      <w:jc w:val="center"/>
    </w:pPr>
    <w:rPr>
      <w:rFonts w:ascii="Arial" w:hAnsi="Arial" w:eastAsia="仿宋_GB2312" w:cs="宋体"/>
      <w:b/>
      <w:bCs/>
      <w:kern w:val="0"/>
      <w:szCs w:val="20"/>
    </w:rPr>
  </w:style>
  <w:style w:type="paragraph" w:customStyle="1" w:styleId="1754">
    <w:name w:val="acee正文"/>
    <w:basedOn w:val="1"/>
    <w:qFormat/>
    <w:uiPriority w:val="0"/>
    <w:pPr>
      <w:spacing w:line="480" w:lineRule="exact"/>
      <w:ind w:firstLine="640" w:firstLineChars="200"/>
      <w:jc w:val="both"/>
    </w:pPr>
    <w:rPr>
      <w:rFonts w:ascii="仿宋_GB2312" w:hAnsi="宋体" w:eastAsia="仿宋_GB2312"/>
      <w:kern w:val="0"/>
      <w:sz w:val="32"/>
      <w:szCs w:val="20"/>
    </w:rPr>
  </w:style>
  <w:style w:type="paragraph" w:customStyle="1" w:styleId="1755">
    <w:name w:val="环评标题三级"/>
    <w:basedOn w:val="7"/>
    <w:qFormat/>
    <w:uiPriority w:val="0"/>
    <w:pPr>
      <w:tabs>
        <w:tab w:val="left" w:pos="4990"/>
      </w:tabs>
      <w:spacing w:beforeLines="0" w:after="156" w:line="360" w:lineRule="exact"/>
      <w:ind w:left="431"/>
      <w:jc w:val="both"/>
      <w:outlineLvl w:val="2"/>
    </w:pPr>
    <w:rPr>
      <w:rFonts w:ascii="Times New Roman" w:eastAsia="华文中宋"/>
      <w:color w:val="4F81BD"/>
      <w:kern w:val="0"/>
      <w:sz w:val="24"/>
      <w:szCs w:val="26"/>
      <w:lang w:val="zh-CN" w:eastAsia="en-US"/>
    </w:rPr>
  </w:style>
  <w:style w:type="paragraph" w:customStyle="1" w:styleId="1756">
    <w:name w:val="MFS正文 Char Char"/>
    <w:basedOn w:val="335"/>
    <w:qFormat/>
    <w:uiPriority w:val="0"/>
    <w:pPr>
      <w:spacing w:before="93" w:line="360" w:lineRule="auto"/>
      <w:ind w:firstLine="487" w:firstLineChars="200"/>
    </w:pPr>
    <w:rPr>
      <w:rFonts w:eastAsia="楷体_GB2312"/>
      <w:sz w:val="24"/>
    </w:rPr>
  </w:style>
  <w:style w:type="paragraph" w:customStyle="1" w:styleId="1757">
    <w:name w:val="表名/图名"/>
    <w:basedOn w:val="1"/>
    <w:qFormat/>
    <w:uiPriority w:val="0"/>
    <w:pPr>
      <w:widowControl w:val="0"/>
      <w:spacing w:line="240" w:lineRule="atLeast"/>
      <w:ind w:firstLine="210"/>
      <w:jc w:val="center"/>
      <w:textAlignment w:val="baseline"/>
    </w:pPr>
    <w:rPr>
      <w:rFonts w:ascii="宋体" w:hAnsi="宋体"/>
      <w:b/>
      <w:kern w:val="0"/>
      <w:sz w:val="21"/>
    </w:rPr>
  </w:style>
  <w:style w:type="paragraph" w:customStyle="1" w:styleId="1758">
    <w:name w:val="样式 样式 样式 表格样式 + 五号 + +"/>
    <w:basedOn w:val="1"/>
    <w:qFormat/>
    <w:uiPriority w:val="0"/>
    <w:pPr>
      <w:spacing w:line="440" w:lineRule="exact"/>
      <w:ind w:firstLine="200" w:firstLineChars="200"/>
      <w:jc w:val="center"/>
      <w:textAlignment w:val="baseline"/>
    </w:pPr>
    <w:rPr>
      <w:rFonts w:ascii="Arial" w:hAnsi="Arial"/>
      <w:kern w:val="0"/>
      <w:szCs w:val="20"/>
    </w:rPr>
  </w:style>
  <w:style w:type="paragraph" w:customStyle="1" w:styleId="1759">
    <w:name w:val="样式 正文首行缩进 2 + 首行缩进:  2 字符"/>
    <w:basedOn w:val="1325"/>
    <w:qFormat/>
    <w:uiPriority w:val="0"/>
    <w:pPr>
      <w:spacing w:after="0" w:line="360" w:lineRule="auto"/>
      <w:ind w:left="0" w:leftChars="0" w:firstLine="480"/>
    </w:pPr>
    <w:rPr>
      <w:rFonts w:cs="宋体"/>
      <w:szCs w:val="20"/>
    </w:rPr>
  </w:style>
  <w:style w:type="paragraph" w:customStyle="1" w:styleId="1760">
    <w:name w:val="1.1.1 标题"/>
    <w:basedOn w:val="1"/>
    <w:qFormat/>
    <w:uiPriority w:val="0"/>
    <w:pPr>
      <w:keepNext/>
      <w:keepLines/>
      <w:widowControl w:val="0"/>
      <w:spacing w:line="460" w:lineRule="exact"/>
      <w:ind w:firstLine="482" w:firstLineChars="200"/>
      <w:jc w:val="both"/>
      <w:outlineLvl w:val="2"/>
    </w:pPr>
    <w:rPr>
      <w:rFonts w:ascii="Arial" w:hAnsi="Arial" w:eastAsia="黑体" w:cs="Arial"/>
      <w:b/>
      <w:bCs/>
      <w:snapToGrid w:val="0"/>
      <w:color w:val="000000"/>
      <w:szCs w:val="24"/>
    </w:rPr>
  </w:style>
  <w:style w:type="paragraph" w:customStyle="1" w:styleId="1761">
    <w:name w:val="表格文本：5+居中+单倍行距"/>
    <w:basedOn w:val="1"/>
    <w:qFormat/>
    <w:uiPriority w:val="0"/>
    <w:pPr>
      <w:spacing w:beforeLines="50" w:line="440" w:lineRule="exact"/>
      <w:ind w:firstLine="200" w:firstLineChars="200"/>
      <w:jc w:val="center"/>
      <w:textAlignment w:val="center"/>
    </w:pPr>
    <w:rPr>
      <w:rFonts w:ascii="宋体" w:cs="宋体"/>
      <w:kern w:val="0"/>
    </w:rPr>
  </w:style>
  <w:style w:type="paragraph" w:customStyle="1" w:styleId="1762">
    <w:name w:val="Char Char Char1 Char Char Char Char"/>
    <w:basedOn w:val="1"/>
    <w:qFormat/>
    <w:uiPriority w:val="0"/>
    <w:pPr>
      <w:ind w:firstLine="200" w:firstLineChars="200"/>
      <w:jc w:val="both"/>
    </w:pPr>
    <w:rPr>
      <w:rFonts w:ascii="宋体" w:hAnsi="宋体" w:cs="宋体"/>
      <w:kern w:val="0"/>
      <w:szCs w:val="26"/>
    </w:rPr>
  </w:style>
  <w:style w:type="paragraph" w:customStyle="1" w:styleId="1763">
    <w:name w:val="样式 正文段落青岛 + 首行缩进:  2 字符"/>
    <w:basedOn w:val="1764"/>
    <w:qFormat/>
    <w:uiPriority w:val="0"/>
    <w:pPr>
      <w:spacing w:beforeLines="50" w:after="156" w:line="360" w:lineRule="auto"/>
      <w:ind w:firstLine="0" w:firstLineChars="0"/>
      <w:jc w:val="both"/>
    </w:pPr>
    <w:rPr>
      <w:rFonts w:ascii="宋体" w:hAnsi="宋体" w:cs="宋体"/>
      <w:sz w:val="24"/>
      <w:szCs w:val="24"/>
    </w:rPr>
  </w:style>
  <w:style w:type="paragraph" w:customStyle="1" w:styleId="1764">
    <w:name w:val="正文段落青岛"/>
    <w:qFormat/>
    <w:uiPriority w:val="0"/>
    <w:pPr>
      <w:spacing w:after="200" w:line="520" w:lineRule="exact"/>
      <w:ind w:firstLine="200" w:firstLineChars="200"/>
    </w:pPr>
    <w:rPr>
      <w:rFonts w:ascii="Times New Roman" w:hAnsi="Times New Roman" w:eastAsia="宋体" w:cs="Times New Roman"/>
      <w:sz w:val="28"/>
      <w:szCs w:val="28"/>
      <w:lang w:val="en-US" w:eastAsia="zh-CN" w:bidi="ar-SA"/>
    </w:rPr>
  </w:style>
  <w:style w:type="paragraph" w:customStyle="1" w:styleId="1765">
    <w:name w:val="首行缩进 Char Char Char"/>
    <w:basedOn w:val="1"/>
    <w:qFormat/>
    <w:uiPriority w:val="0"/>
    <w:pPr>
      <w:ind w:firstLine="499" w:firstLineChars="200"/>
      <w:jc w:val="both"/>
    </w:pPr>
    <w:rPr>
      <w:rFonts w:ascii="宋体"/>
      <w:kern w:val="0"/>
      <w:szCs w:val="20"/>
    </w:rPr>
  </w:style>
  <w:style w:type="paragraph" w:customStyle="1" w:styleId="1766">
    <w:name w:val="表格文本：5+两端对齐+单倍行距"/>
    <w:basedOn w:val="1761"/>
    <w:qFormat/>
    <w:uiPriority w:val="0"/>
    <w:pPr>
      <w:jc w:val="both"/>
    </w:pPr>
  </w:style>
  <w:style w:type="paragraph" w:customStyle="1" w:styleId="1767">
    <w:name w:val="样式 样式 样式 样式 样式 标题 21标题21 Char标题 2 Char Char + Times New Roman 段前...2"/>
    <w:basedOn w:val="1"/>
    <w:qFormat/>
    <w:uiPriority w:val="0"/>
    <w:pPr>
      <w:keepNext/>
      <w:keepLines/>
      <w:tabs>
        <w:tab w:val="left" w:pos="992"/>
      </w:tabs>
      <w:spacing w:beforeLines="50" w:afterLines="50" w:line="440" w:lineRule="exact"/>
      <w:ind w:firstLine="200" w:firstLineChars="200"/>
      <w:jc w:val="both"/>
      <w:outlineLvl w:val="1"/>
    </w:pPr>
    <w:rPr>
      <w:rFonts w:ascii="宋体" w:eastAsia="黑体" w:cs="宋体"/>
      <w:kern w:val="0"/>
      <w:sz w:val="30"/>
      <w:szCs w:val="20"/>
    </w:rPr>
  </w:style>
  <w:style w:type="paragraph" w:customStyle="1" w:styleId="1768">
    <w:name w:val="样式 样式 标题 3 + 段后: 0.5 行 + 段后: 0.5 行"/>
    <w:basedOn w:val="1"/>
    <w:qFormat/>
    <w:uiPriority w:val="0"/>
    <w:pPr>
      <w:keepNext/>
      <w:keepLines/>
      <w:ind w:firstLine="200" w:firstLineChars="200"/>
      <w:jc w:val="both"/>
      <w:outlineLvl w:val="2"/>
    </w:pPr>
    <w:rPr>
      <w:rFonts w:ascii="宋体" w:eastAsia="黑体" w:cs="宋体"/>
      <w:kern w:val="0"/>
      <w:sz w:val="28"/>
      <w:szCs w:val="20"/>
    </w:rPr>
  </w:style>
  <w:style w:type="paragraph" w:customStyle="1" w:styleId="1769">
    <w:name w:val="样式 样式 标题 21 + 段前: 1 行 段后: 1 行 + 段前: 1 行 段后: 1 行"/>
    <w:basedOn w:val="1"/>
    <w:qFormat/>
    <w:uiPriority w:val="0"/>
    <w:pPr>
      <w:keepNext/>
      <w:keepLines/>
      <w:tabs>
        <w:tab w:val="left" w:pos="280"/>
        <w:tab w:val="left" w:pos="648"/>
        <w:tab w:val="left" w:pos="992"/>
      </w:tabs>
      <w:spacing w:beforeLines="50" w:afterLines="50"/>
      <w:ind w:left="578" w:hanging="578" w:firstLineChars="200"/>
      <w:jc w:val="both"/>
      <w:outlineLvl w:val="1"/>
    </w:pPr>
    <w:rPr>
      <w:rFonts w:ascii="宋体" w:eastAsia="黑体" w:cs="宋体"/>
      <w:kern w:val="0"/>
      <w:sz w:val="32"/>
      <w:szCs w:val="32"/>
    </w:rPr>
  </w:style>
  <w:style w:type="paragraph" w:customStyle="1" w:styleId="1770">
    <w:name w:val="样式 标题 4 + (中文) 宋体"/>
    <w:basedOn w:val="9"/>
    <w:qFormat/>
    <w:uiPriority w:val="0"/>
    <w:pPr>
      <w:keepNext/>
      <w:keepLines/>
      <w:tabs>
        <w:tab w:val="left" w:pos="1271"/>
      </w:tabs>
      <w:spacing w:before="200" w:after="156" w:line="377" w:lineRule="auto"/>
      <w:ind w:left="1271" w:hanging="851"/>
      <w:jc w:val="both"/>
    </w:pPr>
    <w:rPr>
      <w:rFonts w:ascii="Arial" w:hAnsi="Arial"/>
      <w:b w:val="0"/>
      <w:bCs/>
      <w:kern w:val="0"/>
      <w:szCs w:val="24"/>
      <w:shd w:val="clear" w:color="auto" w:fill="FFFFFF"/>
      <w:lang w:val="zh-CN"/>
    </w:rPr>
  </w:style>
  <w:style w:type="paragraph" w:customStyle="1" w:styleId="1771">
    <w:name w:val="样式 样式 四号 黑色 + 首行缩进:  2 字符1"/>
    <w:basedOn w:val="1516"/>
    <w:qFormat/>
    <w:uiPriority w:val="0"/>
    <w:rPr>
      <w:szCs w:val="20"/>
    </w:rPr>
  </w:style>
  <w:style w:type="paragraph" w:customStyle="1" w:styleId="1772">
    <w:name w:val="表下注释"/>
    <w:basedOn w:val="183"/>
    <w:qFormat/>
    <w:uiPriority w:val="0"/>
    <w:pPr>
      <w:keepNext/>
      <w:keepLines/>
      <w:spacing w:line="240" w:lineRule="exact"/>
      <w:ind w:firstLine="200" w:firstLineChars="200"/>
      <w:jc w:val="center"/>
    </w:pPr>
    <w:rPr>
      <w:bCs/>
      <w:color w:val="000000"/>
      <w:kern w:val="44"/>
      <w:sz w:val="21"/>
      <w:szCs w:val="44"/>
      <w:lang w:val="zh-CN"/>
    </w:rPr>
  </w:style>
  <w:style w:type="paragraph" w:customStyle="1" w:styleId="1773">
    <w:name w:val="图文框"/>
    <w:basedOn w:val="1"/>
    <w:qFormat/>
    <w:uiPriority w:val="0"/>
    <w:pPr>
      <w:autoSpaceDE w:val="0"/>
      <w:autoSpaceDN w:val="0"/>
      <w:spacing w:line="320" w:lineRule="exact"/>
      <w:ind w:firstLine="200" w:firstLineChars="200"/>
      <w:jc w:val="center"/>
      <w:textAlignment w:val="baseline"/>
    </w:pPr>
    <w:rPr>
      <w:rFonts w:ascii="宋体" w:eastAsia="仿宋_GB2312"/>
      <w:kern w:val="0"/>
      <w:szCs w:val="20"/>
    </w:rPr>
  </w:style>
  <w:style w:type="paragraph" w:customStyle="1" w:styleId="1774">
    <w:name w:val="图样式"/>
    <w:next w:val="1"/>
    <w:qFormat/>
    <w:uiPriority w:val="0"/>
    <w:pPr>
      <w:spacing w:after="200" w:line="276" w:lineRule="auto"/>
      <w:jc w:val="center"/>
    </w:pPr>
    <w:rPr>
      <w:rFonts w:ascii="Arial" w:hAnsi="Arial" w:eastAsia="宋体" w:cs="Times New Roman"/>
      <w:sz w:val="24"/>
      <w:lang w:val="en-US" w:eastAsia="zh-CN" w:bidi="ar-SA"/>
    </w:rPr>
  </w:style>
  <w:style w:type="paragraph" w:customStyle="1" w:styleId="1775">
    <w:name w:val="CM15"/>
    <w:basedOn w:val="131"/>
    <w:next w:val="131"/>
    <w:qFormat/>
    <w:uiPriority w:val="0"/>
    <w:pPr>
      <w:adjustRightInd w:val="0"/>
      <w:spacing w:after="108" w:line="276" w:lineRule="auto"/>
    </w:pPr>
    <w:rPr>
      <w:rFonts w:ascii=".." w:eastAsia="Times New Roman" w:cs=".."/>
      <w:color w:val="auto"/>
    </w:rPr>
  </w:style>
  <w:style w:type="paragraph" w:customStyle="1" w:styleId="1776">
    <w:name w:val="内容"/>
    <w:basedOn w:val="1"/>
    <w:qFormat/>
    <w:uiPriority w:val="0"/>
    <w:pPr>
      <w:ind w:firstLine="200" w:firstLineChars="200"/>
      <w:jc w:val="both"/>
    </w:pPr>
    <w:rPr>
      <w:rFonts w:ascii="宋体" w:cs="宋体"/>
      <w:kern w:val="0"/>
      <w:sz w:val="28"/>
      <w:szCs w:val="28"/>
    </w:rPr>
  </w:style>
  <w:style w:type="paragraph" w:customStyle="1" w:styleId="1777">
    <w:name w:val="样式 表中文字 + 段后: 0.5 行"/>
    <w:basedOn w:val="198"/>
    <w:qFormat/>
    <w:uiPriority w:val="0"/>
    <w:pPr>
      <w:keepNext w:val="0"/>
      <w:keepLines w:val="0"/>
      <w:spacing w:line="340" w:lineRule="exact"/>
      <w:ind w:firstLine="200" w:firstLineChars="200"/>
    </w:pPr>
    <w:rPr>
      <w:rFonts w:ascii="Arial" w:hAnsi="Arial" w:cs="宋体"/>
      <w:bCs w:val="0"/>
      <w:kern w:val="0"/>
      <w:szCs w:val="24"/>
      <w:lang w:val="zh-CN" w:eastAsia="zh-TW"/>
    </w:rPr>
  </w:style>
  <w:style w:type="paragraph" w:customStyle="1" w:styleId="1778">
    <w:name w:val="居中"/>
    <w:basedOn w:val="1"/>
    <w:qFormat/>
    <w:uiPriority w:val="0"/>
    <w:pPr>
      <w:spacing w:line="440" w:lineRule="exact"/>
      <w:ind w:firstLine="200" w:firstLineChars="200"/>
      <w:jc w:val="center"/>
    </w:pPr>
    <w:rPr>
      <w:rFonts w:ascii="宋体" w:cs="宋体"/>
      <w:kern w:val="0"/>
      <w:szCs w:val="20"/>
    </w:rPr>
  </w:style>
  <w:style w:type="paragraph" w:customStyle="1" w:styleId="1779">
    <w:name w:val="样式 (符号) 宋体 小四 行距: 单倍行距"/>
    <w:basedOn w:val="1"/>
    <w:qFormat/>
    <w:uiPriority w:val="0"/>
    <w:pPr>
      <w:spacing w:line="440" w:lineRule="exact"/>
      <w:ind w:firstLine="480" w:firstLineChars="200"/>
      <w:jc w:val="both"/>
    </w:pPr>
    <w:rPr>
      <w:rFonts w:ascii="宋体" w:hAnsi="宋体" w:cs="宋体"/>
      <w:kern w:val="0"/>
      <w:szCs w:val="20"/>
    </w:rPr>
  </w:style>
  <w:style w:type="paragraph" w:customStyle="1" w:styleId="1780">
    <w:name w:val="样式 样式 标题 3 + Arial 四号 左 段前: 6 磅 段后: 6 磅 行距: 多倍行距 1.73 字行 + (符号) ..."/>
    <w:basedOn w:val="1"/>
    <w:qFormat/>
    <w:uiPriority w:val="0"/>
    <w:pPr>
      <w:keepNext/>
      <w:keepLines/>
      <w:tabs>
        <w:tab w:val="left" w:pos="1440"/>
      </w:tabs>
      <w:spacing w:before="120" w:after="120" w:line="415" w:lineRule="auto"/>
      <w:ind w:left="1440" w:hanging="720" w:firstLineChars="200"/>
      <w:jc w:val="both"/>
      <w:outlineLvl w:val="2"/>
    </w:pPr>
    <w:rPr>
      <w:rFonts w:ascii="Arial" w:hAnsi="Arial" w:cs="宋体"/>
      <w:b/>
      <w:bCs/>
      <w:kern w:val="0"/>
      <w:sz w:val="28"/>
      <w:szCs w:val="28"/>
    </w:rPr>
  </w:style>
  <w:style w:type="paragraph" w:customStyle="1" w:styleId="1781">
    <w:name w:val="正文版本"/>
    <w:basedOn w:val="1"/>
    <w:qFormat/>
    <w:uiPriority w:val="0"/>
    <w:pPr>
      <w:autoSpaceDE w:val="0"/>
      <w:autoSpaceDN w:val="0"/>
      <w:spacing w:afterLines="50" w:line="300" w:lineRule="auto"/>
      <w:ind w:firstLine="480" w:firstLineChars="200"/>
      <w:jc w:val="both"/>
    </w:pPr>
    <w:rPr>
      <w:rFonts w:ascii="宋体"/>
      <w:kern w:val="0"/>
      <w:szCs w:val="20"/>
      <w:lang w:val="zh-CN"/>
    </w:rPr>
  </w:style>
  <w:style w:type="paragraph" w:customStyle="1" w:styleId="1782">
    <w:name w:val="正文格式"/>
    <w:basedOn w:val="1"/>
    <w:qFormat/>
    <w:uiPriority w:val="0"/>
    <w:pPr>
      <w:ind w:firstLine="482" w:firstLineChars="200"/>
      <w:jc w:val="both"/>
    </w:pPr>
    <w:rPr>
      <w:rFonts w:ascii="宋体" w:cs="宋体"/>
      <w:kern w:val="0"/>
      <w:szCs w:val="20"/>
    </w:rPr>
  </w:style>
  <w:style w:type="paragraph" w:customStyle="1" w:styleId="1783">
    <w:name w:val="Char Char Char Char Char Char Char Char Char Char1"/>
    <w:basedOn w:val="1"/>
    <w:qFormat/>
    <w:uiPriority w:val="0"/>
    <w:pPr>
      <w:ind w:firstLine="200" w:firstLineChars="200"/>
      <w:jc w:val="both"/>
    </w:pPr>
    <w:rPr>
      <w:rFonts w:ascii="宋体"/>
      <w:kern w:val="0"/>
      <w:szCs w:val="20"/>
    </w:rPr>
  </w:style>
  <w:style w:type="paragraph" w:customStyle="1" w:styleId="1784">
    <w:name w:val="样式 正文文本缩进 + 段后: 2.4 磅"/>
    <w:basedOn w:val="1326"/>
    <w:qFormat/>
    <w:uiPriority w:val="0"/>
    <w:pPr>
      <w:spacing w:after="4" w:line="300" w:lineRule="auto"/>
      <w:ind w:left="0" w:leftChars="0" w:firstLine="482" w:firstLineChars="0"/>
      <w:textAlignment w:val="baseline"/>
    </w:pPr>
    <w:rPr>
      <w:rFonts w:cs="宋体"/>
      <w:szCs w:val="20"/>
    </w:rPr>
  </w:style>
  <w:style w:type="paragraph" w:customStyle="1" w:styleId="1785">
    <w:name w:val="样式 样式 正文首行缩进 + 段前: 10.2 磅 行距: 固定值 18 磅 + 首行缩进:  2 字符"/>
    <w:basedOn w:val="1"/>
    <w:qFormat/>
    <w:uiPriority w:val="0"/>
    <w:pPr>
      <w:spacing w:line="500" w:lineRule="exact"/>
      <w:ind w:firstLine="470" w:firstLineChars="196"/>
      <w:jc w:val="both"/>
    </w:pPr>
    <w:rPr>
      <w:rFonts w:ascii="宋体"/>
      <w:kern w:val="0"/>
      <w:szCs w:val="20"/>
    </w:rPr>
  </w:style>
  <w:style w:type="paragraph" w:customStyle="1" w:styleId="1786">
    <w:name w:val="hb3"/>
    <w:basedOn w:val="8"/>
    <w:qFormat/>
    <w:uiPriority w:val="0"/>
    <w:pPr>
      <w:tabs>
        <w:tab w:val="left" w:pos="1872"/>
      </w:tabs>
      <w:spacing w:beforeLines="0" w:afterLines="0" w:line="240" w:lineRule="auto"/>
      <w:ind w:left="1872" w:hanging="432"/>
      <w:jc w:val="both"/>
      <w:textAlignment w:val="baseline"/>
    </w:pPr>
    <w:rPr>
      <w:rFonts w:ascii="宋体" w:hAnsi="Arial Narrow"/>
      <w:b w:val="0"/>
      <w:bCs w:val="0"/>
      <w:kern w:val="0"/>
      <w:sz w:val="24"/>
      <w:szCs w:val="24"/>
      <w:lang w:val="zh-CN"/>
    </w:rPr>
  </w:style>
  <w:style w:type="paragraph" w:customStyle="1" w:styleId="1787">
    <w:name w:val="样式 标题 3条标题1.1.13h33rd levelH3l3CT三级标题 + 段后: 0.5 行"/>
    <w:basedOn w:val="8"/>
    <w:qFormat/>
    <w:uiPriority w:val="0"/>
    <w:pPr>
      <w:tabs>
        <w:tab w:val="left" w:pos="240"/>
      </w:tabs>
      <w:spacing w:beforeLines="0" w:after="156" w:line="300" w:lineRule="auto"/>
      <w:ind w:left="284" w:hanging="284"/>
      <w:jc w:val="both"/>
    </w:pPr>
    <w:rPr>
      <w:rFonts w:ascii="Arial" w:hAnsi="Arial" w:eastAsia="仿宋_GB2312" w:cs="宋体"/>
      <w:b w:val="0"/>
      <w:kern w:val="0"/>
      <w:szCs w:val="20"/>
      <w:lang w:val="zh-CN"/>
    </w:rPr>
  </w:style>
  <w:style w:type="paragraph" w:customStyle="1" w:styleId="1788">
    <w:name w:val="样式 表中文字 + 五号"/>
    <w:basedOn w:val="198"/>
    <w:qFormat/>
    <w:uiPriority w:val="0"/>
    <w:pPr>
      <w:keepNext w:val="0"/>
      <w:keepLines w:val="0"/>
      <w:spacing w:afterLines="20" w:line="340" w:lineRule="exact"/>
      <w:ind w:firstLine="200" w:firstLineChars="200"/>
    </w:pPr>
    <w:rPr>
      <w:bCs w:val="0"/>
      <w:kern w:val="0"/>
      <w:szCs w:val="24"/>
      <w:lang w:val="zh-CN" w:eastAsia="zh-TW"/>
    </w:rPr>
  </w:style>
  <w:style w:type="paragraph" w:customStyle="1" w:styleId="1789">
    <w:name w:val="样式 标题 3小节标题条标题1.1.1 + 首行缩进:  2 字符"/>
    <w:basedOn w:val="8"/>
    <w:qFormat/>
    <w:uiPriority w:val="0"/>
    <w:pPr>
      <w:spacing w:beforeLines="0" w:afterLines="0" w:line="480" w:lineRule="auto"/>
      <w:ind w:firstLine="561" w:firstLineChars="200"/>
      <w:jc w:val="both"/>
    </w:pPr>
    <w:rPr>
      <w:rFonts w:cs="宋体"/>
      <w:b w:val="0"/>
      <w:kern w:val="0"/>
      <w:szCs w:val="20"/>
      <w:lang w:val="zh-CN"/>
    </w:rPr>
  </w:style>
  <w:style w:type="paragraph" w:customStyle="1" w:styleId="1790">
    <w:name w:val="CM37"/>
    <w:basedOn w:val="131"/>
    <w:next w:val="131"/>
    <w:qFormat/>
    <w:uiPriority w:val="0"/>
    <w:pPr>
      <w:adjustRightInd w:val="0"/>
      <w:spacing w:line="503" w:lineRule="atLeast"/>
    </w:pPr>
    <w:rPr>
      <w:rFonts w:ascii="Sim Sun" w:eastAsia="Sim Sun"/>
      <w:color w:val="auto"/>
    </w:rPr>
  </w:style>
  <w:style w:type="paragraph" w:customStyle="1" w:styleId="1791">
    <w:name w:val="样式 小四 行距: 1.5 倍行距"/>
    <w:basedOn w:val="1"/>
    <w:qFormat/>
    <w:uiPriority w:val="0"/>
    <w:pPr>
      <w:ind w:firstLine="480" w:firstLineChars="200"/>
      <w:jc w:val="both"/>
    </w:pPr>
    <w:rPr>
      <w:rFonts w:ascii="宋体" w:cs="宋体"/>
      <w:kern w:val="0"/>
      <w:szCs w:val="20"/>
    </w:rPr>
  </w:style>
  <w:style w:type="paragraph" w:customStyle="1" w:styleId="1792">
    <w:name w:val="样式 标题 2 + (符号) 宋体"/>
    <w:basedOn w:val="7"/>
    <w:qFormat/>
    <w:uiPriority w:val="0"/>
    <w:pPr>
      <w:tabs>
        <w:tab w:val="left" w:pos="0"/>
        <w:tab w:val="left" w:pos="987"/>
      </w:tabs>
      <w:spacing w:beforeLines="0" w:afterLines="0" w:line="415" w:lineRule="auto"/>
      <w:ind w:left="226" w:hanging="113"/>
      <w:jc w:val="both"/>
    </w:pPr>
    <w:rPr>
      <w:rFonts w:ascii="Cambria" w:hAnsi="Cambria" w:eastAsia="微软雅黑"/>
      <w:color w:val="4F81BD"/>
      <w:kern w:val="0"/>
      <w:szCs w:val="30"/>
      <w:lang w:val="zh-CN" w:eastAsia="en-US"/>
    </w:rPr>
  </w:style>
  <w:style w:type="paragraph" w:customStyle="1" w:styleId="1793">
    <w:name w:val="Char Char4 Char Char1 Char Char Char Char"/>
    <w:basedOn w:val="1"/>
    <w:qFormat/>
    <w:uiPriority w:val="0"/>
    <w:pPr>
      <w:ind w:firstLine="200" w:firstLineChars="200"/>
      <w:jc w:val="both"/>
    </w:pPr>
    <w:rPr>
      <w:rFonts w:ascii="宋体" w:hAnsi="宋体" w:cs="宋体"/>
      <w:kern w:val="0"/>
      <w:szCs w:val="26"/>
    </w:rPr>
  </w:style>
  <w:style w:type="paragraph" w:customStyle="1" w:styleId="1794">
    <w:name w:val="Char Char2 Char Char"/>
    <w:basedOn w:val="1"/>
    <w:qFormat/>
    <w:uiPriority w:val="0"/>
    <w:pPr>
      <w:ind w:firstLine="200" w:firstLineChars="200"/>
      <w:jc w:val="both"/>
    </w:pPr>
    <w:rPr>
      <w:rFonts w:ascii="宋体"/>
      <w:kern w:val="0"/>
      <w:szCs w:val="20"/>
    </w:rPr>
  </w:style>
  <w:style w:type="paragraph" w:customStyle="1" w:styleId="1795">
    <w:name w:val="表样式"/>
    <w:basedOn w:val="1"/>
    <w:qFormat/>
    <w:uiPriority w:val="0"/>
    <w:pPr>
      <w:spacing w:beforeLines="50" w:afterLines="50" w:line="440" w:lineRule="exact"/>
      <w:ind w:firstLine="200" w:firstLineChars="200"/>
      <w:jc w:val="center"/>
    </w:pPr>
    <w:rPr>
      <w:rFonts w:ascii="Arial" w:hAnsi="Arial"/>
      <w:kern w:val="0"/>
      <w:sz w:val="28"/>
      <w:szCs w:val="20"/>
    </w:rPr>
  </w:style>
  <w:style w:type="paragraph" w:customStyle="1" w:styleId="1796">
    <w:name w:val="目录1"/>
    <w:basedOn w:val="1"/>
    <w:qFormat/>
    <w:uiPriority w:val="0"/>
    <w:pPr>
      <w:ind w:firstLine="200" w:firstLineChars="200"/>
      <w:jc w:val="both"/>
    </w:pPr>
    <w:rPr>
      <w:rFonts w:ascii="宋体" w:eastAsia="黑体"/>
      <w:kern w:val="0"/>
      <w:szCs w:val="20"/>
    </w:rPr>
  </w:style>
  <w:style w:type="paragraph" w:customStyle="1" w:styleId="1797">
    <w:name w:val="正文标准格式"/>
    <w:basedOn w:val="1"/>
    <w:qFormat/>
    <w:uiPriority w:val="0"/>
    <w:pPr>
      <w:ind w:firstLine="560" w:firstLineChars="200"/>
      <w:jc w:val="both"/>
    </w:pPr>
    <w:rPr>
      <w:rFonts w:ascii="宋体"/>
      <w:color w:val="000000"/>
      <w:kern w:val="0"/>
      <w:sz w:val="28"/>
      <w:szCs w:val="28"/>
      <w:shd w:val="clear" w:color="auto" w:fill="FFFFFF"/>
    </w:rPr>
  </w:style>
  <w:style w:type="paragraph" w:customStyle="1" w:styleId="1798">
    <w:name w:val="样式 左侧:  2 字符 段前: 0.5 行 段后: 0.5 行"/>
    <w:basedOn w:val="1"/>
    <w:qFormat/>
    <w:uiPriority w:val="0"/>
    <w:pPr>
      <w:spacing w:beforeLines="50" w:afterLines="50" w:line="300" w:lineRule="auto"/>
      <w:ind w:firstLine="200" w:firstLineChars="200"/>
      <w:jc w:val="both"/>
    </w:pPr>
    <w:rPr>
      <w:rFonts w:ascii="Arial" w:hAnsi="Arial" w:cs="宋体"/>
      <w:kern w:val="0"/>
      <w:szCs w:val="20"/>
    </w:rPr>
  </w:style>
  <w:style w:type="paragraph" w:customStyle="1" w:styleId="1799">
    <w:name w:val="样式 标题 4款标题1.1.1.1 + 段后: 0.5 行"/>
    <w:basedOn w:val="9"/>
    <w:qFormat/>
    <w:uiPriority w:val="0"/>
    <w:pPr>
      <w:keepNext/>
      <w:keepLines/>
      <w:spacing w:before="120" w:afterLines="50" w:line="440" w:lineRule="exact"/>
      <w:jc w:val="both"/>
    </w:pPr>
    <w:rPr>
      <w:rFonts w:ascii="Arial" w:hAnsi="Arial" w:eastAsia="仿宋_GB2312" w:cs="宋体"/>
      <w:bCs/>
      <w:kern w:val="0"/>
      <w:shd w:val="clear" w:color="auto" w:fill="FFFFFF"/>
      <w:lang w:val="zh-CN"/>
    </w:rPr>
  </w:style>
  <w:style w:type="paragraph" w:customStyle="1" w:styleId="1800">
    <w:name w:val="样式 标题 4 +1"/>
    <w:basedOn w:val="9"/>
    <w:qFormat/>
    <w:uiPriority w:val="0"/>
    <w:pPr>
      <w:keepNext/>
      <w:keepLines/>
      <w:tabs>
        <w:tab w:val="left" w:pos="360"/>
      </w:tabs>
      <w:spacing w:before="120" w:after="50" w:line="377" w:lineRule="auto"/>
      <w:ind w:left="360" w:hanging="360" w:hangingChars="200"/>
      <w:jc w:val="both"/>
    </w:pPr>
    <w:rPr>
      <w:rFonts w:ascii="Arial" w:hAnsi="Arial"/>
      <w:bCs/>
      <w:kern w:val="0"/>
      <w:szCs w:val="24"/>
      <w:shd w:val="clear" w:color="auto" w:fill="FFFFFF"/>
      <w:lang w:val="zh-CN"/>
    </w:rPr>
  </w:style>
  <w:style w:type="paragraph" w:customStyle="1" w:styleId="1801">
    <w:name w:val="四级标题"/>
    <w:basedOn w:val="476"/>
    <w:qFormat/>
    <w:uiPriority w:val="0"/>
    <w:pPr>
      <w:tabs>
        <w:tab w:val="left" w:pos="907"/>
      </w:tabs>
      <w:autoSpaceDE w:val="0"/>
      <w:autoSpaceDN w:val="0"/>
      <w:spacing w:beforeLines="50" w:afterLines="50" w:line="480" w:lineRule="exact"/>
      <w:ind w:firstLine="200" w:firstLineChars="200"/>
      <w:jc w:val="left"/>
      <w:outlineLvl w:val="3"/>
    </w:pPr>
    <w:rPr>
      <w:rFonts w:ascii="Calibri" w:hAnsi="Calibri"/>
      <w:b/>
      <w:kern w:val="0"/>
      <w:szCs w:val="20"/>
      <w:lang w:val="zh-CN"/>
    </w:rPr>
  </w:style>
  <w:style w:type="paragraph" w:customStyle="1" w:styleId="1802">
    <w:name w:val="Char Char Char Char Char Char Char Char Char Char Char Char Char Char Char Char Char Char1 Char Char Char Char Char Char Char Char Char Char Char Char Char"/>
    <w:basedOn w:val="1"/>
    <w:qFormat/>
    <w:uiPriority w:val="0"/>
    <w:pPr>
      <w:ind w:firstLine="200" w:firstLineChars="200"/>
      <w:jc w:val="both"/>
    </w:pPr>
    <w:rPr>
      <w:rFonts w:ascii="宋体" w:hAnsi="宋体" w:cs="宋体"/>
      <w:kern w:val="0"/>
      <w:szCs w:val="20"/>
    </w:rPr>
  </w:style>
  <w:style w:type="paragraph" w:customStyle="1" w:styleId="1803">
    <w:name w:val="1.1大标题"/>
    <w:basedOn w:val="1"/>
    <w:qFormat/>
    <w:uiPriority w:val="0"/>
    <w:pPr>
      <w:keepNext/>
      <w:keepLines/>
      <w:widowControl w:val="0"/>
      <w:spacing w:line="460" w:lineRule="exact"/>
      <w:ind w:firstLine="482" w:firstLineChars="200"/>
      <w:jc w:val="both"/>
      <w:outlineLvl w:val="1"/>
    </w:pPr>
    <w:rPr>
      <w:rFonts w:ascii="Arial" w:hAnsi="Arial" w:eastAsia="黑体" w:cs="Arial"/>
      <w:b/>
      <w:bCs/>
      <w:snapToGrid w:val="0"/>
      <w:color w:val="000000"/>
      <w:szCs w:val="24"/>
    </w:rPr>
  </w:style>
  <w:style w:type="paragraph" w:customStyle="1" w:styleId="1804">
    <w:name w:val="环评标题二级"/>
    <w:basedOn w:val="6"/>
    <w:qFormat/>
    <w:uiPriority w:val="0"/>
    <w:pPr>
      <w:spacing w:before="163" w:after="163" w:line="360" w:lineRule="exact"/>
      <w:jc w:val="left"/>
    </w:pPr>
    <w:rPr>
      <w:rFonts w:ascii="Cambria" w:hAnsi="Cambria"/>
      <w:kern w:val="0"/>
      <w:sz w:val="36"/>
      <w:szCs w:val="28"/>
      <w:lang w:val="zh-CN"/>
    </w:rPr>
  </w:style>
  <w:style w:type="paragraph" w:customStyle="1" w:styleId="1805">
    <w:name w:val="样式 标题 3 + 段后: 0.5 行"/>
    <w:basedOn w:val="8"/>
    <w:qFormat/>
    <w:uiPriority w:val="0"/>
    <w:pPr>
      <w:spacing w:beforeLines="0" w:after="156" w:line="360" w:lineRule="auto"/>
      <w:jc w:val="both"/>
    </w:pPr>
    <w:rPr>
      <w:rFonts w:eastAsia="黑体" w:cs="宋体"/>
      <w:b w:val="0"/>
      <w:szCs w:val="20"/>
      <w:lang w:val="zh-CN"/>
    </w:rPr>
  </w:style>
  <w:style w:type="paragraph" w:customStyle="1" w:styleId="1806">
    <w:name w:val="样式 样式 样式 样式 样式 样式 标题 2 + 首行缩进:  2 字符 段后: 0.5 行 + 首行缩进:  2 字符 + 段..."/>
    <w:basedOn w:val="1"/>
    <w:qFormat/>
    <w:uiPriority w:val="0"/>
    <w:pPr>
      <w:keepNext/>
      <w:keepLines/>
      <w:spacing w:before="260" w:afterLines="50" w:line="440" w:lineRule="exact"/>
      <w:ind w:firstLine="200" w:firstLineChars="200"/>
      <w:jc w:val="both"/>
      <w:outlineLvl w:val="1"/>
    </w:pPr>
    <w:rPr>
      <w:rFonts w:ascii="宋体" w:eastAsia="黑体" w:cs="宋体"/>
      <w:kern w:val="44"/>
      <w:sz w:val="30"/>
      <w:szCs w:val="20"/>
    </w:rPr>
  </w:style>
  <w:style w:type="paragraph" w:customStyle="1" w:styleId="1807">
    <w:name w:val="p19"/>
    <w:basedOn w:val="1"/>
    <w:qFormat/>
    <w:uiPriority w:val="0"/>
    <w:pPr>
      <w:spacing w:line="240" w:lineRule="auto"/>
      <w:jc w:val="center"/>
    </w:pPr>
    <w:rPr>
      <w:rFonts w:ascii="Arial" w:hAnsi="Arial" w:cs="Arial"/>
      <w:kern w:val="0"/>
      <w:sz w:val="21"/>
    </w:rPr>
  </w:style>
  <w:style w:type="paragraph" w:customStyle="1" w:styleId="1808">
    <w:name w:val="样式 首行缩进:  0 字符1"/>
    <w:basedOn w:val="1"/>
    <w:qFormat/>
    <w:uiPriority w:val="0"/>
    <w:pPr>
      <w:tabs>
        <w:tab w:val="left" w:pos="432"/>
      </w:tabs>
      <w:ind w:left="432" w:hanging="432" w:firstLineChars="200"/>
      <w:jc w:val="both"/>
    </w:pPr>
    <w:rPr>
      <w:rFonts w:ascii="Times" w:hAnsi="Times" w:cs="宋体"/>
      <w:kern w:val="0"/>
      <w:sz w:val="28"/>
      <w:szCs w:val="20"/>
    </w:rPr>
  </w:style>
  <w:style w:type="paragraph" w:customStyle="1" w:styleId="1809">
    <w:name w:val="样式 标题 3小节标题条标题1.1.1 + 非加粗"/>
    <w:basedOn w:val="8"/>
    <w:qFormat/>
    <w:uiPriority w:val="0"/>
    <w:pPr>
      <w:spacing w:beforeLines="0" w:afterLines="0" w:line="480" w:lineRule="auto"/>
      <w:ind w:firstLine="560" w:firstLineChars="200"/>
      <w:jc w:val="both"/>
    </w:pPr>
    <w:rPr>
      <w:b w:val="0"/>
      <w:bCs w:val="0"/>
      <w:kern w:val="0"/>
      <w:szCs w:val="28"/>
      <w:lang w:val="zh-CN"/>
    </w:rPr>
  </w:style>
  <w:style w:type="paragraph" w:customStyle="1" w:styleId="1810">
    <w:name w:val="样式 内容 + 宋体 首行缩进:  2 字符 行距: 固定值 28 磅"/>
    <w:basedOn w:val="1776"/>
    <w:qFormat/>
    <w:uiPriority w:val="0"/>
    <w:pPr>
      <w:spacing w:line="560" w:lineRule="exact"/>
      <w:ind w:firstLine="560"/>
    </w:pPr>
    <w:rPr>
      <w:szCs w:val="20"/>
    </w:rPr>
  </w:style>
  <w:style w:type="paragraph" w:customStyle="1" w:styleId="1811">
    <w:name w:val="样式 (中文) 宋体 11.5 磅 右 段前: 5 磅 段后: 5 磅 顶端: (单实线 自动设置  1 磅 行宽..."/>
    <w:basedOn w:val="1"/>
    <w:qFormat/>
    <w:uiPriority w:val="0"/>
    <w:pPr>
      <w:spacing w:before="100" w:after="100" w:line="440" w:lineRule="exact"/>
      <w:ind w:firstLine="200" w:firstLineChars="200"/>
      <w:jc w:val="right"/>
    </w:pPr>
    <w:rPr>
      <w:rFonts w:ascii="宋体" w:cs="宋体"/>
      <w:kern w:val="0"/>
    </w:rPr>
  </w:style>
  <w:style w:type="paragraph" w:customStyle="1" w:styleId="1812">
    <w:name w:val="样式18"/>
    <w:basedOn w:val="1"/>
    <w:qFormat/>
    <w:uiPriority w:val="0"/>
    <w:pPr>
      <w:tabs>
        <w:tab w:val="left" w:pos="2265"/>
      </w:tabs>
      <w:spacing w:before="100" w:beforeAutospacing="1" w:after="100" w:afterAutospacing="1" w:line="320" w:lineRule="exact"/>
      <w:ind w:firstLine="200" w:firstLineChars="200"/>
      <w:jc w:val="center"/>
    </w:pPr>
    <w:rPr>
      <w:rFonts w:ascii="宋体" w:hAnsi="宋体" w:cs="宋体"/>
      <w:kern w:val="0"/>
    </w:rPr>
  </w:style>
  <w:style w:type="paragraph" w:customStyle="1" w:styleId="1813">
    <w:name w:val="UC标题1"/>
    <w:basedOn w:val="1"/>
    <w:qFormat/>
    <w:uiPriority w:val="0"/>
    <w:pPr>
      <w:tabs>
        <w:tab w:val="left" w:pos="425"/>
      </w:tabs>
      <w:autoSpaceDE w:val="0"/>
      <w:spacing w:after="160" w:line="240" w:lineRule="exact"/>
      <w:ind w:left="425" w:hanging="425" w:firstLineChars="200"/>
      <w:jc w:val="both"/>
    </w:pPr>
    <w:rPr>
      <w:rFonts w:ascii="Verdana" w:hAnsi="Verdana" w:cs="Verdana"/>
      <w:kern w:val="0"/>
      <w:sz w:val="20"/>
      <w:szCs w:val="20"/>
    </w:rPr>
  </w:style>
  <w:style w:type="paragraph" w:customStyle="1" w:styleId="1814">
    <w:name w:val="正文21"/>
    <w:basedOn w:val="1"/>
    <w:qFormat/>
    <w:uiPriority w:val="0"/>
    <w:pPr>
      <w:overflowPunct w:val="0"/>
      <w:topLinePunct/>
      <w:autoSpaceDE w:val="0"/>
      <w:autoSpaceDN w:val="0"/>
      <w:spacing w:line="460" w:lineRule="exact"/>
      <w:ind w:firstLine="200" w:firstLineChars="200"/>
      <w:jc w:val="both"/>
      <w:textAlignment w:val="baseline"/>
    </w:pPr>
    <w:rPr>
      <w:rFonts w:ascii="宋体"/>
      <w:kern w:val="0"/>
      <w:szCs w:val="20"/>
    </w:rPr>
  </w:style>
  <w:style w:type="paragraph" w:customStyle="1" w:styleId="1815">
    <w:name w:val="缩进2个字"/>
    <w:basedOn w:val="1"/>
    <w:qFormat/>
    <w:uiPriority w:val="0"/>
    <w:pPr>
      <w:spacing w:line="440" w:lineRule="exact"/>
      <w:ind w:firstLine="200" w:firstLineChars="200"/>
      <w:jc w:val="center"/>
    </w:pPr>
    <w:rPr>
      <w:rFonts w:ascii="宋体"/>
      <w:color w:val="000000"/>
      <w:kern w:val="0"/>
    </w:rPr>
  </w:style>
  <w:style w:type="paragraph" w:customStyle="1" w:styleId="1816">
    <w:name w:val="图形中文字"/>
    <w:basedOn w:val="1"/>
    <w:qFormat/>
    <w:uiPriority w:val="0"/>
    <w:pPr>
      <w:autoSpaceDE w:val="0"/>
      <w:autoSpaceDN w:val="0"/>
      <w:spacing w:line="440" w:lineRule="exact"/>
      <w:ind w:firstLine="200" w:firstLineChars="200"/>
      <w:jc w:val="center"/>
    </w:pPr>
    <w:rPr>
      <w:rFonts w:ascii="宋体"/>
      <w:kern w:val="0"/>
      <w:szCs w:val="20"/>
    </w:rPr>
  </w:style>
  <w:style w:type="paragraph" w:customStyle="1" w:styleId="1817">
    <w:name w:val="样式 样式 样式 样式 首行缩进:  2 字符 段后: 0.5 行 + 首行缩进:  2 字符 段后: 0.5 行 + 黑体 小...1"/>
    <w:basedOn w:val="1"/>
    <w:qFormat/>
    <w:uiPriority w:val="0"/>
    <w:pPr>
      <w:spacing w:before="120" w:afterLines="50" w:line="440" w:lineRule="exact"/>
      <w:ind w:firstLine="200" w:firstLineChars="200"/>
      <w:jc w:val="center"/>
    </w:pPr>
    <w:rPr>
      <w:rFonts w:ascii="黑体" w:eastAsia="黑体" w:cs="宋体"/>
      <w:kern w:val="0"/>
      <w:szCs w:val="20"/>
    </w:rPr>
  </w:style>
  <w:style w:type="paragraph" w:customStyle="1" w:styleId="1818">
    <w:name w:val="Plain Text1"/>
    <w:basedOn w:val="1"/>
    <w:qFormat/>
    <w:uiPriority w:val="0"/>
    <w:pPr>
      <w:autoSpaceDE w:val="0"/>
      <w:autoSpaceDN w:val="0"/>
      <w:spacing w:line="440" w:lineRule="exact"/>
      <w:ind w:firstLine="200" w:firstLineChars="200"/>
      <w:jc w:val="both"/>
    </w:pPr>
    <w:rPr>
      <w:rFonts w:ascii="宋体"/>
      <w:kern w:val="0"/>
      <w:szCs w:val="20"/>
    </w:rPr>
  </w:style>
  <w:style w:type="paragraph" w:customStyle="1" w:styleId="1819">
    <w:name w:val="xyb自建表格名称"/>
    <w:basedOn w:val="1"/>
    <w:qFormat/>
    <w:uiPriority w:val="0"/>
    <w:pPr>
      <w:ind w:firstLine="200" w:firstLineChars="200"/>
      <w:jc w:val="center"/>
    </w:pPr>
    <w:rPr>
      <w:rFonts w:ascii="宋体" w:hAnsi="宋体"/>
      <w:kern w:val="0"/>
      <w:szCs w:val="20"/>
    </w:rPr>
  </w:style>
  <w:style w:type="paragraph" w:customStyle="1" w:styleId="1820">
    <w:name w:val="font1"/>
    <w:basedOn w:val="1"/>
    <w:qFormat/>
    <w:uiPriority w:val="0"/>
    <w:pPr>
      <w:spacing w:before="100" w:beforeAutospacing="1" w:after="100" w:afterAutospacing="1" w:line="440" w:lineRule="exact"/>
      <w:ind w:firstLine="200" w:firstLineChars="200"/>
      <w:jc w:val="both"/>
    </w:pPr>
    <w:rPr>
      <w:rFonts w:ascii="宋体" w:hAnsi="宋体" w:cs="宋体"/>
      <w:kern w:val="0"/>
      <w:szCs w:val="20"/>
    </w:rPr>
  </w:style>
  <w:style w:type="paragraph" w:customStyle="1" w:styleId="1821">
    <w:name w:val="p24"/>
    <w:basedOn w:val="1"/>
    <w:qFormat/>
    <w:uiPriority w:val="0"/>
    <w:pPr>
      <w:spacing w:line="240" w:lineRule="auto"/>
      <w:ind w:firstLine="420"/>
      <w:jc w:val="both"/>
    </w:pPr>
    <w:rPr>
      <w:kern w:val="0"/>
      <w:sz w:val="28"/>
      <w:szCs w:val="28"/>
    </w:rPr>
  </w:style>
  <w:style w:type="paragraph" w:customStyle="1" w:styleId="1822">
    <w:name w:val="样式 标题 3H3H31H32H33u3标题 3 Char Char Char标题 3 Char Char Cha..."/>
    <w:basedOn w:val="8"/>
    <w:qFormat/>
    <w:uiPriority w:val="0"/>
    <w:pPr>
      <w:widowControl w:val="0"/>
      <w:spacing w:beforeLines="0" w:afterLines="0" w:line="348" w:lineRule="auto"/>
      <w:ind w:firstLine="200" w:firstLineChars="200"/>
    </w:pPr>
    <w:rPr>
      <w:rFonts w:cs="宋体"/>
      <w:b w:val="0"/>
      <w:bCs w:val="0"/>
      <w:color w:val="000000"/>
      <w:spacing w:val="8"/>
      <w:szCs w:val="20"/>
      <w:lang w:val="zh-CN"/>
    </w:rPr>
  </w:style>
  <w:style w:type="paragraph" w:customStyle="1" w:styleId="1823">
    <w:name w:val="p26"/>
    <w:basedOn w:val="1"/>
    <w:qFormat/>
    <w:uiPriority w:val="0"/>
    <w:pPr>
      <w:jc w:val="center"/>
    </w:pPr>
    <w:rPr>
      <w:rFonts w:ascii="Arial" w:hAnsi="Arial" w:cs="Arial"/>
      <w:b/>
      <w:bCs/>
      <w:kern w:val="0"/>
      <w:szCs w:val="24"/>
    </w:rPr>
  </w:style>
  <w:style w:type="paragraph" w:customStyle="1" w:styleId="1824">
    <w:name w:val="p28"/>
    <w:basedOn w:val="1"/>
    <w:qFormat/>
    <w:uiPriority w:val="0"/>
    <w:pPr>
      <w:spacing w:after="120" w:line="240" w:lineRule="auto"/>
      <w:jc w:val="both"/>
    </w:pPr>
    <w:rPr>
      <w:kern w:val="0"/>
      <w:sz w:val="21"/>
    </w:rPr>
  </w:style>
  <w:style w:type="paragraph" w:customStyle="1" w:styleId="1825">
    <w:name w:val="p22"/>
    <w:basedOn w:val="1"/>
    <w:qFormat/>
    <w:uiPriority w:val="0"/>
    <w:pPr>
      <w:spacing w:line="300" w:lineRule="auto"/>
      <w:jc w:val="both"/>
    </w:pPr>
    <w:rPr>
      <w:kern w:val="0"/>
      <w:sz w:val="21"/>
    </w:rPr>
  </w:style>
  <w:style w:type="paragraph" w:customStyle="1" w:styleId="1826">
    <w:name w:val="p21"/>
    <w:basedOn w:val="1"/>
    <w:qFormat/>
    <w:uiPriority w:val="0"/>
    <w:pPr>
      <w:jc w:val="center"/>
    </w:pPr>
    <w:rPr>
      <w:rFonts w:ascii="宋体" w:hAnsi="宋体" w:cs="宋体"/>
      <w:b/>
      <w:bCs/>
      <w:kern w:val="0"/>
      <w:szCs w:val="24"/>
    </w:rPr>
  </w:style>
  <w:style w:type="paragraph" w:customStyle="1" w:styleId="1827">
    <w:name w:val="p31"/>
    <w:basedOn w:val="1"/>
    <w:qFormat/>
    <w:uiPriority w:val="0"/>
    <w:pPr>
      <w:spacing w:line="480" w:lineRule="atLeast"/>
    </w:pPr>
    <w:rPr>
      <w:kern w:val="0"/>
      <w:sz w:val="28"/>
      <w:szCs w:val="28"/>
    </w:rPr>
  </w:style>
  <w:style w:type="paragraph" w:customStyle="1" w:styleId="1828">
    <w:name w:val="正文文本缩进 23"/>
    <w:basedOn w:val="1"/>
    <w:qFormat/>
    <w:uiPriority w:val="0"/>
    <w:pPr>
      <w:widowControl w:val="0"/>
      <w:spacing w:line="348" w:lineRule="auto"/>
      <w:ind w:firstLine="573"/>
      <w:jc w:val="both"/>
      <w:textAlignment w:val="baseline"/>
    </w:pPr>
    <w:rPr>
      <w:rFonts w:eastAsia="Wingdings"/>
      <w:sz w:val="28"/>
      <w:szCs w:val="20"/>
    </w:rPr>
  </w:style>
  <w:style w:type="paragraph" w:customStyle="1" w:styleId="1829">
    <w:name w:val="p23"/>
    <w:basedOn w:val="1"/>
    <w:qFormat/>
    <w:uiPriority w:val="0"/>
    <w:pPr>
      <w:spacing w:line="240" w:lineRule="auto"/>
    </w:pPr>
    <w:rPr>
      <w:kern w:val="0"/>
      <w:sz w:val="18"/>
      <w:szCs w:val="18"/>
    </w:rPr>
  </w:style>
  <w:style w:type="paragraph" w:customStyle="1" w:styleId="1830">
    <w:name w:val="p27"/>
    <w:basedOn w:val="1"/>
    <w:qFormat/>
    <w:uiPriority w:val="0"/>
    <w:pPr>
      <w:spacing w:before="78" w:after="78" w:line="300" w:lineRule="auto"/>
      <w:ind w:firstLine="420"/>
    </w:pPr>
    <w:rPr>
      <w:rFonts w:ascii="宋体" w:hAnsi="宋体" w:cs="宋体"/>
      <w:kern w:val="0"/>
      <w:szCs w:val="24"/>
    </w:rPr>
  </w:style>
  <w:style w:type="paragraph" w:customStyle="1" w:styleId="1831">
    <w:name w:val="xl138"/>
    <w:basedOn w:val="1"/>
    <w:qFormat/>
    <w:uiPriority w:val="0"/>
    <w:pPr>
      <w:pBdr>
        <w:bottom w:val="single" w:color="auto" w:sz="4" w:space="0"/>
        <w:right w:val="single" w:color="auto" w:sz="4" w:space="0"/>
      </w:pBdr>
      <w:spacing w:before="100" w:beforeAutospacing="1" w:after="100" w:afterAutospacing="1" w:line="440" w:lineRule="exact"/>
      <w:ind w:firstLine="200" w:firstLineChars="200"/>
      <w:jc w:val="center"/>
      <w:textAlignment w:val="center"/>
    </w:pPr>
    <w:rPr>
      <w:rFonts w:ascii="宋体" w:hAnsi="宋体" w:cs="宋体"/>
      <w:kern w:val="0"/>
      <w:sz w:val="20"/>
      <w:szCs w:val="20"/>
    </w:rPr>
  </w:style>
  <w:style w:type="paragraph" w:customStyle="1" w:styleId="1832">
    <w:name w:val="安评－正文"/>
    <w:basedOn w:val="1"/>
    <w:qFormat/>
    <w:uiPriority w:val="0"/>
    <w:pPr>
      <w:widowControl w:val="0"/>
      <w:spacing w:before="78" w:after="78" w:line="300" w:lineRule="auto"/>
      <w:ind w:firstLine="200" w:firstLineChars="200"/>
    </w:pPr>
    <w:rPr>
      <w:rFonts w:hint="eastAsia" w:ascii="宋体" w:hAnsi="宋体"/>
      <w:szCs w:val="20"/>
    </w:rPr>
  </w:style>
  <w:style w:type="paragraph" w:customStyle="1" w:styleId="1833">
    <w:name w:val="xl135"/>
    <w:basedOn w:val="1"/>
    <w:qFormat/>
    <w:uiPriority w:val="0"/>
    <w:pPr>
      <w:pBdr>
        <w:left w:val="single" w:color="auto" w:sz="4" w:space="0"/>
        <w:right w:val="single" w:color="auto" w:sz="4" w:space="0"/>
      </w:pBdr>
      <w:spacing w:before="100" w:beforeAutospacing="1" w:after="100" w:afterAutospacing="1" w:line="440" w:lineRule="exact"/>
      <w:ind w:firstLine="200" w:firstLineChars="200"/>
      <w:jc w:val="center"/>
      <w:textAlignment w:val="center"/>
    </w:pPr>
    <w:rPr>
      <w:rFonts w:ascii="宋体" w:hAnsi="宋体" w:cs="宋体"/>
      <w:kern w:val="0"/>
      <w:sz w:val="20"/>
      <w:szCs w:val="20"/>
    </w:rPr>
  </w:style>
  <w:style w:type="paragraph" w:customStyle="1" w:styleId="1834">
    <w:name w:val="MFS表格文字"/>
    <w:basedOn w:val="31"/>
    <w:qFormat/>
    <w:uiPriority w:val="0"/>
    <w:pPr>
      <w:widowControl w:val="0"/>
      <w:spacing w:after="0" w:line="300" w:lineRule="auto"/>
      <w:jc w:val="both"/>
    </w:pPr>
    <w:rPr>
      <w:rFonts w:eastAsia="楷体_GB2312"/>
      <w:kern w:val="2"/>
      <w:sz w:val="21"/>
      <w:szCs w:val="21"/>
      <w:lang w:val="zh-CN"/>
    </w:rPr>
  </w:style>
  <w:style w:type="paragraph" w:customStyle="1" w:styleId="1835">
    <w:name w:val="TY"/>
    <w:basedOn w:val="1"/>
    <w:qFormat/>
    <w:uiPriority w:val="0"/>
    <w:pPr>
      <w:widowControl w:val="0"/>
      <w:spacing w:before="40" w:after="40" w:line="240" w:lineRule="auto"/>
      <w:jc w:val="both"/>
    </w:pPr>
    <w:rPr>
      <w:rFonts w:ascii="宋体" w:hAnsi="宋体"/>
      <w:szCs w:val="20"/>
    </w:rPr>
  </w:style>
  <w:style w:type="paragraph" w:customStyle="1" w:styleId="1836">
    <w:name w:val="xl126"/>
    <w:basedOn w:val="1"/>
    <w:qFormat/>
    <w:uiPriority w:val="0"/>
    <w:pPr>
      <w:pBdr>
        <w:bottom w:val="single" w:color="auto" w:sz="4" w:space="0"/>
        <w:right w:val="single" w:color="auto" w:sz="4" w:space="0"/>
      </w:pBdr>
      <w:spacing w:before="100" w:beforeAutospacing="1" w:after="100" w:afterAutospacing="1" w:line="440" w:lineRule="exact"/>
      <w:ind w:firstLine="200" w:firstLineChars="200"/>
      <w:jc w:val="center"/>
      <w:textAlignment w:val="center"/>
    </w:pPr>
    <w:rPr>
      <w:rFonts w:ascii="宋体" w:hAnsi="宋体" w:cs="宋体"/>
      <w:kern w:val="0"/>
      <w:szCs w:val="20"/>
    </w:rPr>
  </w:style>
  <w:style w:type="paragraph" w:customStyle="1" w:styleId="1837">
    <w:name w:val="xl127"/>
    <w:basedOn w:val="1"/>
    <w:qFormat/>
    <w:uiPriority w:val="0"/>
    <w:pPr>
      <w:pBdr>
        <w:left w:val="single" w:color="auto" w:sz="4" w:space="0"/>
        <w:right w:val="single" w:color="auto" w:sz="4" w:space="0"/>
      </w:pBdr>
      <w:spacing w:before="100" w:beforeAutospacing="1" w:after="100" w:afterAutospacing="1" w:line="440" w:lineRule="exact"/>
      <w:ind w:firstLine="200" w:firstLineChars="200"/>
      <w:jc w:val="center"/>
      <w:textAlignment w:val="center"/>
    </w:pPr>
    <w:rPr>
      <w:rFonts w:ascii="宋体" w:hAnsi="宋体" w:cs="宋体"/>
      <w:kern w:val="0"/>
      <w:sz w:val="22"/>
      <w:szCs w:val="20"/>
    </w:rPr>
  </w:style>
  <w:style w:type="paragraph" w:customStyle="1" w:styleId="1838">
    <w:name w:val="xl128"/>
    <w:basedOn w:val="1"/>
    <w:qFormat/>
    <w:uiPriority w:val="0"/>
    <w:pPr>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textAlignment w:val="center"/>
    </w:pPr>
    <w:rPr>
      <w:rFonts w:ascii="宋体" w:hAnsi="宋体" w:cs="宋体"/>
      <w:kern w:val="0"/>
      <w:sz w:val="22"/>
      <w:szCs w:val="20"/>
    </w:rPr>
  </w:style>
  <w:style w:type="paragraph" w:customStyle="1" w:styleId="1839">
    <w:name w:val="xl129"/>
    <w:basedOn w:val="1"/>
    <w:qFormat/>
    <w:uiPriority w:val="0"/>
    <w:pPr>
      <w:pBdr>
        <w:top w:val="single" w:color="auto" w:sz="4" w:space="0"/>
        <w:bottom w:val="single" w:color="auto" w:sz="4" w:space="0"/>
      </w:pBdr>
      <w:spacing w:before="100" w:beforeAutospacing="1" w:after="100" w:afterAutospacing="1" w:line="440" w:lineRule="exact"/>
      <w:ind w:firstLine="200" w:firstLineChars="200"/>
      <w:jc w:val="both"/>
      <w:textAlignment w:val="center"/>
    </w:pPr>
    <w:rPr>
      <w:rFonts w:ascii="Arial Narrow" w:hAnsi="Arial Narrow" w:cs="宋体"/>
      <w:kern w:val="0"/>
      <w:sz w:val="22"/>
      <w:szCs w:val="20"/>
    </w:rPr>
  </w:style>
  <w:style w:type="paragraph" w:customStyle="1" w:styleId="1840">
    <w:name w:val="xl130"/>
    <w:basedOn w:val="1"/>
    <w:qFormat/>
    <w:uiPriority w:val="0"/>
    <w:pPr>
      <w:pBdr>
        <w:top w:val="single" w:color="auto" w:sz="4" w:space="0"/>
        <w:bottom w:val="single" w:color="auto" w:sz="4" w:space="0"/>
        <w:right w:val="single" w:color="auto" w:sz="4" w:space="0"/>
      </w:pBdr>
      <w:spacing w:before="100" w:beforeAutospacing="1" w:after="100" w:afterAutospacing="1" w:line="440" w:lineRule="exact"/>
      <w:ind w:firstLine="200" w:firstLineChars="200"/>
      <w:jc w:val="both"/>
      <w:textAlignment w:val="center"/>
    </w:pPr>
    <w:rPr>
      <w:rFonts w:ascii="Arial Narrow" w:hAnsi="Arial Narrow" w:cs="宋体"/>
      <w:kern w:val="0"/>
      <w:sz w:val="22"/>
      <w:szCs w:val="20"/>
    </w:rPr>
  </w:style>
  <w:style w:type="paragraph" w:customStyle="1" w:styleId="1841">
    <w:name w:val="xl131"/>
    <w:basedOn w:val="1"/>
    <w:qFormat/>
    <w:uiPriority w:val="0"/>
    <w:pPr>
      <w:pBdr>
        <w:top w:val="single" w:color="auto" w:sz="4" w:space="0"/>
        <w:left w:val="single" w:color="auto" w:sz="4" w:space="0"/>
        <w:bottom w:val="single" w:color="auto" w:sz="4" w:space="0"/>
      </w:pBdr>
      <w:spacing w:before="100" w:beforeAutospacing="1" w:after="100" w:afterAutospacing="1" w:line="440" w:lineRule="exact"/>
      <w:ind w:firstLine="200" w:firstLineChars="200"/>
      <w:jc w:val="both"/>
      <w:textAlignment w:val="center"/>
    </w:pPr>
    <w:rPr>
      <w:rFonts w:ascii="宋体" w:hAnsi="宋体" w:cs="宋体"/>
      <w:kern w:val="0"/>
      <w:sz w:val="20"/>
      <w:szCs w:val="20"/>
    </w:rPr>
  </w:style>
  <w:style w:type="paragraph" w:customStyle="1" w:styleId="1842">
    <w:name w:val="xl132"/>
    <w:basedOn w:val="1"/>
    <w:qFormat/>
    <w:uiPriority w:val="0"/>
    <w:pPr>
      <w:pBdr>
        <w:top w:val="single" w:color="auto" w:sz="4" w:space="0"/>
        <w:bottom w:val="single" w:color="auto" w:sz="4" w:space="0"/>
      </w:pBdr>
      <w:spacing w:before="100" w:beforeAutospacing="1" w:after="100" w:afterAutospacing="1" w:line="440" w:lineRule="exact"/>
      <w:ind w:firstLine="200" w:firstLineChars="200"/>
      <w:jc w:val="both"/>
      <w:textAlignment w:val="center"/>
    </w:pPr>
    <w:rPr>
      <w:rFonts w:ascii="宋体" w:hAnsi="宋体" w:cs="宋体"/>
      <w:kern w:val="0"/>
      <w:sz w:val="20"/>
      <w:szCs w:val="20"/>
    </w:rPr>
  </w:style>
  <w:style w:type="paragraph" w:customStyle="1" w:styleId="1843">
    <w:name w:val="xl133"/>
    <w:basedOn w:val="1"/>
    <w:qFormat/>
    <w:uiPriority w:val="0"/>
    <w:pPr>
      <w:pBdr>
        <w:top w:val="single" w:color="auto" w:sz="4" w:space="0"/>
        <w:bottom w:val="single" w:color="auto" w:sz="4" w:space="0"/>
        <w:right w:val="single" w:color="auto" w:sz="4" w:space="0"/>
      </w:pBdr>
      <w:spacing w:before="100" w:beforeAutospacing="1" w:after="100" w:afterAutospacing="1" w:line="440" w:lineRule="exact"/>
      <w:ind w:firstLine="200" w:firstLineChars="200"/>
      <w:jc w:val="both"/>
      <w:textAlignment w:val="center"/>
    </w:pPr>
    <w:rPr>
      <w:rFonts w:ascii="宋体" w:hAnsi="宋体" w:cs="宋体"/>
      <w:kern w:val="0"/>
      <w:sz w:val="20"/>
      <w:szCs w:val="20"/>
    </w:rPr>
  </w:style>
  <w:style w:type="paragraph" w:customStyle="1" w:styleId="1844">
    <w:name w:val="xl134"/>
    <w:basedOn w:val="1"/>
    <w:qFormat/>
    <w:uiPriority w:val="0"/>
    <w:pPr>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textAlignment w:val="center"/>
    </w:pPr>
    <w:rPr>
      <w:rFonts w:ascii="宋体" w:hAnsi="宋体" w:cs="宋体"/>
      <w:kern w:val="0"/>
      <w:sz w:val="20"/>
      <w:szCs w:val="20"/>
    </w:rPr>
  </w:style>
  <w:style w:type="paragraph" w:customStyle="1" w:styleId="1845">
    <w:name w:val="xl136"/>
    <w:basedOn w:val="1"/>
    <w:qFormat/>
    <w:uiPriority w:val="0"/>
    <w:pPr>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textAlignment w:val="center"/>
    </w:pPr>
    <w:rPr>
      <w:rFonts w:ascii="宋体"/>
      <w:kern w:val="0"/>
      <w:sz w:val="20"/>
      <w:szCs w:val="20"/>
    </w:rPr>
  </w:style>
  <w:style w:type="paragraph" w:customStyle="1" w:styleId="1846">
    <w:name w:val="xl137"/>
    <w:basedOn w:val="1"/>
    <w:qFormat/>
    <w:uiPriority w:val="0"/>
    <w:pPr>
      <w:pBdr>
        <w:top w:val="single" w:color="auto" w:sz="4" w:space="0"/>
        <w:right w:val="single" w:color="auto" w:sz="4" w:space="0"/>
      </w:pBdr>
      <w:spacing w:before="100" w:beforeAutospacing="1" w:after="100" w:afterAutospacing="1" w:line="440" w:lineRule="exact"/>
      <w:ind w:firstLine="200" w:firstLineChars="200"/>
      <w:jc w:val="center"/>
      <w:textAlignment w:val="center"/>
    </w:pPr>
    <w:rPr>
      <w:rFonts w:ascii="宋体" w:hAnsi="宋体" w:cs="宋体"/>
      <w:kern w:val="0"/>
      <w:sz w:val="20"/>
      <w:szCs w:val="20"/>
    </w:rPr>
  </w:style>
  <w:style w:type="paragraph" w:customStyle="1" w:styleId="1847">
    <w:name w:val="标题111 Char Char Char Char"/>
    <w:basedOn w:val="1"/>
    <w:qFormat/>
    <w:uiPriority w:val="0"/>
    <w:pPr>
      <w:ind w:firstLine="200" w:firstLineChars="200"/>
      <w:jc w:val="both"/>
    </w:pPr>
    <w:rPr>
      <w:rFonts w:ascii="宋体" w:hAnsi="宋体" w:cs="宋体"/>
      <w:kern w:val="0"/>
      <w:szCs w:val="20"/>
    </w:rPr>
  </w:style>
  <w:style w:type="paragraph" w:customStyle="1" w:styleId="1848">
    <w:name w:val="王志臣"/>
    <w:basedOn w:val="1"/>
    <w:qFormat/>
    <w:uiPriority w:val="0"/>
    <w:pPr>
      <w:spacing w:line="500" w:lineRule="exact"/>
      <w:ind w:firstLine="556" w:firstLineChars="200"/>
      <w:jc w:val="both"/>
    </w:pPr>
    <w:rPr>
      <w:rFonts w:ascii="楷体_GB2312" w:eastAsia="楷体_GB2312"/>
      <w:kern w:val="0"/>
      <w:sz w:val="28"/>
      <w:szCs w:val="20"/>
    </w:rPr>
  </w:style>
  <w:style w:type="paragraph" w:customStyle="1" w:styleId="1849">
    <w:name w:val="样式 样式 样式 (符号) 宋体 14 磅 行距: 1.5 倍行距 首行缩进:  2 字符 + 首行缩进:  2 字符 + 首行..."/>
    <w:basedOn w:val="1"/>
    <w:qFormat/>
    <w:uiPriority w:val="0"/>
    <w:pPr>
      <w:spacing w:line="400" w:lineRule="exact"/>
      <w:ind w:firstLine="200" w:firstLineChars="200"/>
      <w:jc w:val="both"/>
    </w:pPr>
    <w:rPr>
      <w:rFonts w:ascii="宋体" w:hAnsi="宋体" w:cs="宋体"/>
      <w:kern w:val="0"/>
      <w:szCs w:val="20"/>
    </w:rPr>
  </w:style>
  <w:style w:type="paragraph" w:customStyle="1" w:styleId="1850">
    <w:name w:val="xl7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both"/>
      <w:textAlignment w:val="center"/>
    </w:pPr>
    <w:rPr>
      <w:rFonts w:ascii="宋体" w:hAnsi="宋体" w:cs="宋体"/>
      <w:b/>
      <w:bCs/>
      <w:kern w:val="0"/>
      <w:sz w:val="20"/>
      <w:szCs w:val="20"/>
    </w:rPr>
  </w:style>
  <w:style w:type="paragraph" w:customStyle="1" w:styleId="1851">
    <w:name w:val="Title 4"/>
    <w:basedOn w:val="9"/>
    <w:next w:val="1"/>
    <w:qFormat/>
    <w:uiPriority w:val="0"/>
    <w:pPr>
      <w:keepNext/>
      <w:keepLines/>
      <w:tabs>
        <w:tab w:val="left" w:pos="0"/>
      </w:tabs>
      <w:spacing w:before="120" w:line="400" w:lineRule="exact"/>
      <w:ind w:hanging="420"/>
      <w:jc w:val="both"/>
    </w:pPr>
    <w:rPr>
      <w:rFonts w:ascii="宋体" w:hAnsi="宋体" w:cs="Arial"/>
      <w:bCs/>
      <w:kern w:val="0"/>
      <w:szCs w:val="24"/>
      <w:lang w:val="zh-CN"/>
    </w:rPr>
  </w:style>
  <w:style w:type="paragraph" w:customStyle="1" w:styleId="1852">
    <w:name w:val="Title 5"/>
    <w:basedOn w:val="10"/>
    <w:next w:val="1"/>
    <w:qFormat/>
    <w:uiPriority w:val="0"/>
    <w:pPr>
      <w:spacing w:before="240" w:line="240" w:lineRule="auto"/>
      <w:ind w:left="2100" w:hanging="420"/>
      <w:jc w:val="both"/>
    </w:pPr>
    <w:rPr>
      <w:rFonts w:ascii="Arial" w:hAnsi="Arial" w:eastAsia="华文细黑"/>
      <w:b w:val="0"/>
      <w:bCs w:val="0"/>
      <w:color w:val="243F60"/>
      <w:sz w:val="20"/>
      <w:szCs w:val="26"/>
      <w:lang w:val="zh-CN"/>
    </w:rPr>
  </w:style>
  <w:style w:type="paragraph" w:customStyle="1" w:styleId="1853">
    <w:name w:val="Title 2"/>
    <w:basedOn w:val="7"/>
    <w:next w:val="1"/>
    <w:qFormat/>
    <w:uiPriority w:val="0"/>
    <w:pPr>
      <w:keepNext w:val="0"/>
      <w:keepLines w:val="0"/>
      <w:tabs>
        <w:tab w:val="left" w:pos="0"/>
      </w:tabs>
      <w:spacing w:beforeLines="0" w:afterLines="0" w:line="400" w:lineRule="exact"/>
      <w:ind w:left="431" w:hanging="420"/>
      <w:jc w:val="both"/>
    </w:pPr>
    <w:rPr>
      <w:rFonts w:ascii="宋体" w:hAnsi="宋体" w:eastAsia="宋体" w:cs="Arial"/>
      <w:bCs w:val="0"/>
      <w:color w:val="4F81BD"/>
      <w:kern w:val="0"/>
      <w:sz w:val="28"/>
      <w:szCs w:val="22"/>
      <w:lang w:val="zh-CN" w:eastAsia="en-US"/>
    </w:rPr>
  </w:style>
  <w:style w:type="paragraph" w:customStyle="1" w:styleId="1854">
    <w:name w:val="Title 3"/>
    <w:basedOn w:val="8"/>
    <w:next w:val="1"/>
    <w:qFormat/>
    <w:uiPriority w:val="0"/>
    <w:pPr>
      <w:tabs>
        <w:tab w:val="left" w:pos="0"/>
      </w:tabs>
      <w:spacing w:beforeLines="0" w:afterLines="0" w:line="400" w:lineRule="exact"/>
      <w:ind w:hanging="420"/>
      <w:jc w:val="both"/>
    </w:pPr>
    <w:rPr>
      <w:rFonts w:cs="Arial"/>
      <w:b w:val="0"/>
      <w:bCs w:val="0"/>
      <w:color w:val="000000"/>
      <w:kern w:val="0"/>
      <w:sz w:val="24"/>
      <w:szCs w:val="26"/>
      <w:lang w:val="zh-CN"/>
    </w:rPr>
  </w:style>
  <w:style w:type="paragraph" w:customStyle="1" w:styleId="1855">
    <w:name w:val="xl719"/>
    <w:basedOn w:val="1"/>
    <w:qFormat/>
    <w:uiPriority w:val="0"/>
    <w:pPr>
      <w:pBdr>
        <w:top w:val="single" w:color="auto" w:sz="4" w:space="0"/>
        <w:bottom w:val="single" w:color="auto" w:sz="4" w:space="0"/>
        <w:right w:val="single" w:color="auto" w:sz="4" w:space="0"/>
      </w:pBdr>
      <w:spacing w:before="100" w:beforeAutospacing="1" w:after="100" w:afterAutospacing="1" w:line="440" w:lineRule="exact"/>
      <w:ind w:firstLine="200" w:firstLineChars="200"/>
      <w:jc w:val="center"/>
      <w:textAlignment w:val="center"/>
    </w:pPr>
    <w:rPr>
      <w:rFonts w:ascii="宋体" w:hAnsi="宋体" w:cs="宋体"/>
      <w:kern w:val="0"/>
      <w:sz w:val="20"/>
      <w:szCs w:val="20"/>
    </w:rPr>
  </w:style>
  <w:style w:type="paragraph" w:customStyle="1" w:styleId="1856">
    <w:name w:val="样式 首行缩进:  2 字符2"/>
    <w:basedOn w:val="1"/>
    <w:qFormat/>
    <w:uiPriority w:val="0"/>
    <w:pPr>
      <w:spacing w:line="300" w:lineRule="auto"/>
      <w:ind w:firstLine="200" w:firstLineChars="200"/>
      <w:jc w:val="both"/>
    </w:pPr>
    <w:rPr>
      <w:rFonts w:ascii="宋体" w:cs="宋体"/>
      <w:kern w:val="0"/>
      <w:sz w:val="28"/>
      <w:szCs w:val="28"/>
    </w:rPr>
  </w:style>
  <w:style w:type="paragraph" w:customStyle="1" w:styleId="1857">
    <w:name w:val="封面标准文稿编辑信息"/>
    <w:qFormat/>
    <w:uiPriority w:val="0"/>
    <w:pPr>
      <w:spacing w:before="180" w:after="200" w:line="180" w:lineRule="exact"/>
      <w:jc w:val="center"/>
    </w:pPr>
    <w:rPr>
      <w:rFonts w:ascii="宋体" w:hAnsi="Times New Roman" w:eastAsia="宋体" w:cs="Times New Roman"/>
      <w:lang w:val="en-US" w:eastAsia="zh-CN" w:bidi="ar-SA"/>
    </w:rPr>
  </w:style>
  <w:style w:type="paragraph" w:customStyle="1" w:styleId="1858">
    <w:name w:val="表样"/>
    <w:basedOn w:val="1"/>
    <w:qFormat/>
    <w:uiPriority w:val="0"/>
    <w:pPr>
      <w:autoSpaceDE w:val="0"/>
      <w:autoSpaceDN w:val="0"/>
      <w:spacing w:afterLines="50" w:line="360" w:lineRule="exact"/>
      <w:ind w:firstLine="200" w:firstLineChars="200"/>
      <w:jc w:val="center"/>
      <w:textAlignment w:val="bottom"/>
    </w:pPr>
    <w:rPr>
      <w:rFonts w:ascii="宋体" w:eastAsia="仿宋_GB2312"/>
      <w:color w:val="000000"/>
      <w:kern w:val="0"/>
      <w:szCs w:val="20"/>
    </w:rPr>
  </w:style>
  <w:style w:type="paragraph" w:customStyle="1" w:styleId="1859">
    <w:name w:val="标题 2-1"/>
    <w:basedOn w:val="7"/>
    <w:next w:val="1"/>
    <w:qFormat/>
    <w:uiPriority w:val="0"/>
    <w:pPr>
      <w:tabs>
        <w:tab w:val="left" w:pos="0"/>
      </w:tabs>
      <w:spacing w:beforeLines="100" w:afterLines="0" w:line="360" w:lineRule="auto"/>
      <w:jc w:val="both"/>
    </w:pPr>
    <w:rPr>
      <w:rFonts w:ascii="Cambria" w:hAnsi="Cambria" w:eastAsia="宋体"/>
      <w:kern w:val="0"/>
      <w:sz w:val="28"/>
      <w:szCs w:val="30"/>
      <w:lang w:val="zh-CN" w:eastAsia="en-US"/>
    </w:rPr>
  </w:style>
  <w:style w:type="paragraph" w:customStyle="1" w:styleId="1860">
    <w:name w:val="样式 样式 标题 1标题 1 CharH1H11H12Heading 11level 1Level 1 Head章章... + ..."/>
    <w:basedOn w:val="1"/>
    <w:qFormat/>
    <w:uiPriority w:val="0"/>
    <w:pPr>
      <w:keepNext/>
      <w:keepLines/>
      <w:widowControl w:val="0"/>
      <w:spacing w:line="348" w:lineRule="auto"/>
      <w:textAlignment w:val="baseline"/>
      <w:outlineLvl w:val="0"/>
    </w:pPr>
    <w:rPr>
      <w:rFonts w:cs="宋体"/>
      <w:b/>
      <w:bCs/>
      <w:color w:val="000000"/>
      <w:kern w:val="44"/>
      <w:sz w:val="28"/>
      <w:szCs w:val="20"/>
    </w:rPr>
  </w:style>
  <w:style w:type="paragraph" w:customStyle="1" w:styleId="1861">
    <w:name w:val="ST20_11"/>
    <w:basedOn w:val="1"/>
    <w:qFormat/>
    <w:uiPriority w:val="0"/>
    <w:pPr>
      <w:spacing w:line="440" w:lineRule="exact"/>
      <w:ind w:firstLine="200" w:firstLineChars="200"/>
      <w:jc w:val="center"/>
      <w:textAlignment w:val="baseline"/>
    </w:pPr>
    <w:rPr>
      <w:rFonts w:ascii="宋体"/>
      <w:kern w:val="0"/>
      <w:szCs w:val="20"/>
    </w:rPr>
  </w:style>
  <w:style w:type="paragraph" w:customStyle="1" w:styleId="1862">
    <w:name w:val="样式 标题 2 + 宋体 四号"/>
    <w:basedOn w:val="7"/>
    <w:qFormat/>
    <w:uiPriority w:val="0"/>
    <w:pPr>
      <w:spacing w:beforeLines="0" w:after="156" w:line="240" w:lineRule="auto"/>
      <w:ind w:left="431"/>
      <w:jc w:val="both"/>
    </w:pPr>
    <w:rPr>
      <w:rFonts w:ascii="宋体" w:hAnsi="宋体" w:eastAsia="宋体"/>
      <w:b w:val="0"/>
      <w:color w:val="4F81BD"/>
      <w:spacing w:val="1"/>
      <w:kern w:val="0"/>
      <w:sz w:val="24"/>
      <w:szCs w:val="26"/>
      <w:lang w:val="zh-CN" w:eastAsia="en-US"/>
    </w:rPr>
  </w:style>
  <w:style w:type="paragraph" w:customStyle="1" w:styleId="1863">
    <w:name w:val="612表头"/>
    <w:basedOn w:val="1"/>
    <w:qFormat/>
    <w:uiPriority w:val="0"/>
    <w:pPr>
      <w:spacing w:before="120"/>
      <w:ind w:firstLine="200" w:firstLineChars="200"/>
      <w:jc w:val="center"/>
    </w:pPr>
    <w:rPr>
      <w:rFonts w:ascii="宋体" w:eastAsia="黑体"/>
      <w:bCs/>
      <w:kern w:val="0"/>
      <w:szCs w:val="20"/>
    </w:rPr>
  </w:style>
  <w:style w:type="paragraph" w:customStyle="1" w:styleId="1864">
    <w:name w:val="612表格"/>
    <w:basedOn w:val="1"/>
    <w:qFormat/>
    <w:uiPriority w:val="0"/>
    <w:pPr>
      <w:spacing w:line="360" w:lineRule="atLeast"/>
      <w:ind w:firstLine="200" w:firstLineChars="200"/>
      <w:jc w:val="center"/>
    </w:pPr>
    <w:rPr>
      <w:rFonts w:ascii="宋体" w:eastAsia="仿宋_GB2312"/>
      <w:kern w:val="0"/>
      <w:szCs w:val="20"/>
    </w:rPr>
  </w:style>
  <w:style w:type="paragraph" w:customStyle="1" w:styleId="1865">
    <w:name w:val="p18"/>
    <w:basedOn w:val="1"/>
    <w:qFormat/>
    <w:uiPriority w:val="0"/>
    <w:pPr>
      <w:spacing w:line="240" w:lineRule="auto"/>
      <w:ind w:firstLine="420"/>
      <w:jc w:val="both"/>
    </w:pPr>
    <w:rPr>
      <w:rFonts w:ascii="Arial" w:hAnsi="Arial" w:cs="Arial"/>
      <w:kern w:val="0"/>
      <w:sz w:val="18"/>
      <w:szCs w:val="18"/>
    </w:rPr>
  </w:style>
  <w:style w:type="paragraph" w:customStyle="1" w:styleId="1866">
    <w:name w:val="p20"/>
    <w:basedOn w:val="1"/>
    <w:qFormat/>
    <w:uiPriority w:val="0"/>
    <w:pPr>
      <w:spacing w:line="240" w:lineRule="auto"/>
      <w:ind w:firstLine="420"/>
      <w:jc w:val="both"/>
    </w:pPr>
    <w:rPr>
      <w:rFonts w:ascii="Arial" w:hAnsi="Arial" w:cs="Arial"/>
      <w:kern w:val="0"/>
      <w:sz w:val="18"/>
      <w:szCs w:val="18"/>
    </w:rPr>
  </w:style>
  <w:style w:type="paragraph" w:customStyle="1" w:styleId="1867">
    <w:name w:val="Char Char Char1 Char Char Char Char Char Char Char Char Char Char Char Char Char"/>
    <w:basedOn w:val="1"/>
    <w:qFormat/>
    <w:uiPriority w:val="0"/>
    <w:pPr>
      <w:widowControl w:val="0"/>
      <w:spacing w:line="240" w:lineRule="auto"/>
      <w:jc w:val="both"/>
    </w:pPr>
    <w:rPr>
      <w:rFonts w:ascii="Tahoma" w:hAnsi="Tahoma"/>
      <w:szCs w:val="20"/>
    </w:rPr>
  </w:style>
  <w:style w:type="paragraph" w:customStyle="1" w:styleId="1868">
    <w:name w:val="IDC A-Head (2nd Line)"/>
    <w:basedOn w:val="1"/>
    <w:next w:val="1"/>
    <w:qFormat/>
    <w:uiPriority w:val="0"/>
    <w:pPr>
      <w:spacing w:line="240" w:lineRule="auto"/>
      <w:jc w:val="center"/>
    </w:pPr>
    <w:rPr>
      <w:caps/>
      <w:kern w:val="0"/>
      <w:szCs w:val="20"/>
    </w:rPr>
  </w:style>
  <w:style w:type="paragraph" w:customStyle="1" w:styleId="1869">
    <w:name w:val="Char Char Char Char Char Char Char4"/>
    <w:basedOn w:val="1"/>
    <w:qFormat/>
    <w:uiPriority w:val="0"/>
    <w:pPr>
      <w:widowControl w:val="0"/>
      <w:spacing w:line="240" w:lineRule="auto"/>
      <w:jc w:val="both"/>
    </w:pPr>
    <w:rPr>
      <w:sz w:val="21"/>
      <w:szCs w:val="24"/>
    </w:rPr>
  </w:style>
  <w:style w:type="paragraph" w:customStyle="1" w:styleId="1870">
    <w:name w:val="无间隔7"/>
    <w:qFormat/>
    <w:uiPriority w:val="0"/>
    <w:rPr>
      <w:rFonts w:ascii="Calibri" w:hAnsi="Calibri" w:eastAsia="宋体" w:cs="Times New Roman"/>
      <w:sz w:val="22"/>
      <w:szCs w:val="22"/>
      <w:lang w:val="en-US" w:eastAsia="en-US" w:bidi="ar-SA"/>
    </w:rPr>
  </w:style>
  <w:style w:type="paragraph" w:customStyle="1" w:styleId="1871">
    <w:name w:val="Header Base"/>
    <w:basedOn w:val="31"/>
    <w:qFormat/>
    <w:uiPriority w:val="0"/>
    <w:pPr>
      <w:keepLines/>
      <w:tabs>
        <w:tab w:val="center" w:pos="4320"/>
        <w:tab w:val="right" w:pos="8640"/>
      </w:tabs>
      <w:spacing w:after="0" w:line="180" w:lineRule="atLeast"/>
      <w:jc w:val="both"/>
    </w:pPr>
    <w:rPr>
      <w:rFonts w:ascii="Arial" w:hAnsi="Arial"/>
      <w:spacing w:val="-5"/>
      <w:sz w:val="20"/>
      <w:lang w:val="zh-CN"/>
    </w:rPr>
  </w:style>
  <w:style w:type="paragraph" w:customStyle="1" w:styleId="1872">
    <w:name w:val="TOC 标题21"/>
    <w:basedOn w:val="6"/>
    <w:next w:val="1"/>
    <w:qFormat/>
    <w:uiPriority w:val="0"/>
    <w:pPr>
      <w:spacing w:beforeLines="100" w:afterLines="100"/>
      <w:outlineLvl w:val="9"/>
    </w:pPr>
    <w:rPr>
      <w:rFonts w:ascii="Cambria" w:hAnsi="Cambria"/>
      <w:kern w:val="0"/>
      <w:sz w:val="32"/>
      <w:szCs w:val="28"/>
      <w:lang w:val="zh-CN"/>
    </w:rPr>
  </w:style>
  <w:style w:type="paragraph" w:customStyle="1" w:styleId="1873">
    <w:name w:val="CM145"/>
    <w:basedOn w:val="131"/>
    <w:next w:val="131"/>
    <w:qFormat/>
    <w:uiPriority w:val="0"/>
    <w:pPr>
      <w:adjustRightInd w:val="0"/>
      <w:spacing w:after="333" w:line="240" w:lineRule="auto"/>
    </w:pPr>
    <w:rPr>
      <w:rFonts w:ascii="Sim Sun" w:eastAsia="Sim Sun"/>
      <w:color w:val="auto"/>
    </w:rPr>
  </w:style>
  <w:style w:type="paragraph" w:customStyle="1" w:styleId="1874">
    <w:name w:val="CM25"/>
    <w:basedOn w:val="131"/>
    <w:next w:val="131"/>
    <w:qFormat/>
    <w:uiPriority w:val="0"/>
    <w:pPr>
      <w:adjustRightInd w:val="0"/>
      <w:spacing w:line="471" w:lineRule="atLeast"/>
    </w:pPr>
    <w:rPr>
      <w:rFonts w:ascii="Sim Sun" w:eastAsia="Sim Sun"/>
      <w:color w:val="auto"/>
    </w:rPr>
  </w:style>
  <w:style w:type="paragraph" w:customStyle="1" w:styleId="1875">
    <w:name w:val="_Style 4"/>
    <w:basedOn w:val="1"/>
    <w:qFormat/>
    <w:uiPriority w:val="0"/>
    <w:pPr>
      <w:spacing w:after="160" w:line="240" w:lineRule="exact"/>
      <w:jc w:val="both"/>
    </w:pPr>
    <w:rPr>
      <w:sz w:val="21"/>
      <w:szCs w:val="20"/>
    </w:rPr>
  </w:style>
  <w:style w:type="paragraph" w:customStyle="1" w:styleId="1876">
    <w:name w:val="bh1"/>
    <w:basedOn w:val="1"/>
    <w:qFormat/>
    <w:uiPriority w:val="0"/>
    <w:pPr>
      <w:spacing w:line="240" w:lineRule="auto"/>
    </w:pPr>
    <w:rPr>
      <w:rFonts w:ascii="宋体" w:hAnsi="宋体" w:cs="宋体"/>
      <w:kern w:val="0"/>
      <w:szCs w:val="24"/>
    </w:rPr>
  </w:style>
  <w:style w:type="paragraph" w:customStyle="1" w:styleId="1877">
    <w:name w:val="p17"/>
    <w:basedOn w:val="1"/>
    <w:qFormat/>
    <w:uiPriority w:val="0"/>
    <w:pPr>
      <w:spacing w:line="240" w:lineRule="auto"/>
      <w:jc w:val="center"/>
    </w:pPr>
    <w:rPr>
      <w:rFonts w:ascii="Arial" w:hAnsi="Arial" w:cs="Arial"/>
      <w:kern w:val="0"/>
      <w:sz w:val="21"/>
    </w:rPr>
  </w:style>
  <w:style w:type="paragraph" w:customStyle="1" w:styleId="1878">
    <w:name w:val="1.1.1.1标题"/>
    <w:basedOn w:val="1"/>
    <w:qFormat/>
    <w:uiPriority w:val="0"/>
    <w:pPr>
      <w:widowControl w:val="0"/>
      <w:spacing w:line="460" w:lineRule="exact"/>
      <w:ind w:firstLine="472" w:firstLineChars="196"/>
      <w:jc w:val="both"/>
      <w:outlineLvl w:val="3"/>
    </w:pPr>
    <w:rPr>
      <w:rFonts w:ascii="Arial" w:hAnsi="Arial" w:eastAsia="黑体" w:cs="Arial"/>
      <w:b/>
      <w:bCs/>
      <w:snapToGrid w:val="0"/>
      <w:color w:val="000000"/>
      <w:kern w:val="0"/>
      <w:szCs w:val="24"/>
    </w:rPr>
  </w:style>
  <w:style w:type="paragraph" w:customStyle="1" w:styleId="1879">
    <w:name w:val="纯文本3"/>
    <w:basedOn w:val="1"/>
    <w:qFormat/>
    <w:uiPriority w:val="0"/>
    <w:pPr>
      <w:widowControl w:val="0"/>
      <w:spacing w:line="240" w:lineRule="auto"/>
      <w:jc w:val="both"/>
      <w:textAlignment w:val="baseline"/>
    </w:pPr>
    <w:rPr>
      <w:rFonts w:ascii="宋体" w:hAnsi="Courier New"/>
      <w:sz w:val="21"/>
      <w:szCs w:val="20"/>
    </w:rPr>
  </w:style>
  <w:style w:type="paragraph" w:customStyle="1" w:styleId="1880">
    <w:name w:val="Char Char Char1 Char Char Char Char Char Char Char Char Char Char2"/>
    <w:basedOn w:val="1"/>
    <w:qFormat/>
    <w:uiPriority w:val="0"/>
    <w:pPr>
      <w:widowControl w:val="0"/>
      <w:ind w:firstLine="200" w:firstLineChars="200"/>
      <w:jc w:val="both"/>
    </w:pPr>
    <w:rPr>
      <w:rFonts w:ascii="宋体" w:hAnsi="宋体" w:cs="宋体"/>
      <w:szCs w:val="26"/>
    </w:rPr>
  </w:style>
  <w:style w:type="paragraph" w:customStyle="1" w:styleId="1881">
    <w:name w:val="MFS正文 Char"/>
    <w:basedOn w:val="335"/>
    <w:qFormat/>
    <w:uiPriority w:val="0"/>
    <w:pPr>
      <w:widowControl w:val="0"/>
      <w:spacing w:before="93" w:line="360" w:lineRule="auto"/>
      <w:ind w:firstLine="200" w:firstLineChars="200"/>
    </w:pPr>
    <w:rPr>
      <w:rFonts w:eastAsia="楷体_GB2312"/>
      <w:sz w:val="24"/>
    </w:rPr>
  </w:style>
  <w:style w:type="paragraph" w:customStyle="1" w:styleId="1882">
    <w:name w:val="MFS表格表头"/>
    <w:basedOn w:val="1"/>
    <w:qFormat/>
    <w:uiPriority w:val="0"/>
    <w:pPr>
      <w:widowControl w:val="0"/>
      <w:jc w:val="center"/>
    </w:pPr>
    <w:rPr>
      <w:rFonts w:ascii="宋体" w:hAnsi="宋体"/>
      <w:b/>
      <w:szCs w:val="24"/>
    </w:rPr>
  </w:style>
  <w:style w:type="paragraph" w:customStyle="1" w:styleId="1883">
    <w:name w:val="样式17"/>
    <w:basedOn w:val="1"/>
    <w:qFormat/>
    <w:uiPriority w:val="0"/>
    <w:pPr>
      <w:keepNext/>
      <w:keepLines/>
      <w:widowControl w:val="0"/>
      <w:spacing w:line="348" w:lineRule="auto"/>
      <w:jc w:val="both"/>
      <w:outlineLvl w:val="2"/>
    </w:pPr>
    <w:rPr>
      <w:bCs/>
      <w:snapToGrid w:val="0"/>
      <w:spacing w:val="8"/>
      <w:sz w:val="28"/>
      <w:szCs w:val="28"/>
    </w:rPr>
  </w:style>
  <w:style w:type="paragraph" w:customStyle="1" w:styleId="1884">
    <w:name w:val="body 1"/>
    <w:basedOn w:val="1"/>
    <w:qFormat/>
    <w:uiPriority w:val="0"/>
    <w:pPr>
      <w:widowControl w:val="0"/>
      <w:spacing w:line="360" w:lineRule="atLeast"/>
      <w:jc w:val="both"/>
      <w:textAlignment w:val="baseline"/>
    </w:pPr>
    <w:rPr>
      <w:rFonts w:ascii="華康中楷體" w:eastAsia="華康中楷體"/>
      <w:spacing w:val="60"/>
      <w:kern w:val="0"/>
      <w:szCs w:val="20"/>
      <w:lang w:eastAsia="zh-TW"/>
    </w:rPr>
  </w:style>
  <w:style w:type="paragraph" w:customStyle="1" w:styleId="1885">
    <w:name w:val="文档结构图12"/>
    <w:basedOn w:val="1"/>
    <w:qFormat/>
    <w:uiPriority w:val="0"/>
    <w:pPr>
      <w:widowControl w:val="0"/>
      <w:shd w:val="clear" w:color="auto" w:fill="000080"/>
      <w:spacing w:line="360" w:lineRule="atLeast"/>
      <w:textAlignment w:val="baseline"/>
    </w:pPr>
    <w:rPr>
      <w:rFonts w:eastAsia="Wingdings"/>
      <w:kern w:val="0"/>
      <w:szCs w:val="20"/>
    </w:rPr>
  </w:style>
  <w:style w:type="paragraph" w:customStyle="1" w:styleId="1886">
    <w:name w:val="ST20_1"/>
    <w:basedOn w:val="1"/>
    <w:qFormat/>
    <w:uiPriority w:val="0"/>
    <w:pPr>
      <w:widowControl w:val="0"/>
      <w:spacing w:line="240" w:lineRule="auto"/>
      <w:jc w:val="center"/>
      <w:textAlignment w:val="baseline"/>
    </w:pPr>
    <w:rPr>
      <w:rFonts w:ascii="宋体"/>
      <w:kern w:val="0"/>
      <w:sz w:val="21"/>
      <w:szCs w:val="20"/>
    </w:rPr>
  </w:style>
  <w:style w:type="paragraph" w:customStyle="1" w:styleId="1887">
    <w:name w:val="论文标题2"/>
    <w:basedOn w:val="1"/>
    <w:qFormat/>
    <w:uiPriority w:val="0"/>
    <w:pPr>
      <w:widowControl w:val="0"/>
      <w:jc w:val="center"/>
    </w:pPr>
    <w:rPr>
      <w:rFonts w:ascii="黑体" w:eastAsia="黑体"/>
      <w:sz w:val="21"/>
      <w:szCs w:val="20"/>
    </w:rPr>
  </w:style>
  <w:style w:type="paragraph" w:customStyle="1" w:styleId="1888">
    <w:name w:val="文档结构图21"/>
    <w:basedOn w:val="1"/>
    <w:qFormat/>
    <w:uiPriority w:val="0"/>
    <w:pPr>
      <w:widowControl w:val="0"/>
      <w:shd w:val="clear" w:color="auto" w:fill="000080"/>
      <w:spacing w:line="360" w:lineRule="atLeast"/>
      <w:textAlignment w:val="baseline"/>
    </w:pPr>
    <w:rPr>
      <w:rFonts w:eastAsia="Wingdings"/>
      <w:kern w:val="0"/>
      <w:szCs w:val="20"/>
    </w:rPr>
  </w:style>
  <w:style w:type="paragraph" w:customStyle="1" w:styleId="1889">
    <w:name w:val="表格尾格式"/>
    <w:basedOn w:val="1"/>
    <w:qFormat/>
    <w:uiPriority w:val="0"/>
    <w:pPr>
      <w:widowControl w:val="0"/>
      <w:tabs>
        <w:tab w:val="left" w:pos="1701"/>
      </w:tabs>
      <w:spacing w:line="240" w:lineRule="exact"/>
      <w:ind w:left="561"/>
    </w:pPr>
    <w:rPr>
      <w:sz w:val="10"/>
      <w:szCs w:val="24"/>
    </w:rPr>
  </w:style>
  <w:style w:type="paragraph" w:customStyle="1" w:styleId="1890">
    <w:name w:val="纯文本21"/>
    <w:basedOn w:val="1"/>
    <w:qFormat/>
    <w:uiPriority w:val="0"/>
    <w:pPr>
      <w:widowControl w:val="0"/>
      <w:spacing w:line="460" w:lineRule="exact"/>
      <w:jc w:val="both"/>
    </w:pPr>
    <w:rPr>
      <w:szCs w:val="24"/>
    </w:rPr>
  </w:style>
  <w:style w:type="paragraph" w:customStyle="1" w:styleId="1891">
    <w:name w:val="正文首行缩进11"/>
    <w:basedOn w:val="31"/>
    <w:qFormat/>
    <w:uiPriority w:val="0"/>
    <w:pPr>
      <w:widowControl w:val="0"/>
      <w:spacing w:after="0" w:line="312" w:lineRule="auto"/>
      <w:ind w:firstLine="567" w:firstLineChars="200"/>
      <w:textAlignment w:val="baseline"/>
    </w:pPr>
    <w:rPr>
      <w:sz w:val="28"/>
      <w:lang w:val="zh-CN"/>
    </w:rPr>
  </w:style>
  <w:style w:type="paragraph" w:customStyle="1" w:styleId="1892">
    <w:name w:val="Bullet_Indent"/>
    <w:basedOn w:val="1"/>
    <w:qFormat/>
    <w:uiPriority w:val="0"/>
    <w:pPr>
      <w:spacing w:after="240"/>
      <w:ind w:left="1440" w:hanging="720"/>
    </w:pPr>
    <w:rPr>
      <w:kern w:val="0"/>
      <w:szCs w:val="20"/>
    </w:rPr>
  </w:style>
  <w:style w:type="paragraph" w:customStyle="1" w:styleId="1893">
    <w:name w:val="Char1 Char Char Char1"/>
    <w:basedOn w:val="1"/>
    <w:qFormat/>
    <w:uiPriority w:val="0"/>
    <w:pPr>
      <w:widowControl w:val="0"/>
      <w:spacing w:line="240" w:lineRule="auto"/>
      <w:jc w:val="both"/>
    </w:pPr>
    <w:rPr>
      <w:rFonts w:eastAsia="仿宋_GB2312"/>
      <w:szCs w:val="20"/>
    </w:rPr>
  </w:style>
  <w:style w:type="paragraph" w:customStyle="1" w:styleId="1894">
    <w:name w:val="p2"/>
    <w:basedOn w:val="1"/>
    <w:qFormat/>
    <w:uiPriority w:val="0"/>
    <w:pPr>
      <w:spacing w:before="100" w:beforeAutospacing="1" w:after="100" w:afterAutospacing="1" w:line="240" w:lineRule="auto"/>
    </w:pPr>
    <w:rPr>
      <w:rFonts w:ascii="宋体" w:hAnsi="宋体"/>
      <w:kern w:val="0"/>
      <w:sz w:val="21"/>
    </w:rPr>
  </w:style>
  <w:style w:type="paragraph" w:customStyle="1" w:styleId="1895">
    <w:name w:val="正文文本缩进 212"/>
    <w:basedOn w:val="1"/>
    <w:qFormat/>
    <w:uiPriority w:val="0"/>
    <w:pPr>
      <w:widowControl w:val="0"/>
      <w:spacing w:line="348" w:lineRule="auto"/>
      <w:ind w:firstLine="573"/>
      <w:jc w:val="both"/>
      <w:textAlignment w:val="baseline"/>
    </w:pPr>
    <w:rPr>
      <w:rFonts w:eastAsia="Wingdings"/>
      <w:sz w:val="28"/>
      <w:szCs w:val="20"/>
    </w:rPr>
  </w:style>
  <w:style w:type="paragraph" w:customStyle="1" w:styleId="1896">
    <w:name w:val="Char Char Char Char Char Char Char Char Char Char Char Char Char3"/>
    <w:basedOn w:val="1"/>
    <w:qFormat/>
    <w:uiPriority w:val="0"/>
    <w:pPr>
      <w:widowControl w:val="0"/>
      <w:ind w:firstLine="200" w:firstLineChars="200"/>
      <w:jc w:val="both"/>
    </w:pPr>
    <w:rPr>
      <w:rFonts w:eastAsia="仿宋_GB2312"/>
      <w:szCs w:val="24"/>
    </w:rPr>
  </w:style>
  <w:style w:type="paragraph" w:customStyle="1" w:styleId="1897">
    <w:name w:val="Char Char Char1 Char Char Char Char Char Char Char3"/>
    <w:basedOn w:val="1"/>
    <w:qFormat/>
    <w:uiPriority w:val="0"/>
    <w:pPr>
      <w:widowControl w:val="0"/>
      <w:spacing w:line="348" w:lineRule="auto"/>
      <w:jc w:val="both"/>
    </w:pPr>
    <w:rPr>
      <w:rFonts w:ascii="Tahoma" w:hAnsi="Tahoma"/>
      <w:szCs w:val="20"/>
    </w:rPr>
  </w:style>
  <w:style w:type="paragraph" w:customStyle="1" w:styleId="1898">
    <w:name w:val="Char Char Char Char Char Char1 Char2"/>
    <w:basedOn w:val="1"/>
    <w:qFormat/>
    <w:uiPriority w:val="0"/>
    <w:pPr>
      <w:widowControl w:val="0"/>
      <w:spacing w:line="240" w:lineRule="auto"/>
      <w:jc w:val="both"/>
    </w:pPr>
    <w:rPr>
      <w:sz w:val="21"/>
      <w:szCs w:val="24"/>
    </w:rPr>
  </w:style>
  <w:style w:type="paragraph" w:customStyle="1" w:styleId="1899">
    <w:name w:val="正文（首行缩进两字） Char Char Char Char Char"/>
    <w:basedOn w:val="1"/>
    <w:next w:val="878"/>
    <w:qFormat/>
    <w:uiPriority w:val="0"/>
    <w:pPr>
      <w:widowControl w:val="0"/>
      <w:spacing w:line="240" w:lineRule="auto"/>
      <w:ind w:firstLine="420" w:firstLineChars="200"/>
      <w:jc w:val="both"/>
    </w:pPr>
    <w:rPr>
      <w:szCs w:val="24"/>
    </w:rPr>
  </w:style>
  <w:style w:type="paragraph" w:customStyle="1" w:styleId="1900">
    <w:name w:val="iyz599"/>
    <w:basedOn w:val="1"/>
    <w:qFormat/>
    <w:uiPriority w:val="0"/>
    <w:pPr>
      <w:spacing w:before="100" w:beforeAutospacing="1" w:after="100" w:afterAutospacing="1" w:line="240" w:lineRule="auto"/>
    </w:pPr>
    <w:rPr>
      <w:rFonts w:ascii="宋体" w:hAnsi="宋体" w:cs="宋体"/>
      <w:kern w:val="0"/>
      <w:szCs w:val="24"/>
    </w:rPr>
  </w:style>
  <w:style w:type="paragraph" w:customStyle="1" w:styleId="1901">
    <w:name w:val="纯文本11"/>
    <w:basedOn w:val="1"/>
    <w:qFormat/>
    <w:uiPriority w:val="0"/>
    <w:pPr>
      <w:widowControl w:val="0"/>
      <w:spacing w:line="348" w:lineRule="auto"/>
      <w:ind w:firstLine="200" w:firstLineChars="200"/>
      <w:jc w:val="both"/>
      <w:textAlignment w:val="baseline"/>
    </w:pPr>
    <w:rPr>
      <w:rFonts w:ascii="宋体" w:hAnsi="Courier New"/>
      <w:color w:val="000000"/>
      <w:sz w:val="28"/>
      <w:szCs w:val="20"/>
    </w:rPr>
  </w:style>
  <w:style w:type="paragraph" w:customStyle="1" w:styleId="1902">
    <w:name w:val="Char Char Char Char Char Char Char Char Char Char Char Char Char Char Char Char1"/>
    <w:basedOn w:val="1"/>
    <w:qFormat/>
    <w:uiPriority w:val="0"/>
    <w:pPr>
      <w:widowControl w:val="0"/>
      <w:spacing w:line="348" w:lineRule="auto"/>
      <w:ind w:firstLine="200" w:firstLineChars="200"/>
      <w:jc w:val="both"/>
    </w:pPr>
    <w:rPr>
      <w:color w:val="000000"/>
      <w:szCs w:val="20"/>
    </w:rPr>
  </w:style>
  <w:style w:type="paragraph" w:customStyle="1" w:styleId="1903">
    <w:name w:val="Heading Base"/>
    <w:basedOn w:val="31"/>
    <w:next w:val="31"/>
    <w:qFormat/>
    <w:uiPriority w:val="0"/>
    <w:pPr>
      <w:keepNext/>
      <w:keepLines/>
      <w:spacing w:after="0" w:line="180" w:lineRule="atLeast"/>
    </w:pPr>
    <w:rPr>
      <w:rFonts w:ascii="Arial Black" w:hAnsi="Arial Black"/>
      <w:spacing w:val="-10"/>
      <w:kern w:val="28"/>
      <w:sz w:val="20"/>
      <w:lang w:val="zh-CN"/>
    </w:rPr>
  </w:style>
  <w:style w:type="paragraph" w:customStyle="1" w:styleId="1904">
    <w:name w:val="両ｶｯｺ"/>
    <w:basedOn w:val="1"/>
    <w:qFormat/>
    <w:uiPriority w:val="0"/>
    <w:pPr>
      <w:widowControl w:val="0"/>
      <w:tabs>
        <w:tab w:val="left" w:pos="1060"/>
      </w:tabs>
      <w:autoSpaceDE w:val="0"/>
      <w:autoSpaceDN w:val="0"/>
      <w:spacing w:after="120" w:line="360" w:lineRule="atLeast"/>
      <w:ind w:left="1418" w:hanging="567"/>
      <w:textAlignment w:val="baseline"/>
    </w:pPr>
    <w:rPr>
      <w:rFonts w:ascii="Arial" w:hAnsi="Arial" w:eastAsia="?l?r ｨC?｡ｯ?"/>
      <w:kern w:val="0"/>
      <w:szCs w:val="24"/>
      <w:lang w:eastAsia="ja-JP"/>
    </w:rPr>
  </w:style>
  <w:style w:type="paragraph" w:customStyle="1" w:styleId="1905">
    <w:name w:val="正文首行缩进12"/>
    <w:basedOn w:val="31"/>
    <w:qFormat/>
    <w:uiPriority w:val="0"/>
    <w:pPr>
      <w:widowControl w:val="0"/>
      <w:spacing w:after="0" w:line="312" w:lineRule="auto"/>
      <w:ind w:firstLine="567"/>
      <w:textAlignment w:val="baseline"/>
    </w:pPr>
    <w:rPr>
      <w:sz w:val="28"/>
      <w:lang w:val="zh-CN"/>
    </w:rPr>
  </w:style>
  <w:style w:type="paragraph" w:customStyle="1" w:styleId="1906">
    <w:name w:val="日期21"/>
    <w:basedOn w:val="1"/>
    <w:next w:val="1"/>
    <w:qFormat/>
    <w:uiPriority w:val="0"/>
    <w:pPr>
      <w:widowControl w:val="0"/>
      <w:spacing w:line="360" w:lineRule="atLeast"/>
      <w:jc w:val="both"/>
      <w:textAlignment w:val="baseline"/>
    </w:pPr>
    <w:rPr>
      <w:rFonts w:ascii="宋体"/>
      <w:spacing w:val="20"/>
      <w:kern w:val="0"/>
      <w:sz w:val="28"/>
      <w:szCs w:val="20"/>
    </w:rPr>
  </w:style>
  <w:style w:type="paragraph" w:customStyle="1" w:styleId="1907">
    <w:name w:val="表格式"/>
    <w:basedOn w:val="1676"/>
    <w:qFormat/>
    <w:uiPriority w:val="0"/>
    <w:pPr>
      <w:widowControl w:val="0"/>
      <w:spacing w:beforeLines="50" w:afterLines="50" w:line="200" w:lineRule="exact"/>
      <w:ind w:firstLine="0" w:firstLineChars="0"/>
    </w:pPr>
    <w:rPr>
      <w:rFonts w:ascii="Times New Roman"/>
      <w:kern w:val="2"/>
      <w:sz w:val="21"/>
    </w:rPr>
  </w:style>
  <w:style w:type="paragraph" w:customStyle="1" w:styleId="1908">
    <w:name w:val="CM104"/>
    <w:basedOn w:val="131"/>
    <w:next w:val="131"/>
    <w:qFormat/>
    <w:uiPriority w:val="0"/>
    <w:pPr>
      <w:adjustRightInd w:val="0"/>
      <w:spacing w:line="531" w:lineRule="atLeast"/>
    </w:pPr>
    <w:rPr>
      <w:color w:val="auto"/>
    </w:rPr>
  </w:style>
  <w:style w:type="paragraph" w:customStyle="1" w:styleId="1909">
    <w:name w:val="Char Char Char1 Char Char Char Char Char Char Char4"/>
    <w:basedOn w:val="1"/>
    <w:qFormat/>
    <w:uiPriority w:val="0"/>
    <w:pPr>
      <w:widowControl w:val="0"/>
      <w:spacing w:line="240" w:lineRule="auto"/>
      <w:jc w:val="both"/>
    </w:pPr>
    <w:rPr>
      <w:rFonts w:ascii="Tahoma" w:hAnsi="Tahoma"/>
      <w:szCs w:val="20"/>
    </w:rPr>
  </w:style>
  <w:style w:type="paragraph" w:customStyle="1" w:styleId="1910">
    <w:name w:val="Char Char Char Char Char Char Char Char Char Char4"/>
    <w:basedOn w:val="1"/>
    <w:qFormat/>
    <w:uiPriority w:val="0"/>
    <w:pPr>
      <w:widowControl w:val="0"/>
      <w:spacing w:line="240" w:lineRule="auto"/>
      <w:jc w:val="both"/>
    </w:pPr>
    <w:rPr>
      <w:rFonts w:ascii="宋体" w:hAnsi="宋体" w:cs="宋体"/>
      <w:color w:val="000000"/>
      <w:sz w:val="21"/>
    </w:rPr>
  </w:style>
  <w:style w:type="paragraph" w:customStyle="1" w:styleId="1911">
    <w:name w:val="Char Char Char1 Char Char Char Char Char Char Char Char Char Char1"/>
    <w:basedOn w:val="1"/>
    <w:qFormat/>
    <w:uiPriority w:val="0"/>
    <w:pPr>
      <w:widowControl w:val="0"/>
      <w:ind w:firstLine="200" w:firstLineChars="200"/>
      <w:jc w:val="both"/>
    </w:pPr>
    <w:rPr>
      <w:rFonts w:ascii="宋体" w:hAnsi="宋体" w:cs="宋体"/>
      <w:szCs w:val="26"/>
    </w:rPr>
  </w:style>
  <w:style w:type="paragraph" w:customStyle="1" w:styleId="1912">
    <w:name w:val="Char Char Char Char Char Char1 Char1"/>
    <w:basedOn w:val="1"/>
    <w:qFormat/>
    <w:uiPriority w:val="0"/>
    <w:pPr>
      <w:widowControl w:val="0"/>
      <w:spacing w:line="240" w:lineRule="auto"/>
      <w:jc w:val="both"/>
    </w:pPr>
    <w:rPr>
      <w:sz w:val="21"/>
      <w:szCs w:val="24"/>
    </w:rPr>
  </w:style>
  <w:style w:type="paragraph" w:customStyle="1" w:styleId="1913">
    <w:name w:val="样式 表格 + 段前: 2 磅 行距: 最小值 12 磅1"/>
    <w:basedOn w:val="12"/>
    <w:qFormat/>
    <w:uiPriority w:val="0"/>
    <w:pPr>
      <w:widowControl w:val="0"/>
      <w:spacing w:before="40" w:line="240" w:lineRule="atLeast"/>
      <w:textAlignment w:val="auto"/>
    </w:pPr>
    <w:rPr>
      <w:snapToGrid w:val="0"/>
      <w:kern w:val="0"/>
      <w:sz w:val="21"/>
    </w:rPr>
  </w:style>
  <w:style w:type="paragraph" w:customStyle="1" w:styleId="1914">
    <w:name w:val="正文5号"/>
    <w:basedOn w:val="1"/>
    <w:qFormat/>
    <w:uiPriority w:val="0"/>
    <w:pPr>
      <w:widowControl w:val="0"/>
      <w:spacing w:line="324" w:lineRule="auto"/>
      <w:ind w:firstLine="1134"/>
      <w:jc w:val="both"/>
    </w:pPr>
    <w:rPr>
      <w:snapToGrid w:val="0"/>
      <w:kern w:val="0"/>
      <w:sz w:val="21"/>
      <w:szCs w:val="20"/>
    </w:rPr>
  </w:style>
  <w:style w:type="paragraph" w:customStyle="1" w:styleId="1915">
    <w:name w:val="列表11"/>
    <w:basedOn w:val="335"/>
    <w:qFormat/>
    <w:uiPriority w:val="0"/>
    <w:pPr>
      <w:tabs>
        <w:tab w:val="left" w:pos="969"/>
        <w:tab w:val="left" w:pos="3640"/>
      </w:tabs>
      <w:topLinePunct/>
      <w:spacing w:after="0" w:line="324" w:lineRule="auto"/>
      <w:ind w:left="1400" w:leftChars="400" w:hanging="1000" w:hangingChars="1000"/>
    </w:pPr>
    <w:rPr>
      <w:snapToGrid w:val="0"/>
      <w:kern w:val="28"/>
      <w:sz w:val="28"/>
      <w:szCs w:val="28"/>
    </w:rPr>
  </w:style>
  <w:style w:type="paragraph" w:customStyle="1" w:styleId="1916">
    <w:name w:val="样式 标题 3 + 首行缩进:  2 字符"/>
    <w:basedOn w:val="8"/>
    <w:qFormat/>
    <w:uiPriority w:val="0"/>
    <w:pPr>
      <w:spacing w:beforeLines="0" w:afterLines="0" w:line="348" w:lineRule="auto"/>
      <w:jc w:val="both"/>
    </w:pPr>
    <w:rPr>
      <w:b w:val="0"/>
      <w:bCs w:val="0"/>
      <w:snapToGrid w:val="0"/>
      <w:color w:val="000000"/>
      <w:kern w:val="0"/>
      <w:szCs w:val="20"/>
    </w:rPr>
  </w:style>
  <w:style w:type="paragraph" w:customStyle="1" w:styleId="1917">
    <w:name w:val="样式 标题 4节 + 行距: 1.5 倍行距 + 首行缩进:  2 字符"/>
    <w:basedOn w:val="9"/>
    <w:qFormat/>
    <w:uiPriority w:val="0"/>
    <w:pPr>
      <w:keepNext/>
      <w:keepLines/>
      <w:ind w:firstLine="200" w:firstLineChars="200"/>
      <w:jc w:val="both"/>
    </w:pPr>
    <w:rPr>
      <w:b w:val="0"/>
      <w:snapToGrid w:val="0"/>
      <w:color w:val="000000"/>
      <w:kern w:val="0"/>
      <w:sz w:val="28"/>
    </w:rPr>
  </w:style>
  <w:style w:type="paragraph" w:customStyle="1" w:styleId="1918">
    <w:name w:val="标题3 Char Char Char Char"/>
    <w:basedOn w:val="1"/>
    <w:next w:val="1"/>
    <w:qFormat/>
    <w:uiPriority w:val="0"/>
    <w:pPr>
      <w:widowControl w:val="0"/>
      <w:spacing w:afterLines="50" w:line="560" w:lineRule="exact"/>
      <w:jc w:val="both"/>
    </w:pPr>
    <w:rPr>
      <w:szCs w:val="30"/>
    </w:rPr>
  </w:style>
  <w:style w:type="paragraph" w:customStyle="1" w:styleId="1919">
    <w:name w:val="content_noindent"/>
    <w:basedOn w:val="1"/>
    <w:qFormat/>
    <w:uiPriority w:val="0"/>
    <w:pPr>
      <w:spacing w:before="100" w:beforeAutospacing="1" w:after="100" w:afterAutospacing="1" w:line="240" w:lineRule="auto"/>
    </w:pPr>
    <w:rPr>
      <w:rFonts w:ascii="宋体" w:hAnsi="宋体" w:cs="宋体"/>
      <w:kern w:val="0"/>
      <w:szCs w:val="24"/>
    </w:rPr>
  </w:style>
  <w:style w:type="paragraph" w:customStyle="1" w:styleId="1920">
    <w:name w:val="正文文本缩进 221"/>
    <w:basedOn w:val="1"/>
    <w:qFormat/>
    <w:uiPriority w:val="0"/>
    <w:pPr>
      <w:widowControl w:val="0"/>
      <w:spacing w:line="348" w:lineRule="auto"/>
      <w:ind w:firstLine="573"/>
      <w:jc w:val="both"/>
      <w:textAlignment w:val="baseline"/>
    </w:pPr>
    <w:rPr>
      <w:rFonts w:eastAsia="Wingdings"/>
      <w:sz w:val="28"/>
      <w:szCs w:val="20"/>
    </w:rPr>
  </w:style>
  <w:style w:type="paragraph" w:customStyle="1" w:styleId="1921">
    <w:name w:val="Char Char1 Char Char Char Char Char Char Char1"/>
    <w:basedOn w:val="1"/>
    <w:qFormat/>
    <w:uiPriority w:val="0"/>
    <w:pPr>
      <w:spacing w:after="160" w:line="240" w:lineRule="exact"/>
    </w:pPr>
    <w:rPr>
      <w:szCs w:val="24"/>
    </w:rPr>
  </w:style>
  <w:style w:type="paragraph" w:customStyle="1" w:styleId="1922">
    <w:name w:val="大表紧缩"/>
    <w:basedOn w:val="1640"/>
    <w:qFormat/>
    <w:uiPriority w:val="0"/>
    <w:pPr>
      <w:spacing w:line="252" w:lineRule="auto"/>
    </w:pPr>
  </w:style>
  <w:style w:type="paragraph" w:customStyle="1" w:styleId="1923">
    <w:name w:val="表格头单倍"/>
    <w:basedOn w:val="1"/>
    <w:qFormat/>
    <w:uiPriority w:val="0"/>
    <w:pPr>
      <w:widowControl w:val="0"/>
      <w:spacing w:line="240" w:lineRule="auto"/>
      <w:jc w:val="center"/>
    </w:pPr>
    <w:rPr>
      <w:rFonts w:cs="宋体"/>
      <w:kern w:val="28"/>
      <w:sz w:val="28"/>
      <w:szCs w:val="20"/>
    </w:rPr>
  </w:style>
  <w:style w:type="paragraph" w:customStyle="1" w:styleId="1924">
    <w:name w:val="Char Char Char Char Char Char1 Char3"/>
    <w:basedOn w:val="1"/>
    <w:qFormat/>
    <w:uiPriority w:val="0"/>
    <w:pPr>
      <w:widowControl w:val="0"/>
      <w:spacing w:line="348" w:lineRule="auto"/>
      <w:jc w:val="both"/>
    </w:pPr>
    <w:rPr>
      <w:sz w:val="28"/>
      <w:szCs w:val="24"/>
    </w:rPr>
  </w:style>
  <w:style w:type="paragraph" w:customStyle="1" w:styleId="1925">
    <w:name w:val="Char Char Char Char Char Char Char Char Char Char3"/>
    <w:basedOn w:val="1"/>
    <w:qFormat/>
    <w:uiPriority w:val="0"/>
    <w:pPr>
      <w:widowControl w:val="0"/>
      <w:spacing w:line="348" w:lineRule="auto"/>
      <w:jc w:val="both"/>
    </w:pPr>
    <w:rPr>
      <w:rFonts w:ascii="宋体" w:hAnsi="宋体" w:cs="宋体"/>
      <w:color w:val="000000"/>
      <w:sz w:val="28"/>
    </w:rPr>
  </w:style>
  <w:style w:type="paragraph" w:customStyle="1" w:styleId="1926">
    <w:name w:val="连续正文文字"/>
    <w:basedOn w:val="31"/>
    <w:qFormat/>
    <w:uiPriority w:val="0"/>
    <w:pPr>
      <w:keepNext/>
      <w:spacing w:after="220" w:line="280" w:lineRule="exact"/>
      <w:jc w:val="center"/>
    </w:pPr>
    <w:rPr>
      <w:sz w:val="30"/>
      <w:lang w:val="zh-CN"/>
    </w:rPr>
  </w:style>
  <w:style w:type="paragraph" w:customStyle="1" w:styleId="1927">
    <w:name w:val="正文文本 23"/>
    <w:basedOn w:val="1"/>
    <w:qFormat/>
    <w:uiPriority w:val="0"/>
    <w:pPr>
      <w:widowControl w:val="0"/>
      <w:autoSpaceDE w:val="0"/>
      <w:autoSpaceDN w:val="0"/>
      <w:spacing w:line="365" w:lineRule="auto"/>
      <w:jc w:val="center"/>
      <w:textAlignment w:val="bottom"/>
    </w:pPr>
    <w:rPr>
      <w:spacing w:val="10"/>
      <w:kern w:val="10"/>
      <w:szCs w:val="20"/>
    </w:rPr>
  </w:style>
  <w:style w:type="paragraph" w:customStyle="1" w:styleId="1928">
    <w:name w:val="纯文本4"/>
    <w:basedOn w:val="1"/>
    <w:qFormat/>
    <w:uiPriority w:val="0"/>
    <w:pPr>
      <w:widowControl w:val="0"/>
      <w:spacing w:line="240" w:lineRule="auto"/>
      <w:jc w:val="both"/>
      <w:textAlignment w:val="baseline"/>
    </w:pPr>
    <w:rPr>
      <w:rFonts w:ascii="宋体" w:hAnsi="Courier New"/>
      <w:sz w:val="21"/>
      <w:szCs w:val="20"/>
    </w:rPr>
  </w:style>
  <w:style w:type="paragraph" w:customStyle="1" w:styleId="1929">
    <w:name w:val="正文首行缩进3"/>
    <w:basedOn w:val="31"/>
    <w:qFormat/>
    <w:uiPriority w:val="0"/>
    <w:pPr>
      <w:widowControl w:val="0"/>
      <w:spacing w:after="0" w:line="312" w:lineRule="auto"/>
      <w:ind w:firstLine="567"/>
      <w:textAlignment w:val="baseline"/>
    </w:pPr>
    <w:rPr>
      <w:sz w:val="28"/>
      <w:lang w:val="zh-CN"/>
    </w:rPr>
  </w:style>
  <w:style w:type="paragraph" w:customStyle="1" w:styleId="1930">
    <w:name w:val="文档结构图3"/>
    <w:basedOn w:val="1"/>
    <w:qFormat/>
    <w:uiPriority w:val="0"/>
    <w:pPr>
      <w:widowControl w:val="0"/>
      <w:shd w:val="clear" w:color="auto" w:fill="000080"/>
      <w:spacing w:line="360" w:lineRule="atLeast"/>
      <w:textAlignment w:val="baseline"/>
    </w:pPr>
    <w:rPr>
      <w:rFonts w:eastAsia="Wingdings"/>
      <w:kern w:val="0"/>
      <w:szCs w:val="20"/>
    </w:rPr>
  </w:style>
  <w:style w:type="paragraph" w:customStyle="1" w:styleId="1931">
    <w:name w:val="样式 表格头 + 字距调整二号"/>
    <w:basedOn w:val="647"/>
    <w:qFormat/>
    <w:uiPriority w:val="0"/>
    <w:rPr>
      <w:kern w:val="44"/>
      <w:szCs w:val="20"/>
    </w:rPr>
  </w:style>
  <w:style w:type="paragraph" w:customStyle="1" w:styleId="1932">
    <w:name w:val="日期11"/>
    <w:basedOn w:val="1"/>
    <w:next w:val="1"/>
    <w:qFormat/>
    <w:uiPriority w:val="0"/>
    <w:pPr>
      <w:widowControl w:val="0"/>
      <w:spacing w:line="360" w:lineRule="atLeast"/>
      <w:ind w:firstLine="200" w:firstLineChars="200"/>
      <w:jc w:val="both"/>
      <w:textAlignment w:val="baseline"/>
    </w:pPr>
    <w:rPr>
      <w:rFonts w:ascii="宋体"/>
      <w:color w:val="000000"/>
      <w:spacing w:val="20"/>
      <w:kern w:val="0"/>
      <w:sz w:val="28"/>
      <w:szCs w:val="20"/>
    </w:rPr>
  </w:style>
  <w:style w:type="paragraph" w:customStyle="1" w:styleId="1933">
    <w:name w:val="正文文本缩进 211"/>
    <w:basedOn w:val="1"/>
    <w:qFormat/>
    <w:uiPriority w:val="0"/>
    <w:pPr>
      <w:widowControl w:val="0"/>
      <w:spacing w:line="348" w:lineRule="auto"/>
      <w:ind w:firstLine="573" w:firstLineChars="200"/>
      <w:jc w:val="both"/>
      <w:textAlignment w:val="baseline"/>
    </w:pPr>
    <w:rPr>
      <w:rFonts w:eastAsia="Wingdings"/>
      <w:color w:val="000000"/>
      <w:sz w:val="28"/>
      <w:szCs w:val="20"/>
    </w:rPr>
  </w:style>
  <w:style w:type="paragraph" w:customStyle="1" w:styleId="1934">
    <w:name w:val="文档结构图11"/>
    <w:basedOn w:val="1"/>
    <w:qFormat/>
    <w:uiPriority w:val="0"/>
    <w:pPr>
      <w:widowControl w:val="0"/>
      <w:shd w:val="clear" w:color="auto" w:fill="000080"/>
      <w:spacing w:line="360" w:lineRule="atLeast"/>
      <w:ind w:firstLine="200" w:firstLineChars="200"/>
      <w:textAlignment w:val="baseline"/>
    </w:pPr>
    <w:rPr>
      <w:rFonts w:eastAsia="Wingdings"/>
      <w:color w:val="000000"/>
      <w:kern w:val="0"/>
      <w:szCs w:val="20"/>
    </w:rPr>
  </w:style>
  <w:style w:type="paragraph" w:customStyle="1" w:styleId="1935">
    <w:name w:val="Char Char Char1 Char Char Char Char Char Char Char Char Char Char Char Char Char1"/>
    <w:basedOn w:val="1"/>
    <w:qFormat/>
    <w:uiPriority w:val="0"/>
    <w:pPr>
      <w:widowControl w:val="0"/>
      <w:spacing w:line="348" w:lineRule="auto"/>
      <w:ind w:firstLine="200" w:firstLineChars="200"/>
      <w:jc w:val="both"/>
    </w:pPr>
    <w:rPr>
      <w:rFonts w:ascii="Tahoma" w:hAnsi="Tahoma"/>
      <w:color w:val="000000"/>
      <w:szCs w:val="20"/>
    </w:rPr>
  </w:style>
  <w:style w:type="paragraph" w:customStyle="1" w:styleId="1936">
    <w:name w:val="p32"/>
    <w:basedOn w:val="1"/>
    <w:qFormat/>
    <w:uiPriority w:val="0"/>
    <w:pPr>
      <w:spacing w:line="300" w:lineRule="auto"/>
      <w:jc w:val="center"/>
    </w:pPr>
    <w:rPr>
      <w:color w:val="000000"/>
      <w:kern w:val="0"/>
      <w:sz w:val="18"/>
      <w:szCs w:val="18"/>
    </w:rPr>
  </w:style>
  <w:style w:type="paragraph" w:customStyle="1" w:styleId="1937">
    <w:name w:val="Char Char Char Char Char Char Char Char Char Char Char Char Char Char Char Char Char Char Char1"/>
    <w:basedOn w:val="1"/>
    <w:qFormat/>
    <w:uiPriority w:val="0"/>
    <w:pPr>
      <w:widowControl w:val="0"/>
      <w:spacing w:line="348" w:lineRule="auto"/>
      <w:ind w:firstLine="200" w:firstLineChars="200"/>
      <w:jc w:val="both"/>
    </w:pPr>
    <w:rPr>
      <w:color w:val="000000"/>
      <w:sz w:val="28"/>
      <w:szCs w:val="24"/>
    </w:rPr>
  </w:style>
  <w:style w:type="paragraph" w:customStyle="1" w:styleId="1938">
    <w:name w:val="CM16"/>
    <w:basedOn w:val="1"/>
    <w:next w:val="1"/>
    <w:qFormat/>
    <w:uiPriority w:val="0"/>
    <w:pPr>
      <w:widowControl w:val="0"/>
      <w:autoSpaceDE w:val="0"/>
      <w:autoSpaceDN w:val="0"/>
      <w:spacing w:line="533" w:lineRule="atLeast"/>
      <w:ind w:firstLine="200" w:firstLineChars="200"/>
    </w:pPr>
    <w:rPr>
      <w:rFonts w:ascii="宋体"/>
      <w:color w:val="000000"/>
      <w:kern w:val="0"/>
      <w:szCs w:val="24"/>
    </w:rPr>
  </w:style>
  <w:style w:type="paragraph" w:customStyle="1" w:styleId="1939">
    <w:name w:val="样式 标题 3H3H31H32H33u3标题 3 Char Char Char标题 3 Char Char Cha...1"/>
    <w:basedOn w:val="8"/>
    <w:qFormat/>
    <w:uiPriority w:val="0"/>
    <w:pPr>
      <w:widowControl w:val="0"/>
      <w:spacing w:beforeLines="0" w:afterLines="0" w:line="348" w:lineRule="auto"/>
      <w:ind w:firstLine="200" w:firstLineChars="200"/>
      <w:jc w:val="both"/>
    </w:pPr>
    <w:rPr>
      <w:rFonts w:cs="宋体"/>
      <w:b w:val="0"/>
      <w:bCs w:val="0"/>
      <w:color w:val="000000"/>
      <w:spacing w:val="8"/>
      <w:szCs w:val="20"/>
      <w:lang w:val="zh-CN"/>
    </w:rPr>
  </w:style>
  <w:style w:type="paragraph" w:customStyle="1" w:styleId="1940">
    <w:name w:val="样式 样式 标题 3H3H31H32H33u3标题 3 Char Char Char标题 3 Char Char Cha...1..."/>
    <w:basedOn w:val="1939"/>
    <w:qFormat/>
    <w:uiPriority w:val="0"/>
    <w:pPr>
      <w:ind w:firstLine="0" w:firstLineChars="0"/>
    </w:pPr>
  </w:style>
  <w:style w:type="paragraph" w:customStyle="1" w:styleId="1941">
    <w:name w:val="dandan6-13正文 Char Char Char"/>
    <w:basedOn w:val="1"/>
    <w:next w:val="1"/>
    <w:qFormat/>
    <w:uiPriority w:val="0"/>
    <w:pPr>
      <w:keepNext/>
      <w:keepLines/>
      <w:spacing w:before="40" w:after="40"/>
      <w:ind w:firstLine="200" w:firstLineChars="200"/>
      <w:jc w:val="both"/>
      <w:textAlignment w:val="baseline"/>
    </w:pPr>
    <w:rPr>
      <w:rFonts w:cs="宋体"/>
      <w:kern w:val="0"/>
      <w:szCs w:val="28"/>
    </w:rPr>
  </w:style>
  <w:style w:type="paragraph" w:customStyle="1" w:styleId="1942">
    <w:name w:val="CM22"/>
    <w:basedOn w:val="131"/>
    <w:next w:val="131"/>
    <w:qFormat/>
    <w:uiPriority w:val="0"/>
    <w:pPr>
      <w:adjustRightInd w:val="0"/>
      <w:spacing w:line="523" w:lineRule="atLeast"/>
    </w:pPr>
    <w:rPr>
      <w:rFonts w:ascii="黑体" w:eastAsia="黑体"/>
      <w:color w:val="auto"/>
    </w:rPr>
  </w:style>
  <w:style w:type="paragraph" w:customStyle="1" w:styleId="1943">
    <w:name w:val="p30"/>
    <w:basedOn w:val="1"/>
    <w:qFormat/>
    <w:uiPriority w:val="0"/>
    <w:pPr>
      <w:spacing w:before="62" w:line="240" w:lineRule="atLeast"/>
      <w:jc w:val="center"/>
    </w:pPr>
    <w:rPr>
      <w:rFonts w:ascii="仿宋体" w:hAnsi="仿宋体" w:eastAsia="仿宋体" w:cs="宋体"/>
      <w:kern w:val="0"/>
      <w:sz w:val="21"/>
    </w:rPr>
  </w:style>
  <w:style w:type="paragraph" w:customStyle="1" w:styleId="1944">
    <w:name w:val="p34"/>
    <w:basedOn w:val="1"/>
    <w:qFormat/>
    <w:uiPriority w:val="0"/>
    <w:pPr>
      <w:spacing w:line="240" w:lineRule="auto"/>
      <w:jc w:val="both"/>
    </w:pPr>
    <w:rPr>
      <w:kern w:val="0"/>
      <w:sz w:val="21"/>
    </w:rPr>
  </w:style>
  <w:style w:type="paragraph" w:customStyle="1" w:styleId="1945">
    <w:name w:val="p35"/>
    <w:basedOn w:val="1"/>
    <w:qFormat/>
    <w:uiPriority w:val="0"/>
    <w:pPr>
      <w:spacing w:line="480" w:lineRule="atLeast"/>
      <w:ind w:firstLine="420"/>
      <w:jc w:val="both"/>
    </w:pPr>
    <w:rPr>
      <w:kern w:val="0"/>
      <w:sz w:val="26"/>
      <w:szCs w:val="26"/>
    </w:rPr>
  </w:style>
  <w:style w:type="paragraph" w:customStyle="1" w:styleId="1946">
    <w:name w:val="p36"/>
    <w:basedOn w:val="1"/>
    <w:qFormat/>
    <w:uiPriority w:val="0"/>
    <w:pPr>
      <w:spacing w:line="480" w:lineRule="atLeast"/>
      <w:ind w:firstLine="420"/>
      <w:jc w:val="both"/>
    </w:pPr>
    <w:rPr>
      <w:kern w:val="0"/>
      <w:szCs w:val="24"/>
    </w:rPr>
  </w:style>
  <w:style w:type="paragraph" w:customStyle="1" w:styleId="1947">
    <w:name w:val="Char Char Char Char Char Char Char Char Char Char Char Char Char Char Char Char Char Char"/>
    <w:basedOn w:val="1"/>
    <w:qFormat/>
    <w:uiPriority w:val="0"/>
    <w:pPr>
      <w:spacing w:line="240" w:lineRule="auto"/>
    </w:pPr>
    <w:rPr>
      <w:rFonts w:ascii="Tahoma" w:hAnsi="Tahoma"/>
      <w:kern w:val="0"/>
      <w:szCs w:val="20"/>
    </w:rPr>
  </w:style>
  <w:style w:type="paragraph" w:customStyle="1" w:styleId="1948">
    <w:name w:val="Char9"/>
    <w:basedOn w:val="1"/>
    <w:qFormat/>
    <w:uiPriority w:val="0"/>
    <w:pPr>
      <w:spacing w:line="240" w:lineRule="auto"/>
    </w:pPr>
    <w:rPr>
      <w:rFonts w:ascii="Tahoma" w:hAnsi="Tahoma"/>
      <w:kern w:val="0"/>
      <w:szCs w:val="20"/>
      <w:lang w:eastAsia="en-US"/>
    </w:rPr>
  </w:style>
  <w:style w:type="character" w:customStyle="1" w:styleId="1949">
    <w:name w:val="文档结构图 Char2"/>
    <w:qFormat/>
    <w:uiPriority w:val="0"/>
    <w:rPr>
      <w:rFonts w:ascii="宋体" w:hAnsi="Calibri"/>
      <w:sz w:val="18"/>
      <w:szCs w:val="18"/>
    </w:rPr>
  </w:style>
  <w:style w:type="character" w:customStyle="1" w:styleId="1950">
    <w:name w:val="样式 段前: 0.5 行 首行缩进:  2 字符 Char Char Char Char"/>
    <w:link w:val="1951"/>
    <w:qFormat/>
    <w:uiPriority w:val="0"/>
    <w:rPr>
      <w:rFonts w:ascii="Calibri" w:hAnsi="Calibri"/>
      <w:kern w:val="2"/>
      <w:sz w:val="28"/>
    </w:rPr>
  </w:style>
  <w:style w:type="paragraph" w:customStyle="1" w:styleId="1951">
    <w:name w:val="样式 段前: 0.5 行 首行缩进:  2 字符 Char"/>
    <w:basedOn w:val="1"/>
    <w:link w:val="1950"/>
    <w:qFormat/>
    <w:uiPriority w:val="0"/>
    <w:pPr>
      <w:spacing w:before="156" w:line="440" w:lineRule="exact"/>
      <w:ind w:firstLine="480" w:firstLineChars="200"/>
      <w:jc w:val="both"/>
    </w:pPr>
    <w:rPr>
      <w:rFonts w:ascii="Calibri" w:hAnsi="Calibri"/>
      <w:sz w:val="28"/>
      <w:szCs w:val="20"/>
    </w:rPr>
  </w:style>
  <w:style w:type="character" w:customStyle="1" w:styleId="1952">
    <w:name w:val="文本 Char Char Char"/>
    <w:link w:val="1953"/>
    <w:qFormat/>
    <w:uiPriority w:val="0"/>
    <w:rPr>
      <w:sz w:val="24"/>
      <w:szCs w:val="24"/>
    </w:rPr>
  </w:style>
  <w:style w:type="paragraph" w:customStyle="1" w:styleId="1953">
    <w:name w:val="文本"/>
    <w:basedOn w:val="1"/>
    <w:link w:val="1952"/>
    <w:qFormat/>
    <w:uiPriority w:val="0"/>
    <w:pPr>
      <w:widowControl w:val="0"/>
      <w:spacing w:beforeLines="10" w:line="560" w:lineRule="exact"/>
      <w:ind w:firstLine="200" w:firstLineChars="200"/>
      <w:jc w:val="both"/>
    </w:pPr>
    <w:rPr>
      <w:kern w:val="0"/>
      <w:szCs w:val="24"/>
    </w:rPr>
  </w:style>
  <w:style w:type="character" w:customStyle="1" w:styleId="1954">
    <w:name w:val="表头11 Char Char"/>
    <w:qFormat/>
    <w:uiPriority w:val="0"/>
    <w:rPr>
      <w:b/>
      <w:sz w:val="24"/>
      <w:szCs w:val="24"/>
      <w:lang w:bidi="ar-SA"/>
    </w:rPr>
  </w:style>
  <w:style w:type="character" w:customStyle="1" w:styleId="1955">
    <w:name w:val="样式 13 磅 行距: 固定值 23 磅 首行缩进:  2 字符 Char Char Char Char"/>
    <w:qFormat/>
    <w:uiPriority w:val="0"/>
    <w:rPr>
      <w:rFonts w:ascii="Calibri" w:hAnsi="Calibri" w:eastAsia="宋体"/>
      <w:kern w:val="2"/>
      <w:sz w:val="26"/>
      <w:lang w:val="en-US" w:eastAsia="zh-CN" w:bidi="ar-SA"/>
    </w:rPr>
  </w:style>
  <w:style w:type="character" w:customStyle="1" w:styleId="1956">
    <w:name w:val="正文文本缩进 Char3"/>
    <w:qFormat/>
    <w:uiPriority w:val="0"/>
    <w:rPr>
      <w:rFonts w:ascii="宋体" w:hAnsi="Calibri" w:eastAsia="宋体"/>
      <w:sz w:val="24"/>
      <w:lang w:val="en-US" w:eastAsia="zh-CN" w:bidi="ar-SA"/>
    </w:rPr>
  </w:style>
  <w:style w:type="character" w:customStyle="1" w:styleId="1957">
    <w:name w:val="引用 Char"/>
    <w:link w:val="1958"/>
    <w:qFormat/>
    <w:uiPriority w:val="0"/>
    <w:rPr>
      <w:rFonts w:eastAsia="仿宋_GB2312"/>
      <w:kern w:val="2"/>
      <w:sz w:val="21"/>
      <w:szCs w:val="24"/>
    </w:rPr>
  </w:style>
  <w:style w:type="paragraph" w:styleId="1958">
    <w:name w:val="Quote"/>
    <w:basedOn w:val="1"/>
    <w:next w:val="1"/>
    <w:link w:val="1957"/>
    <w:qFormat/>
    <w:uiPriority w:val="0"/>
    <w:pPr>
      <w:spacing w:line="440" w:lineRule="exact"/>
      <w:ind w:firstLine="200" w:firstLineChars="200"/>
      <w:jc w:val="both"/>
    </w:pPr>
    <w:rPr>
      <w:rFonts w:eastAsia="仿宋_GB2312"/>
      <w:sz w:val="21"/>
      <w:szCs w:val="24"/>
    </w:rPr>
  </w:style>
  <w:style w:type="character" w:customStyle="1" w:styleId="1959">
    <w:name w:val="引用 字符"/>
    <w:basedOn w:val="81"/>
    <w:qFormat/>
    <w:uiPriority w:val="99"/>
    <w:rPr>
      <w:i/>
      <w:iCs/>
      <w:color w:val="3F3F3F"/>
      <w:kern w:val="2"/>
      <w:sz w:val="24"/>
      <w:szCs w:val="22"/>
    </w:rPr>
  </w:style>
  <w:style w:type="character" w:customStyle="1" w:styleId="1960">
    <w:name w:val="Char Char27"/>
    <w:semiHidden/>
    <w:qFormat/>
    <w:uiPriority w:val="0"/>
    <w:rPr>
      <w:sz w:val="18"/>
      <w:szCs w:val="18"/>
    </w:rPr>
  </w:style>
  <w:style w:type="character" w:customStyle="1" w:styleId="1961">
    <w:name w:val="Char Char261"/>
    <w:qFormat/>
    <w:uiPriority w:val="0"/>
    <w:rPr>
      <w:sz w:val="18"/>
      <w:szCs w:val="18"/>
    </w:rPr>
  </w:style>
  <w:style w:type="character" w:customStyle="1" w:styleId="1962">
    <w:name w:val="Char Char31"/>
    <w:qFormat/>
    <w:uiPriority w:val="0"/>
    <w:rPr>
      <w:rFonts w:ascii="Cambria" w:hAnsi="Cambria" w:eastAsia="宋体" w:cs="Times New Roman"/>
      <w:i/>
      <w:iCs/>
      <w:color w:val="243F60"/>
      <w:kern w:val="0"/>
      <w:sz w:val="24"/>
      <w:lang w:eastAsia="en-US" w:bidi="en-US"/>
    </w:rPr>
  </w:style>
  <w:style w:type="character" w:customStyle="1" w:styleId="1963">
    <w:name w:val="正文文本缩进 3 Char2"/>
    <w:qFormat/>
    <w:uiPriority w:val="0"/>
    <w:rPr>
      <w:rFonts w:ascii="仿宋_GB2312" w:hAnsi="Calibri" w:eastAsia="仿宋_GB2312"/>
      <w:b/>
      <w:bCs/>
      <w:sz w:val="24"/>
      <w:lang w:bidi="ar-SA"/>
    </w:rPr>
  </w:style>
  <w:style w:type="paragraph" w:customStyle="1" w:styleId="1964">
    <w:name w:val="Char Char Char Char6"/>
    <w:basedOn w:val="1"/>
    <w:qFormat/>
    <w:uiPriority w:val="0"/>
    <w:pPr>
      <w:widowControl w:val="0"/>
      <w:spacing w:line="240" w:lineRule="auto"/>
      <w:jc w:val="both"/>
    </w:pPr>
    <w:rPr>
      <w:sz w:val="21"/>
      <w:szCs w:val="20"/>
    </w:rPr>
  </w:style>
  <w:style w:type="character" w:customStyle="1" w:styleId="1965">
    <w:name w:val="Char Char36"/>
    <w:qFormat/>
    <w:uiPriority w:val="0"/>
    <w:rPr>
      <w:rFonts w:ascii="Cambria" w:hAnsi="Cambria" w:eastAsia="黑体" w:cs="Times New Roman"/>
      <w:b/>
      <w:kern w:val="0"/>
      <w:sz w:val="32"/>
      <w:szCs w:val="28"/>
    </w:rPr>
  </w:style>
  <w:style w:type="character" w:customStyle="1" w:styleId="1966">
    <w:name w:val="Char Char35"/>
    <w:qFormat/>
    <w:uiPriority w:val="0"/>
    <w:rPr>
      <w:rFonts w:ascii="Cambria" w:hAnsi="Cambria" w:eastAsia="宋体" w:cs="Times New Roman"/>
      <w:b/>
      <w:bCs/>
      <w:color w:val="4F81BD"/>
      <w:kern w:val="0"/>
      <w:sz w:val="26"/>
      <w:szCs w:val="26"/>
      <w:lang w:eastAsia="en-US" w:bidi="en-US"/>
    </w:rPr>
  </w:style>
  <w:style w:type="character" w:customStyle="1" w:styleId="1967">
    <w:name w:val="Char Char34"/>
    <w:qFormat/>
    <w:uiPriority w:val="0"/>
    <w:rPr>
      <w:rFonts w:ascii="Times New Roman" w:hAnsi="Times New Roman" w:eastAsia="宋体" w:cs="Times New Roman"/>
      <w:bCs/>
      <w:kern w:val="0"/>
      <w:sz w:val="28"/>
      <w:szCs w:val="32"/>
      <w:lang w:eastAsia="en-US"/>
    </w:rPr>
  </w:style>
  <w:style w:type="character" w:customStyle="1" w:styleId="1968">
    <w:name w:val="Char Char33"/>
    <w:qFormat/>
    <w:uiPriority w:val="0"/>
    <w:rPr>
      <w:rFonts w:ascii="Arial" w:hAnsi="Arial" w:eastAsia="黑体" w:cs="Times New Roman"/>
      <w:bCs/>
      <w:sz w:val="24"/>
      <w:szCs w:val="28"/>
    </w:rPr>
  </w:style>
  <w:style w:type="character" w:customStyle="1" w:styleId="1969">
    <w:name w:val="Char Char321"/>
    <w:qFormat/>
    <w:uiPriority w:val="0"/>
    <w:rPr>
      <w:rFonts w:ascii="Cambria" w:hAnsi="Cambria" w:eastAsia="宋体" w:cs="Times New Roman"/>
      <w:color w:val="243F60"/>
      <w:kern w:val="0"/>
      <w:sz w:val="24"/>
      <w:lang w:eastAsia="en-US" w:bidi="en-US"/>
    </w:rPr>
  </w:style>
  <w:style w:type="character" w:customStyle="1" w:styleId="1970">
    <w:name w:val="Char Char30"/>
    <w:qFormat/>
    <w:uiPriority w:val="0"/>
    <w:rPr>
      <w:rFonts w:ascii="Cambria" w:hAnsi="Cambria" w:eastAsia="宋体" w:cs="Times New Roman"/>
      <w:i/>
      <w:iCs/>
      <w:color w:val="404040"/>
      <w:kern w:val="0"/>
      <w:sz w:val="24"/>
      <w:lang w:eastAsia="en-US" w:bidi="en-US"/>
    </w:rPr>
  </w:style>
  <w:style w:type="character" w:customStyle="1" w:styleId="1971">
    <w:name w:val="Char Char29"/>
    <w:qFormat/>
    <w:uiPriority w:val="0"/>
    <w:rPr>
      <w:rFonts w:ascii="Cambria" w:hAnsi="Cambria" w:eastAsia="宋体" w:cs="Times New Roman"/>
      <w:color w:val="4F81BD"/>
      <w:kern w:val="0"/>
      <w:sz w:val="20"/>
      <w:szCs w:val="20"/>
      <w:lang w:eastAsia="en-US" w:bidi="en-US"/>
    </w:rPr>
  </w:style>
  <w:style w:type="character" w:customStyle="1" w:styleId="1972">
    <w:name w:val="Char Char28"/>
    <w:qFormat/>
    <w:uiPriority w:val="0"/>
    <w:rPr>
      <w:rFonts w:ascii="Cambria" w:hAnsi="Cambria" w:eastAsia="宋体" w:cs="Times New Roman"/>
      <w:i/>
      <w:iCs/>
      <w:color w:val="404040"/>
      <w:kern w:val="0"/>
      <w:sz w:val="20"/>
      <w:szCs w:val="20"/>
      <w:lang w:eastAsia="en-US" w:bidi="en-US"/>
    </w:rPr>
  </w:style>
  <w:style w:type="character" w:customStyle="1" w:styleId="1973">
    <w:name w:val="标题 2- Char"/>
    <w:qFormat/>
    <w:uiPriority w:val="0"/>
    <w:rPr>
      <w:rFonts w:ascii="Arial" w:hAnsi="Arial" w:eastAsia="华文中宋"/>
      <w:b/>
      <w:sz w:val="32"/>
      <w:szCs w:val="24"/>
    </w:rPr>
  </w:style>
  <w:style w:type="character" w:customStyle="1" w:styleId="1974">
    <w:name w:val="表格数字 Char"/>
    <w:qFormat/>
    <w:uiPriority w:val="0"/>
    <w:rPr>
      <w:rFonts w:ascii="Arial" w:hAnsi="Arial" w:eastAsia="宋体" w:cs="宋体"/>
    </w:rPr>
  </w:style>
  <w:style w:type="character" w:customStyle="1" w:styleId="1975">
    <w:name w:val="文本_zxj Char"/>
    <w:qFormat/>
    <w:uiPriority w:val="0"/>
    <w:rPr>
      <w:rFonts w:ascii="Calibri" w:hAnsi="Calibri" w:eastAsia="宋体" w:cs="宋体"/>
      <w:sz w:val="28"/>
    </w:rPr>
  </w:style>
  <w:style w:type="character" w:customStyle="1" w:styleId="1976">
    <w:name w:val="大纲正文 Char"/>
    <w:qFormat/>
    <w:uiPriority w:val="0"/>
    <w:rPr>
      <w:rFonts w:ascii="Calibri" w:hAnsi="Calibri" w:eastAsia="宋体" w:cs="宋体"/>
      <w:sz w:val="24"/>
    </w:rPr>
  </w:style>
  <w:style w:type="character" w:customStyle="1" w:styleId="1977">
    <w:name w:val="图题 Char"/>
    <w:qFormat/>
    <w:uiPriority w:val="0"/>
    <w:rPr>
      <w:rFonts w:ascii="黑体" w:hAnsi="Calibri" w:eastAsia="黑体"/>
      <w:szCs w:val="21"/>
    </w:rPr>
  </w:style>
  <w:style w:type="character" w:customStyle="1" w:styleId="1978">
    <w:name w:val="表题 Char"/>
    <w:qFormat/>
    <w:uiPriority w:val="0"/>
    <w:rPr>
      <w:rFonts w:ascii="黑体" w:hAnsi="Calibri" w:eastAsia="黑体"/>
      <w:szCs w:val="21"/>
    </w:rPr>
  </w:style>
  <w:style w:type="character" w:customStyle="1" w:styleId="1979">
    <w:name w:val="表格题头 Char"/>
    <w:qFormat/>
    <w:uiPriority w:val="0"/>
    <w:rPr>
      <w:rFonts w:eastAsia="黑体"/>
      <w:b/>
      <w:kern w:val="2"/>
      <w:sz w:val="24"/>
      <w:szCs w:val="24"/>
      <w:lang w:val="en-US" w:eastAsia="zh-CN" w:bidi="ar-SA"/>
    </w:rPr>
  </w:style>
  <w:style w:type="character" w:customStyle="1" w:styleId="1980">
    <w:name w:val="公式描述 Char"/>
    <w:qFormat/>
    <w:uiPriority w:val="0"/>
    <w:rPr>
      <w:rFonts w:eastAsia="仿宋_GB2312"/>
      <w:kern w:val="2"/>
      <w:sz w:val="24"/>
      <w:szCs w:val="24"/>
      <w:lang w:val="en-US" w:eastAsia="zh-CN" w:bidi="ar-SA"/>
    </w:rPr>
  </w:style>
  <w:style w:type="character" w:customStyle="1" w:styleId="1981">
    <w:name w:val="样式20 Char"/>
    <w:qFormat/>
    <w:uiPriority w:val="0"/>
    <w:rPr>
      <w:rFonts w:ascii="宋体" w:hAnsi="宋体" w:eastAsia="宋体"/>
      <w:sz w:val="26"/>
      <w:szCs w:val="26"/>
    </w:rPr>
  </w:style>
  <w:style w:type="character" w:customStyle="1" w:styleId="1982">
    <w:name w:val="正文01 Char"/>
    <w:qFormat/>
    <w:uiPriority w:val="0"/>
    <w:rPr>
      <w:rFonts w:ascii="Calibri" w:hAnsi="Calibri" w:eastAsia="宋体"/>
      <w:sz w:val="24"/>
    </w:rPr>
  </w:style>
  <w:style w:type="character" w:customStyle="1" w:styleId="1983">
    <w:name w:val="表格正文 Char"/>
    <w:qFormat/>
    <w:uiPriority w:val="0"/>
    <w:rPr>
      <w:rFonts w:ascii="Calibri" w:hAnsi="Calibri" w:eastAsia="宋体" w:cs="宋体"/>
    </w:rPr>
  </w:style>
  <w:style w:type="character" w:customStyle="1" w:styleId="1984">
    <w:name w:val="样式5 Char"/>
    <w:qFormat/>
    <w:uiPriority w:val="0"/>
    <w:rPr>
      <w:rFonts w:ascii="Arial" w:hAnsi="Arial" w:eastAsia="仿宋_GB2312"/>
      <w:szCs w:val="24"/>
    </w:rPr>
  </w:style>
  <w:style w:type="character" w:customStyle="1" w:styleId="1985">
    <w:name w:val="样式8 Char"/>
    <w:qFormat/>
    <w:uiPriority w:val="0"/>
    <w:rPr>
      <w:rFonts w:ascii="Calibri" w:hAnsi="Calibri" w:eastAsia="宋体"/>
      <w:bCs/>
      <w:snapToGrid w:val="0"/>
      <w:sz w:val="26"/>
      <w:szCs w:val="26"/>
    </w:rPr>
  </w:style>
  <w:style w:type="character" w:customStyle="1" w:styleId="1986">
    <w:name w:val="表格题注 Char"/>
    <w:qFormat/>
    <w:uiPriority w:val="0"/>
    <w:rPr>
      <w:rFonts w:ascii="Calibri" w:hAnsi="Calibri" w:eastAsia="宋体"/>
      <w:b/>
      <w:color w:val="000000"/>
      <w:szCs w:val="21"/>
    </w:rPr>
  </w:style>
  <w:style w:type="character" w:customStyle="1" w:styleId="1987">
    <w:name w:val="表头排版 Char"/>
    <w:qFormat/>
    <w:uiPriority w:val="0"/>
    <w:rPr>
      <w:rFonts w:ascii="Calibri" w:hAnsi="Calibri" w:eastAsia="宋体"/>
      <w:sz w:val="26"/>
      <w:szCs w:val="21"/>
    </w:rPr>
  </w:style>
  <w:style w:type="character" w:customStyle="1" w:styleId="1988">
    <w:name w:val="框图文字 Char"/>
    <w:qFormat/>
    <w:uiPriority w:val="0"/>
    <w:rPr>
      <w:rFonts w:ascii="Calibri" w:hAnsi="Arial" w:eastAsia="宋体"/>
      <w:sz w:val="18"/>
      <w:szCs w:val="24"/>
      <w:lang w:eastAsia="zh-TW"/>
    </w:rPr>
  </w:style>
  <w:style w:type="character" w:customStyle="1" w:styleId="1989">
    <w:name w:val="样式 正文缩进正文（首行缩进两字） Char正文（首行缩进两字）正文（首行缩进两字） Char Char Char Cha... Char"/>
    <w:qFormat/>
    <w:uiPriority w:val="0"/>
    <w:rPr>
      <w:rFonts w:ascii="Arial" w:hAnsi="宋体" w:eastAsia="宋体" w:cs="Arial"/>
      <w:sz w:val="26"/>
      <w:szCs w:val="26"/>
    </w:rPr>
  </w:style>
  <w:style w:type="character" w:customStyle="1" w:styleId="1990">
    <w:name w:val="样式 段前: 0.5 行 首行缩进:  2 字符 Char Char Char Char Char Char Char Char"/>
    <w:qFormat/>
    <w:uiPriority w:val="0"/>
    <w:rPr>
      <w:rFonts w:ascii="Calibri" w:hAnsi="Calibri" w:eastAsia="宋体" w:cs="宋体"/>
      <w:sz w:val="24"/>
    </w:rPr>
  </w:style>
  <w:style w:type="character" w:customStyle="1" w:styleId="1991">
    <w:name w:val="标准文本 首行缩进: 2 字符 行距: 单倍 Char"/>
    <w:qFormat/>
    <w:uiPriority w:val="0"/>
    <w:rPr>
      <w:rFonts w:ascii="宋体" w:hAnsi="宋体" w:eastAsia="宋体" w:cs="宋体"/>
      <w:sz w:val="24"/>
      <w:szCs w:val="24"/>
    </w:rPr>
  </w:style>
  <w:style w:type="character" w:customStyle="1" w:styleId="1992">
    <w:name w:val="样式 小四 Char"/>
    <w:qFormat/>
    <w:uiPriority w:val="0"/>
    <w:rPr>
      <w:rFonts w:ascii="Calibri" w:hAnsi="Calibri" w:eastAsia="宋体" w:cs="宋体"/>
      <w:sz w:val="24"/>
    </w:rPr>
  </w:style>
  <w:style w:type="character" w:customStyle="1" w:styleId="1993">
    <w:name w:val="样式 首行缩进:  0.85 厘米 Char Char Char Char Char Char Char Char Char Char Char Char Char Char Char Char Char Char"/>
    <w:qFormat/>
    <w:uiPriority w:val="0"/>
    <w:rPr>
      <w:rFonts w:ascii="Calibri" w:hAnsi="Calibri" w:eastAsia="宋体" w:cs="宋体"/>
      <w:sz w:val="24"/>
    </w:rPr>
  </w:style>
  <w:style w:type="character" w:customStyle="1" w:styleId="1994">
    <w:name w:val="样式 首行缩进:  0.85 厘米 Char"/>
    <w:qFormat/>
    <w:uiPriority w:val="0"/>
    <w:rPr>
      <w:rFonts w:ascii="Calibri" w:hAnsi="Calibri" w:eastAsia="宋体" w:cs="宋体"/>
      <w:sz w:val="24"/>
    </w:rPr>
  </w:style>
  <w:style w:type="character" w:customStyle="1" w:styleId="1995">
    <w:name w:val="样式 样式 段前: 0.5 行 + 首行缩进:  2 字符 段前: 0.5 行 Char"/>
    <w:qFormat/>
    <w:uiPriority w:val="0"/>
    <w:rPr>
      <w:rFonts w:ascii="Calibri" w:hAnsi="Calibri" w:eastAsia="宋体" w:cs="宋体"/>
      <w:color w:val="000000"/>
      <w:sz w:val="24"/>
    </w:rPr>
  </w:style>
  <w:style w:type="character" w:customStyle="1" w:styleId="1996">
    <w:name w:val="11111正式正文 Char"/>
    <w:qFormat/>
    <w:uiPriority w:val="0"/>
    <w:rPr>
      <w:kern w:val="2"/>
      <w:sz w:val="24"/>
      <w:szCs w:val="28"/>
      <w:lang w:val="en-US" w:eastAsia="zh-CN" w:bidi="ar-SA"/>
    </w:rPr>
  </w:style>
  <w:style w:type="character" w:customStyle="1" w:styleId="1997">
    <w:name w:val="标准样式 Char"/>
    <w:qFormat/>
    <w:uiPriority w:val="0"/>
    <w:rPr>
      <w:rFonts w:ascii="宋体" w:eastAsia="宋体"/>
      <w:kern w:val="2"/>
      <w:sz w:val="28"/>
      <w:szCs w:val="26"/>
      <w:lang w:val="en-US" w:eastAsia="zh-CN" w:bidi="ar-SA"/>
    </w:rPr>
  </w:style>
  <w:style w:type="character" w:customStyle="1" w:styleId="1998">
    <w:name w:val="样式10 Char"/>
    <w:qFormat/>
    <w:uiPriority w:val="0"/>
    <w:rPr>
      <w:rFonts w:ascii="Calibri" w:hAnsi="Calibri" w:eastAsia="宋体"/>
      <w:bCs/>
      <w:sz w:val="26"/>
      <w:szCs w:val="26"/>
    </w:rPr>
  </w:style>
  <w:style w:type="character" w:customStyle="1" w:styleId="1999">
    <w:name w:val="样式12 Char"/>
    <w:qFormat/>
    <w:uiPriority w:val="0"/>
    <w:rPr>
      <w:rFonts w:ascii="Calibri" w:hAnsi="Calibri" w:eastAsia="宋体"/>
      <w:b/>
      <w:sz w:val="26"/>
      <w:szCs w:val="26"/>
    </w:rPr>
  </w:style>
  <w:style w:type="character" w:customStyle="1" w:styleId="2000">
    <w:name w:val="样式39 Char"/>
    <w:qFormat/>
    <w:uiPriority w:val="0"/>
    <w:rPr>
      <w:rFonts w:ascii="宋体" w:hAnsi="宋体" w:eastAsia="宋体"/>
      <w:sz w:val="26"/>
      <w:szCs w:val="26"/>
    </w:rPr>
  </w:style>
  <w:style w:type="character" w:customStyle="1" w:styleId="2001">
    <w:name w:val="样式19 Char"/>
    <w:qFormat/>
    <w:uiPriority w:val="0"/>
    <w:rPr>
      <w:rFonts w:ascii="宋体" w:hAnsi="宋体" w:eastAsia="宋体" w:cs="宋体"/>
      <w:sz w:val="26"/>
      <w:szCs w:val="26"/>
    </w:rPr>
  </w:style>
  <w:style w:type="character" w:customStyle="1" w:styleId="2002">
    <w:name w:val="样式 样式 四号 黑色 + 首行缩进:  2 字符 Char"/>
    <w:qFormat/>
    <w:uiPriority w:val="0"/>
    <w:rPr>
      <w:rFonts w:cs="宋体"/>
      <w:color w:val="000000"/>
      <w:kern w:val="2"/>
      <w:sz w:val="28"/>
      <w:szCs w:val="22"/>
      <w:lang w:val="en-US" w:eastAsia="zh-CN" w:bidi="ar-SA"/>
    </w:rPr>
  </w:style>
  <w:style w:type="character" w:customStyle="1" w:styleId="2003">
    <w:name w:val="表格表格 Char"/>
    <w:qFormat/>
    <w:uiPriority w:val="0"/>
    <w:rPr>
      <w:rFonts w:ascii="Calibri" w:hAnsi="Calibri" w:eastAsia="宋体" w:cs="宋体"/>
      <w:color w:val="000000"/>
      <w:szCs w:val="21"/>
    </w:rPr>
  </w:style>
  <w:style w:type="character" w:customStyle="1" w:styleId="2004">
    <w:name w:val="三级标题 Char"/>
    <w:qFormat/>
    <w:uiPriority w:val="0"/>
    <w:rPr>
      <w:rFonts w:ascii="Calibri" w:hAnsi="Calibri" w:eastAsia="宋体"/>
      <w:bCs/>
      <w:sz w:val="26"/>
      <w:szCs w:val="26"/>
    </w:rPr>
  </w:style>
  <w:style w:type="character" w:customStyle="1" w:styleId="2005">
    <w:name w:val="样式 四号 黑色 Char"/>
    <w:qFormat/>
    <w:uiPriority w:val="0"/>
    <w:rPr>
      <w:rFonts w:ascii="Calibri" w:hAnsi="Calibri" w:eastAsia="宋体" w:cs="宋体"/>
      <w:sz w:val="24"/>
      <w:szCs w:val="24"/>
    </w:rPr>
  </w:style>
  <w:style w:type="character" w:customStyle="1" w:styleId="2006">
    <w:name w:val="文本_hunqiu Char"/>
    <w:qFormat/>
    <w:uiPriority w:val="0"/>
    <w:rPr>
      <w:rFonts w:ascii="Calibri" w:hAnsi="Calibri" w:eastAsia="宋体" w:cs="宋体"/>
      <w:color w:val="000000"/>
      <w:sz w:val="28"/>
    </w:rPr>
  </w:style>
  <w:style w:type="character" w:customStyle="1" w:styleId="2007">
    <w:name w:val="样式 标题 2 + Times New Roman Char Char Char"/>
    <w:qFormat/>
    <w:uiPriority w:val="0"/>
    <w:rPr>
      <w:rFonts w:ascii="Calibri" w:hAnsi="Calibri" w:eastAsia="华文中宋"/>
      <w:b/>
      <w:bCs/>
      <w:sz w:val="26"/>
      <w:szCs w:val="32"/>
    </w:rPr>
  </w:style>
  <w:style w:type="character" w:customStyle="1" w:styleId="2008">
    <w:name w:val="表文字 Char Char Char Char"/>
    <w:qFormat/>
    <w:uiPriority w:val="0"/>
    <w:rPr>
      <w:kern w:val="2"/>
      <w:sz w:val="21"/>
      <w:szCs w:val="21"/>
      <w:lang w:val="en-US" w:eastAsia="zh-CN" w:bidi="ar-SA"/>
    </w:rPr>
  </w:style>
  <w:style w:type="character" w:customStyle="1" w:styleId="2009">
    <w:name w:val="标准样式 Char Char Char"/>
    <w:qFormat/>
    <w:uiPriority w:val="0"/>
    <w:rPr>
      <w:kern w:val="2"/>
      <w:sz w:val="28"/>
      <w:szCs w:val="22"/>
      <w:lang w:val="en-US" w:eastAsia="zh-CN" w:bidi="ar-SA"/>
    </w:rPr>
  </w:style>
  <w:style w:type="character" w:customStyle="1" w:styleId="2010">
    <w:name w:val="样式 左 首行缩进:  1.01 厘米 Char Char Char"/>
    <w:qFormat/>
    <w:uiPriority w:val="0"/>
    <w:rPr>
      <w:rFonts w:ascii="Calibri" w:hAnsi="Calibri" w:eastAsia="宋体" w:cs="宋体"/>
      <w:sz w:val="26"/>
      <w:szCs w:val="26"/>
    </w:rPr>
  </w:style>
  <w:style w:type="character" w:customStyle="1" w:styleId="2011">
    <w:name w:val="正文四号 Char Char Char Char"/>
    <w:qFormat/>
    <w:uiPriority w:val="0"/>
    <w:rPr>
      <w:rFonts w:ascii="Calibri" w:hAnsi="Calibri" w:eastAsia="宋体" w:cs="宋体"/>
      <w:sz w:val="24"/>
      <w:szCs w:val="24"/>
    </w:rPr>
  </w:style>
  <w:style w:type="character" w:customStyle="1" w:styleId="2012">
    <w:name w:val="n表名 Char"/>
    <w:qFormat/>
    <w:uiPriority w:val="0"/>
    <w:rPr>
      <w:rFonts w:ascii="黑体" w:hAnsi="Cambria" w:eastAsia="黑体"/>
    </w:rPr>
  </w:style>
  <w:style w:type="character" w:customStyle="1" w:styleId="2013">
    <w:name w:val="纯文本 Char"/>
    <w:qFormat/>
    <w:uiPriority w:val="0"/>
    <w:rPr>
      <w:rFonts w:ascii="宋体" w:hAnsi="Courier New" w:eastAsia="宋体" w:cs="Courier New"/>
      <w:kern w:val="2"/>
      <w:sz w:val="21"/>
      <w:szCs w:val="21"/>
      <w:lang w:val="en-US" w:eastAsia="zh-CN" w:bidi="ar-SA"/>
    </w:rPr>
  </w:style>
  <w:style w:type="character" w:customStyle="1" w:styleId="2014">
    <w:name w:val="表号 Char"/>
    <w:qFormat/>
    <w:uiPriority w:val="0"/>
    <w:rPr>
      <w:kern w:val="2"/>
      <w:sz w:val="24"/>
      <w:szCs w:val="24"/>
      <w:lang w:val="en-US" w:eastAsia="zh-CN" w:bidi="ar-SA"/>
    </w:rPr>
  </w:style>
  <w:style w:type="character" w:customStyle="1" w:styleId="2015">
    <w:name w:val="图表标题 Char"/>
    <w:qFormat/>
    <w:uiPriority w:val="0"/>
    <w:rPr>
      <w:rFonts w:ascii="Calibri" w:hAnsi="Calibri" w:eastAsia="宋体"/>
      <w:b/>
      <w:sz w:val="24"/>
      <w:szCs w:val="24"/>
    </w:rPr>
  </w:style>
  <w:style w:type="character" w:customStyle="1" w:styleId="2016">
    <w:name w:val="表注 Char"/>
    <w:qFormat/>
    <w:uiPriority w:val="0"/>
    <w:rPr>
      <w:rFonts w:ascii="Calibri" w:hAnsi="Calibri" w:eastAsia="新宋体" w:cs="Arial"/>
      <w:b/>
      <w:szCs w:val="21"/>
    </w:rPr>
  </w:style>
  <w:style w:type="character" w:customStyle="1" w:styleId="2017">
    <w:name w:val="二级标题 Char"/>
    <w:qFormat/>
    <w:uiPriority w:val="0"/>
    <w:rPr>
      <w:rFonts w:ascii="Calibri" w:hAnsi="Calibri" w:eastAsia="仿宋_GB2312"/>
      <w:b/>
      <w:bCs/>
      <w:sz w:val="30"/>
    </w:rPr>
  </w:style>
  <w:style w:type="character" w:customStyle="1" w:styleId="2018">
    <w:name w:val="样式 样式 首行缩进:  2 字符 段后: 0.5 行 + 首行缩进:  2 字符 段后: 0.5 行 Char"/>
    <w:qFormat/>
    <w:uiPriority w:val="0"/>
    <w:rPr>
      <w:rFonts w:ascii="Calibri" w:hAnsi="Calibri" w:eastAsia="宋体" w:cs="宋体"/>
      <w:sz w:val="28"/>
    </w:rPr>
  </w:style>
  <w:style w:type="character" w:customStyle="1" w:styleId="2019">
    <w:name w:val="样式 正文四号 + 自动设置 Char"/>
    <w:qFormat/>
    <w:uiPriority w:val="0"/>
    <w:rPr>
      <w:rFonts w:ascii="Calibri" w:hAnsi="Calibri" w:eastAsia="宋体"/>
      <w:sz w:val="28"/>
      <w:szCs w:val="24"/>
    </w:rPr>
  </w:style>
  <w:style w:type="character" w:customStyle="1" w:styleId="2020">
    <w:name w:val="段落 Char Char"/>
    <w:qFormat/>
    <w:uiPriority w:val="0"/>
    <w:rPr>
      <w:rFonts w:ascii="Calibri" w:hAnsi="Calibri" w:eastAsia="宋体"/>
      <w:sz w:val="24"/>
      <w:szCs w:val="24"/>
    </w:rPr>
  </w:style>
  <w:style w:type="character" w:customStyle="1" w:styleId="2021">
    <w:name w:val="投标标题1 Char"/>
    <w:qFormat/>
    <w:uiPriority w:val="0"/>
    <w:rPr>
      <w:rFonts w:ascii="黑体" w:hAnsi="宋体" w:eastAsia="黑体"/>
      <w:bCs/>
      <w:kern w:val="44"/>
      <w:sz w:val="30"/>
      <w:szCs w:val="30"/>
    </w:rPr>
  </w:style>
  <w:style w:type="character" w:customStyle="1" w:styleId="2022">
    <w:name w:val="正文-biao Char"/>
    <w:qFormat/>
    <w:uiPriority w:val="0"/>
    <w:rPr>
      <w:rFonts w:ascii="Calibri" w:hAnsi="宋体" w:eastAsia="宋体"/>
      <w:sz w:val="24"/>
      <w:szCs w:val="24"/>
    </w:rPr>
  </w:style>
  <w:style w:type="character" w:customStyle="1" w:styleId="2023">
    <w:name w:val="编辑正文 Char"/>
    <w:qFormat/>
    <w:uiPriority w:val="0"/>
    <w:rPr>
      <w:rFonts w:ascii="Calibri" w:hAnsi="宋体" w:eastAsia="宋体"/>
      <w:sz w:val="26"/>
      <w:szCs w:val="26"/>
    </w:rPr>
  </w:style>
  <w:style w:type="character" w:customStyle="1" w:styleId="2024">
    <w:name w:val="样式9 Char"/>
    <w:qFormat/>
    <w:uiPriority w:val="0"/>
    <w:rPr>
      <w:rFonts w:ascii="Calibri" w:hAnsi="Calibri" w:eastAsia="黑体"/>
      <w:b/>
      <w:sz w:val="36"/>
      <w:szCs w:val="32"/>
    </w:rPr>
  </w:style>
  <w:style w:type="character" w:customStyle="1" w:styleId="2025">
    <w:name w:val="样式 样式9 + 宋体 Char"/>
    <w:qFormat/>
    <w:uiPriority w:val="0"/>
    <w:rPr>
      <w:rFonts w:ascii="Calibri" w:hAnsi="Calibri" w:eastAsia="宋体"/>
      <w:sz w:val="26"/>
      <w:szCs w:val="26"/>
    </w:rPr>
  </w:style>
  <w:style w:type="character" w:customStyle="1" w:styleId="2026">
    <w:name w:val="样式 样式4 + 首行缩进:  1.92 字符 Char"/>
    <w:qFormat/>
    <w:uiPriority w:val="0"/>
    <w:rPr>
      <w:rFonts w:ascii="宋体" w:hAnsi="宋体" w:eastAsia="宋体" w:cs="宋体"/>
      <w:sz w:val="28"/>
    </w:rPr>
  </w:style>
  <w:style w:type="character" w:customStyle="1" w:styleId="2027">
    <w:name w:val="n正文 Char"/>
    <w:qFormat/>
    <w:uiPriority w:val="0"/>
    <w:rPr>
      <w:rFonts w:ascii="宋体" w:hAnsi="宋体" w:eastAsia="宋体"/>
      <w:sz w:val="24"/>
      <w:szCs w:val="24"/>
    </w:rPr>
  </w:style>
  <w:style w:type="character" w:customStyle="1" w:styleId="2028">
    <w:name w:val="不明显强调3"/>
    <w:qFormat/>
    <w:uiPriority w:val="0"/>
    <w:rPr>
      <w:i/>
      <w:iCs/>
      <w:color w:val="808080"/>
    </w:rPr>
  </w:style>
  <w:style w:type="character" w:customStyle="1" w:styleId="2029">
    <w:name w:val="明显强调2"/>
    <w:qFormat/>
    <w:uiPriority w:val="0"/>
    <w:rPr>
      <w:b/>
      <w:bCs/>
      <w:i/>
      <w:iCs/>
      <w:color w:val="4F81BD"/>
    </w:rPr>
  </w:style>
  <w:style w:type="character" w:customStyle="1" w:styleId="2030">
    <w:name w:val="不明显参考2"/>
    <w:qFormat/>
    <w:uiPriority w:val="0"/>
    <w:rPr>
      <w:smallCaps/>
      <w:color w:val="C0504D"/>
      <w:u w:val="single"/>
    </w:rPr>
  </w:style>
  <w:style w:type="character" w:customStyle="1" w:styleId="2031">
    <w:name w:val="明显参考2"/>
    <w:qFormat/>
    <w:uiPriority w:val="0"/>
    <w:rPr>
      <w:b/>
      <w:bCs/>
      <w:smallCaps/>
      <w:color w:val="C0504D"/>
      <w:spacing w:val="5"/>
      <w:u w:val="single"/>
    </w:rPr>
  </w:style>
  <w:style w:type="character" w:customStyle="1" w:styleId="2032">
    <w:name w:val="书籍标题2"/>
    <w:qFormat/>
    <w:uiPriority w:val="0"/>
    <w:rPr>
      <w:b/>
      <w:bCs/>
      <w:smallCaps/>
      <w:spacing w:val="5"/>
    </w:rPr>
  </w:style>
  <w:style w:type="character" w:customStyle="1" w:styleId="2033">
    <w:name w:val="谢谢谢谢谢 Char"/>
    <w:qFormat/>
    <w:uiPriority w:val="0"/>
    <w:rPr>
      <w:rFonts w:eastAsia="宋体"/>
      <w:sz w:val="24"/>
      <w:szCs w:val="24"/>
    </w:rPr>
  </w:style>
  <w:style w:type="character" w:customStyle="1" w:styleId="2034">
    <w:name w:val="MFS单位 Char"/>
    <w:qFormat/>
    <w:uiPriority w:val="0"/>
    <w:rPr>
      <w:sz w:val="18"/>
      <w:szCs w:val="24"/>
    </w:rPr>
  </w:style>
  <w:style w:type="character" w:customStyle="1" w:styleId="2035">
    <w:name w:val="陈光的正文 Char"/>
    <w:qFormat/>
    <w:uiPriority w:val="0"/>
    <w:rPr>
      <w:rFonts w:eastAsia="宋体"/>
      <w:sz w:val="28"/>
    </w:rPr>
  </w:style>
  <w:style w:type="character" w:customStyle="1" w:styleId="2036">
    <w:name w:val="样式 表格文字 + 10 磅 Char"/>
    <w:qFormat/>
    <w:uiPriority w:val="0"/>
    <w:rPr>
      <w:rFonts w:eastAsia="宋体"/>
    </w:rPr>
  </w:style>
  <w:style w:type="character" w:customStyle="1" w:styleId="2037">
    <w:name w:val="正文表格 Char"/>
    <w:qFormat/>
    <w:uiPriority w:val="0"/>
    <w:rPr>
      <w:rFonts w:ascii="Calibri" w:hAnsi="Calibri" w:eastAsia="宋体"/>
      <w:sz w:val="28"/>
      <w:lang w:eastAsia="en-US" w:bidi="en-US"/>
    </w:rPr>
  </w:style>
  <w:style w:type="character" w:customStyle="1" w:styleId="2038">
    <w:name w:val="Default Char"/>
    <w:qFormat/>
    <w:uiPriority w:val="0"/>
    <w:rPr>
      <w:rFonts w:ascii="仿宋_GB2312" w:eastAsia="仿宋_GB2312" w:cs="仿宋_GB2312"/>
      <w:color w:val="000000"/>
      <w:kern w:val="2"/>
      <w:sz w:val="24"/>
      <w:szCs w:val="24"/>
      <w:lang w:val="en-US" w:eastAsia="zh-CN" w:bidi="ar-SA"/>
    </w:rPr>
  </w:style>
  <w:style w:type="paragraph" w:customStyle="1" w:styleId="2039">
    <w:name w:val="z-窗体顶端2"/>
    <w:basedOn w:val="1"/>
    <w:next w:val="1"/>
    <w:link w:val="2040"/>
    <w:qFormat/>
    <w:uiPriority w:val="0"/>
    <w:pPr>
      <w:pBdr>
        <w:bottom w:val="single" w:color="auto" w:sz="6" w:space="1"/>
      </w:pBdr>
      <w:spacing w:line="440" w:lineRule="exact"/>
      <w:ind w:firstLine="200" w:firstLineChars="200"/>
      <w:jc w:val="center"/>
    </w:pPr>
    <w:rPr>
      <w:rFonts w:ascii="Arial" w:hAnsi="Arial" w:cs="Arial"/>
      <w:vanish/>
      <w:kern w:val="0"/>
      <w:sz w:val="16"/>
      <w:szCs w:val="16"/>
      <w:lang w:eastAsia="en-US" w:bidi="en-US"/>
    </w:rPr>
  </w:style>
  <w:style w:type="character" w:customStyle="1" w:styleId="2040">
    <w:name w:val="z-窗体顶端 字符"/>
    <w:basedOn w:val="81"/>
    <w:link w:val="2039"/>
    <w:qFormat/>
    <w:uiPriority w:val="0"/>
    <w:rPr>
      <w:rFonts w:ascii="Arial" w:hAnsi="Arial" w:cs="Arial"/>
      <w:vanish/>
      <w:sz w:val="16"/>
      <w:szCs w:val="16"/>
      <w:lang w:eastAsia="en-US" w:bidi="en-US"/>
    </w:rPr>
  </w:style>
  <w:style w:type="paragraph" w:customStyle="1" w:styleId="2041">
    <w:name w:val="z-窗体底端2"/>
    <w:basedOn w:val="1"/>
    <w:next w:val="1"/>
    <w:link w:val="2042"/>
    <w:qFormat/>
    <w:uiPriority w:val="0"/>
    <w:pPr>
      <w:pBdr>
        <w:top w:val="single" w:color="auto" w:sz="6" w:space="1"/>
      </w:pBdr>
      <w:spacing w:line="440" w:lineRule="exact"/>
      <w:ind w:firstLine="200" w:firstLineChars="200"/>
      <w:jc w:val="center"/>
    </w:pPr>
    <w:rPr>
      <w:rFonts w:ascii="Arial" w:hAnsi="Arial" w:cs="Arial"/>
      <w:vanish/>
      <w:kern w:val="0"/>
      <w:sz w:val="16"/>
      <w:szCs w:val="16"/>
      <w:lang w:eastAsia="en-US" w:bidi="en-US"/>
    </w:rPr>
  </w:style>
  <w:style w:type="character" w:customStyle="1" w:styleId="2042">
    <w:name w:val="z-窗体底端 字符"/>
    <w:basedOn w:val="81"/>
    <w:link w:val="2041"/>
    <w:qFormat/>
    <w:uiPriority w:val="0"/>
    <w:rPr>
      <w:rFonts w:ascii="Arial" w:hAnsi="Arial" w:cs="Arial"/>
      <w:vanish/>
      <w:sz w:val="16"/>
      <w:szCs w:val="16"/>
      <w:lang w:eastAsia="en-US" w:bidi="en-US"/>
    </w:rPr>
  </w:style>
  <w:style w:type="paragraph" w:customStyle="1" w:styleId="2043">
    <w:name w:val="Char Char Char Char Char Char Char Char Char Char Char"/>
    <w:basedOn w:val="1"/>
    <w:qFormat/>
    <w:uiPriority w:val="0"/>
    <w:pPr>
      <w:spacing w:line="440" w:lineRule="exact"/>
      <w:ind w:firstLine="200" w:firstLineChars="200"/>
      <w:jc w:val="both"/>
    </w:pPr>
    <w:rPr>
      <w:kern w:val="0"/>
      <w:lang w:eastAsia="en-US" w:bidi="en-US"/>
    </w:rPr>
  </w:style>
  <w:style w:type="paragraph" w:customStyle="1" w:styleId="2044">
    <w:name w:val="Char Char Char Char Char Char Char Char Char Char Char Char"/>
    <w:basedOn w:val="1"/>
    <w:qFormat/>
    <w:uiPriority w:val="0"/>
    <w:pPr>
      <w:tabs>
        <w:tab w:val="left" w:pos="1723"/>
      </w:tabs>
      <w:spacing w:line="440" w:lineRule="exact"/>
      <w:ind w:left="1723" w:hanging="1080" w:firstLineChars="200"/>
      <w:jc w:val="both"/>
    </w:pPr>
    <w:rPr>
      <w:rFonts w:eastAsia="仿宋_GB2312"/>
      <w:kern w:val="0"/>
      <w:szCs w:val="32"/>
      <w:lang w:eastAsia="en-US" w:bidi="en-US"/>
    </w:rPr>
  </w:style>
  <w:style w:type="paragraph" w:styleId="2045">
    <w:name w:val="Intense Quote"/>
    <w:basedOn w:val="1"/>
    <w:next w:val="1"/>
    <w:link w:val="2046"/>
    <w:qFormat/>
    <w:uiPriority w:val="0"/>
    <w:pPr>
      <w:pBdr>
        <w:bottom w:val="single" w:color="4F81BD" w:sz="4" w:space="4"/>
      </w:pBdr>
      <w:spacing w:before="200" w:after="280" w:line="440" w:lineRule="exact"/>
      <w:ind w:left="936" w:right="936" w:firstLine="200" w:firstLineChars="200"/>
      <w:jc w:val="both"/>
    </w:pPr>
    <w:rPr>
      <w:b/>
      <w:bCs/>
      <w:i/>
      <w:iCs/>
      <w:color w:val="4F81BD"/>
      <w:lang w:eastAsia="en-US" w:bidi="en-US"/>
    </w:rPr>
  </w:style>
  <w:style w:type="character" w:customStyle="1" w:styleId="2046">
    <w:name w:val="明显引用 Char2"/>
    <w:basedOn w:val="81"/>
    <w:link w:val="2045"/>
    <w:qFormat/>
    <w:uiPriority w:val="0"/>
    <w:rPr>
      <w:rFonts w:ascii="Calibri" w:hAnsi="Calibri"/>
      <w:b/>
      <w:bCs/>
      <w:i/>
      <w:iCs/>
      <w:color w:val="4F81BD"/>
      <w:kern w:val="2"/>
      <w:sz w:val="24"/>
      <w:szCs w:val="22"/>
      <w:lang w:eastAsia="en-US" w:bidi="en-US"/>
    </w:rPr>
  </w:style>
  <w:style w:type="character" w:customStyle="1" w:styleId="2047">
    <w:name w:val="标题 2－ch Char"/>
    <w:qFormat/>
    <w:uiPriority w:val="0"/>
    <w:rPr>
      <w:rFonts w:ascii="Times New Roman" w:hAnsi="Times New Roman" w:eastAsia="宋体" w:cs="Times New Roman"/>
      <w:b/>
      <w:bCs/>
      <w:kern w:val="0"/>
      <w:sz w:val="30"/>
      <w:szCs w:val="32"/>
    </w:rPr>
  </w:style>
  <w:style w:type="character" w:customStyle="1" w:styleId="2048">
    <w:name w:val="Char Char24"/>
    <w:qFormat/>
    <w:uiPriority w:val="0"/>
    <w:rPr>
      <w:rFonts w:ascii="Times New Roman" w:hAnsi="Times New Roman" w:eastAsia="宋体" w:cs="Times New Roman"/>
      <w:b/>
      <w:bCs/>
      <w:kern w:val="0"/>
      <w:sz w:val="28"/>
      <w:szCs w:val="32"/>
    </w:rPr>
  </w:style>
  <w:style w:type="character" w:customStyle="1" w:styleId="2049">
    <w:name w:val="Char Char222"/>
    <w:qFormat/>
    <w:uiPriority w:val="0"/>
    <w:rPr>
      <w:rFonts w:ascii="Times New Roman" w:hAnsi="Times New Roman" w:eastAsia="黑体" w:cs="Times New Roman"/>
      <w:b/>
      <w:caps/>
      <w:color w:val="000000"/>
      <w:spacing w:val="10"/>
      <w:kern w:val="0"/>
      <w:sz w:val="24"/>
    </w:rPr>
  </w:style>
  <w:style w:type="character" w:customStyle="1" w:styleId="2050">
    <w:name w:val="Footer1 Char Char"/>
    <w:qFormat/>
    <w:uiPriority w:val="0"/>
    <w:rPr>
      <w:sz w:val="18"/>
      <w:szCs w:val="18"/>
    </w:rPr>
  </w:style>
  <w:style w:type="character" w:customStyle="1" w:styleId="2051">
    <w:name w:val="标题3 Char Char"/>
    <w:qFormat/>
    <w:uiPriority w:val="0"/>
    <w:rPr>
      <w:rFonts w:ascii="Times New Roman" w:hAnsi="Times New Roman" w:eastAsia="宋体" w:cs="Times New Roman"/>
      <w:b/>
      <w:bCs/>
      <w:kern w:val="0"/>
      <w:sz w:val="28"/>
      <w:szCs w:val="32"/>
    </w:rPr>
  </w:style>
  <w:style w:type="paragraph" w:customStyle="1" w:styleId="2052">
    <w:name w:val="标准条文"/>
    <w:qFormat/>
    <w:uiPriority w:val="0"/>
    <w:pPr>
      <w:spacing w:beforeLines="20" w:afterLines="20"/>
      <w:ind w:firstLine="200" w:firstLineChars="200"/>
    </w:pPr>
    <w:rPr>
      <w:rFonts w:ascii="Times New Roman" w:hAnsi="Times New Roman" w:eastAsia="宋体" w:cs="Times New Roman"/>
      <w:bCs/>
      <w:kern w:val="2"/>
      <w:sz w:val="21"/>
      <w:szCs w:val="24"/>
      <w:lang w:val="en-US" w:eastAsia="zh-CN" w:bidi="ar-SA"/>
    </w:rPr>
  </w:style>
  <w:style w:type="paragraph" w:customStyle="1" w:styleId="2053">
    <w:name w:val="CM71"/>
    <w:basedOn w:val="131"/>
    <w:next w:val="131"/>
    <w:qFormat/>
    <w:uiPriority w:val="0"/>
    <w:pPr>
      <w:adjustRightInd w:val="0"/>
      <w:spacing w:line="240" w:lineRule="auto"/>
    </w:pPr>
    <w:rPr>
      <w:rFonts w:ascii="黑体" w:hAnsi="Calibri" w:eastAsia="黑体"/>
      <w:color w:val="auto"/>
    </w:rPr>
  </w:style>
  <w:style w:type="paragraph" w:customStyle="1" w:styleId="2054">
    <w:name w:val="CM69"/>
    <w:basedOn w:val="131"/>
    <w:next w:val="131"/>
    <w:qFormat/>
    <w:uiPriority w:val="0"/>
    <w:pPr>
      <w:adjustRightInd w:val="0"/>
      <w:spacing w:line="240" w:lineRule="auto"/>
    </w:pPr>
    <w:rPr>
      <w:rFonts w:ascii="黑体" w:hAnsi="Calibri" w:eastAsia="黑体"/>
      <w:color w:val="auto"/>
    </w:rPr>
  </w:style>
  <w:style w:type="paragraph" w:customStyle="1" w:styleId="2055">
    <w:name w:val="正文格式42"/>
    <w:basedOn w:val="1"/>
    <w:qFormat/>
    <w:uiPriority w:val="0"/>
    <w:pPr>
      <w:widowControl w:val="0"/>
      <w:ind w:firstLine="482"/>
      <w:jc w:val="both"/>
    </w:pPr>
    <w:rPr>
      <w:rFonts w:ascii="宋体" w:hAnsi="宋体"/>
      <w:szCs w:val="24"/>
    </w:rPr>
  </w:style>
  <w:style w:type="paragraph" w:customStyle="1" w:styleId="2056">
    <w:name w:val="正文文"/>
    <w:basedOn w:val="1"/>
    <w:link w:val="2057"/>
    <w:semiHidden/>
    <w:qFormat/>
    <w:uiPriority w:val="0"/>
    <w:pPr>
      <w:widowControl w:val="0"/>
      <w:spacing w:line="288" w:lineRule="auto"/>
      <w:ind w:firstLine="480" w:firstLineChars="200"/>
      <w:jc w:val="both"/>
    </w:pPr>
    <w:rPr>
      <w:rFonts w:eastAsia="楷体_GB2312"/>
      <w:snapToGrid w:val="0"/>
      <w:kern w:val="0"/>
      <w:szCs w:val="24"/>
      <w:lang w:val="zh-CN"/>
    </w:rPr>
  </w:style>
  <w:style w:type="character" w:customStyle="1" w:styleId="2057">
    <w:name w:val="正文文 Char"/>
    <w:link w:val="2056"/>
    <w:semiHidden/>
    <w:qFormat/>
    <w:uiPriority w:val="0"/>
    <w:rPr>
      <w:rFonts w:eastAsia="楷体_GB2312"/>
      <w:snapToGrid w:val="0"/>
      <w:sz w:val="24"/>
      <w:szCs w:val="24"/>
      <w:lang w:val="zh-CN" w:eastAsia="zh-CN"/>
    </w:rPr>
  </w:style>
  <w:style w:type="paragraph" w:customStyle="1" w:styleId="2058">
    <w:name w:val="报告正文"/>
    <w:basedOn w:val="72"/>
    <w:next w:val="1"/>
    <w:link w:val="2059"/>
    <w:qFormat/>
    <w:uiPriority w:val="0"/>
    <w:pPr>
      <w:ind w:firstLine="200" w:firstLineChars="200"/>
    </w:pPr>
    <w:rPr>
      <w:bCs/>
      <w:kern w:val="44"/>
      <w:szCs w:val="44"/>
    </w:rPr>
  </w:style>
  <w:style w:type="character" w:customStyle="1" w:styleId="2059">
    <w:name w:val="报告正文 Char"/>
    <w:link w:val="2058"/>
    <w:qFormat/>
    <w:uiPriority w:val="0"/>
    <w:rPr>
      <w:bCs/>
      <w:kern w:val="44"/>
      <w:sz w:val="24"/>
      <w:szCs w:val="44"/>
    </w:rPr>
  </w:style>
  <w:style w:type="paragraph" w:customStyle="1" w:styleId="2060">
    <w:name w:val="正文小四首缩1.3行距"/>
    <w:basedOn w:val="1"/>
    <w:link w:val="2061"/>
    <w:qFormat/>
    <w:uiPriority w:val="0"/>
    <w:pPr>
      <w:widowControl w:val="0"/>
      <w:ind w:firstLine="480" w:firstLineChars="200"/>
      <w:jc w:val="both"/>
    </w:pPr>
    <w:rPr>
      <w:snapToGrid w:val="0"/>
      <w:kern w:val="0"/>
      <w:szCs w:val="24"/>
      <w:lang w:val="zh-CN"/>
    </w:rPr>
  </w:style>
  <w:style w:type="character" w:customStyle="1" w:styleId="2061">
    <w:name w:val="正文小四首缩1.3行距 Char"/>
    <w:link w:val="2060"/>
    <w:qFormat/>
    <w:uiPriority w:val="0"/>
    <w:rPr>
      <w:snapToGrid w:val="0"/>
      <w:sz w:val="24"/>
      <w:szCs w:val="24"/>
      <w:lang w:val="zh-CN" w:eastAsia="zh-CN"/>
    </w:rPr>
  </w:style>
  <w:style w:type="character" w:customStyle="1" w:styleId="2062">
    <w:name w:val="正文小四首缩1.3行距 Char Char"/>
    <w:qFormat/>
    <w:uiPriority w:val="0"/>
    <w:rPr>
      <w:rFonts w:ascii="宋体" w:hAnsi="宋体"/>
      <w:kern w:val="28"/>
      <w:sz w:val="24"/>
      <w:szCs w:val="24"/>
    </w:rPr>
  </w:style>
  <w:style w:type="character" w:customStyle="1" w:styleId="2063">
    <w:name w:val="正文01 Char2"/>
    <w:qFormat/>
    <w:uiPriority w:val="0"/>
    <w:rPr>
      <w:rFonts w:ascii="Times New Roman" w:hAnsi="Times New Roman" w:eastAsia="宋体" w:cs="Times New Roman"/>
      <w:color w:val="000000"/>
      <w:kern w:val="0"/>
      <w:sz w:val="24"/>
      <w:szCs w:val="18"/>
    </w:rPr>
  </w:style>
  <w:style w:type="character" w:customStyle="1" w:styleId="2064">
    <w:name w:val="报告正文 Char Char"/>
    <w:qFormat/>
    <w:uiPriority w:val="0"/>
    <w:rPr>
      <w:bCs/>
      <w:kern w:val="44"/>
      <w:sz w:val="24"/>
      <w:szCs w:val="44"/>
      <w:lang w:bidi="ar-SA"/>
    </w:rPr>
  </w:style>
  <w:style w:type="paragraph" w:customStyle="1" w:styleId="2065">
    <w:name w:val="图标标题"/>
    <w:basedOn w:val="1"/>
    <w:qFormat/>
    <w:uiPriority w:val="0"/>
    <w:pPr>
      <w:widowControl w:val="0"/>
      <w:jc w:val="center"/>
    </w:pPr>
    <w:rPr>
      <w:rFonts w:ascii="黑体" w:eastAsia="黑体"/>
      <w:sz w:val="28"/>
      <w:szCs w:val="28"/>
    </w:rPr>
  </w:style>
  <w:style w:type="character" w:customStyle="1" w:styleId="2066">
    <w:name w:val="zwb-正文 Char Char"/>
    <w:link w:val="2067"/>
    <w:qFormat/>
    <w:uiPriority w:val="0"/>
    <w:rPr>
      <w:sz w:val="24"/>
      <w:szCs w:val="24"/>
    </w:rPr>
  </w:style>
  <w:style w:type="paragraph" w:customStyle="1" w:styleId="2067">
    <w:name w:val="zwb-正文"/>
    <w:basedOn w:val="1"/>
    <w:link w:val="2066"/>
    <w:qFormat/>
    <w:uiPriority w:val="0"/>
    <w:pPr>
      <w:widowControl w:val="0"/>
      <w:ind w:firstLine="480" w:firstLineChars="200"/>
      <w:jc w:val="both"/>
    </w:pPr>
    <w:rPr>
      <w:kern w:val="0"/>
      <w:szCs w:val="24"/>
    </w:rPr>
  </w:style>
  <w:style w:type="paragraph" w:customStyle="1" w:styleId="2068">
    <w:name w:val="_Style 129"/>
    <w:basedOn w:val="1"/>
    <w:qFormat/>
    <w:uiPriority w:val="0"/>
    <w:pPr>
      <w:widowControl w:val="0"/>
      <w:spacing w:line="240" w:lineRule="auto"/>
      <w:jc w:val="both"/>
    </w:pPr>
    <w:rPr>
      <w:sz w:val="21"/>
      <w:szCs w:val="24"/>
    </w:rPr>
  </w:style>
  <w:style w:type="character" w:customStyle="1" w:styleId="2069">
    <w:name w:val="zwb-正文 Char"/>
    <w:qFormat/>
    <w:uiPriority w:val="0"/>
    <w:rPr>
      <w:kern w:val="2"/>
      <w:sz w:val="24"/>
      <w:szCs w:val="24"/>
    </w:rPr>
  </w:style>
  <w:style w:type="character" w:customStyle="1" w:styleId="2070">
    <w:name w:val="【图片】 Char Char"/>
    <w:qFormat/>
    <w:uiPriority w:val="0"/>
    <w:rPr>
      <w:rFonts w:ascii="宋体" w:eastAsia="Times New Roman"/>
      <w:kern w:val="2"/>
      <w:sz w:val="24"/>
      <w:szCs w:val="22"/>
      <w:lang w:val="en-US" w:eastAsia="zh-CN" w:bidi="ar-SA"/>
    </w:rPr>
  </w:style>
  <w:style w:type="character" w:customStyle="1" w:styleId="2071">
    <w:name w:val="段落缩进 Char Char"/>
    <w:link w:val="2072"/>
    <w:qFormat/>
    <w:uiPriority w:val="0"/>
    <w:rPr>
      <w:sz w:val="24"/>
      <w:szCs w:val="24"/>
    </w:rPr>
  </w:style>
  <w:style w:type="paragraph" w:customStyle="1" w:styleId="2072">
    <w:name w:val="段落缩进"/>
    <w:basedOn w:val="31"/>
    <w:next w:val="31"/>
    <w:link w:val="2071"/>
    <w:qFormat/>
    <w:uiPriority w:val="0"/>
    <w:pPr>
      <w:widowControl w:val="0"/>
      <w:spacing w:after="0"/>
      <w:ind w:firstLine="480" w:firstLineChars="200"/>
      <w:jc w:val="both"/>
    </w:pPr>
    <w:rPr>
      <w:szCs w:val="24"/>
    </w:rPr>
  </w:style>
  <w:style w:type="character" w:customStyle="1" w:styleId="2073">
    <w:name w:val="节标题 1.1 Char Char"/>
    <w:qFormat/>
    <w:uiPriority w:val="0"/>
    <w:rPr>
      <w:rFonts w:eastAsia="黑体"/>
      <w:b/>
      <w:kern w:val="30"/>
      <w:sz w:val="28"/>
      <w:szCs w:val="28"/>
      <w:lang w:val="en-US" w:eastAsia="zh-CN" w:bidi="ar-SA"/>
    </w:rPr>
  </w:style>
  <w:style w:type="character" w:customStyle="1" w:styleId="2074">
    <w:name w:val="标书样式标题2"/>
    <w:qFormat/>
    <w:uiPriority w:val="0"/>
    <w:rPr>
      <w:sz w:val="21"/>
    </w:rPr>
  </w:style>
  <w:style w:type="character" w:customStyle="1" w:styleId="2075">
    <w:name w:val="1正文段落 Char Char"/>
    <w:qFormat/>
    <w:uiPriority w:val="0"/>
    <w:rPr>
      <w:snapToGrid w:val="0"/>
      <w:sz w:val="24"/>
      <w:szCs w:val="24"/>
      <w:lang w:bidi="ar-SA"/>
    </w:rPr>
  </w:style>
  <w:style w:type="character" w:customStyle="1" w:styleId="2076">
    <w:name w:val="post_inhd"/>
    <w:basedOn w:val="81"/>
    <w:qFormat/>
    <w:uiPriority w:val="0"/>
  </w:style>
  <w:style w:type="character" w:customStyle="1" w:styleId="2077">
    <w:name w:val="text1"/>
    <w:basedOn w:val="81"/>
    <w:qFormat/>
    <w:uiPriority w:val="0"/>
  </w:style>
  <w:style w:type="character" w:customStyle="1" w:styleId="2078">
    <w:name w:val="样式 样式2 + 非加粗 Char"/>
    <w:qFormat/>
    <w:uiPriority w:val="0"/>
    <w:rPr>
      <w:rFonts w:eastAsia="宋体"/>
      <w:color w:val="000000"/>
      <w:kern w:val="2"/>
      <w:sz w:val="24"/>
      <w:szCs w:val="24"/>
      <w:lang w:val="en-US" w:eastAsia="zh-CN" w:bidi="ar-SA"/>
    </w:rPr>
  </w:style>
  <w:style w:type="character" w:customStyle="1" w:styleId="2079">
    <w:name w:val="顾文本 Char Char"/>
    <w:link w:val="2080"/>
    <w:qFormat/>
    <w:uiPriority w:val="0"/>
    <w:rPr>
      <w:sz w:val="24"/>
    </w:rPr>
  </w:style>
  <w:style w:type="paragraph" w:customStyle="1" w:styleId="2080">
    <w:name w:val="顾文本"/>
    <w:basedOn w:val="1"/>
    <w:link w:val="2079"/>
    <w:qFormat/>
    <w:uiPriority w:val="0"/>
    <w:pPr>
      <w:widowControl w:val="0"/>
      <w:ind w:firstLine="200" w:firstLineChars="200"/>
      <w:jc w:val="both"/>
    </w:pPr>
    <w:rPr>
      <w:kern w:val="0"/>
      <w:szCs w:val="20"/>
    </w:rPr>
  </w:style>
  <w:style w:type="character" w:customStyle="1" w:styleId="2081">
    <w:name w:val="二级条标题 Char Char"/>
    <w:qFormat/>
    <w:uiPriority w:val="0"/>
    <w:rPr>
      <w:rFonts w:ascii="宋体"/>
      <w:sz w:val="24"/>
      <w:szCs w:val="24"/>
      <w:lang w:bidi="ar-SA"/>
    </w:rPr>
  </w:style>
  <w:style w:type="character" w:customStyle="1" w:styleId="2082">
    <w:name w:val="样式 题注 + (西文) Times New Roman (中文) 宋体 小四 加粗 黑色 Char Char Char"/>
    <w:link w:val="2083"/>
    <w:qFormat/>
    <w:uiPriority w:val="0"/>
    <w:rPr>
      <w:b/>
      <w:bCs/>
      <w:color w:val="000000"/>
      <w:sz w:val="24"/>
      <w:szCs w:val="24"/>
    </w:rPr>
  </w:style>
  <w:style w:type="paragraph" w:customStyle="1" w:styleId="2083">
    <w:name w:val="样式 题注 + (西文) Times New Roman (中文) 宋体 小四 加粗 黑色 Char"/>
    <w:basedOn w:val="22"/>
    <w:link w:val="2082"/>
    <w:qFormat/>
    <w:uiPriority w:val="0"/>
    <w:pPr>
      <w:widowControl w:val="0"/>
      <w:snapToGrid/>
      <w:spacing w:beforeLines="100" w:line="360" w:lineRule="auto"/>
      <w:jc w:val="center"/>
    </w:pPr>
    <w:rPr>
      <w:rFonts w:ascii="Times New Roman" w:hAnsi="Times New Roman" w:eastAsia="宋体"/>
      <w:sz w:val="24"/>
      <w:szCs w:val="24"/>
    </w:rPr>
  </w:style>
  <w:style w:type="character" w:customStyle="1" w:styleId="2084">
    <w:name w:val="川维5 Char Char"/>
    <w:qFormat/>
    <w:uiPriority w:val="0"/>
    <w:rPr>
      <w:kern w:val="24"/>
      <w:sz w:val="24"/>
      <w:szCs w:val="24"/>
      <w:lang w:bidi="ar-SA"/>
    </w:rPr>
  </w:style>
  <w:style w:type="character" w:customStyle="1" w:styleId="2085">
    <w:name w:val="style2"/>
    <w:basedOn w:val="81"/>
    <w:qFormat/>
    <w:uiPriority w:val="0"/>
  </w:style>
  <w:style w:type="character" w:customStyle="1" w:styleId="2086">
    <w:name w:val="Normal Char Char"/>
    <w:qFormat/>
    <w:uiPriority w:val="0"/>
    <w:rPr>
      <w:rFonts w:ascii="宋体"/>
      <w:kern w:val="2"/>
      <w:sz w:val="24"/>
      <w:szCs w:val="22"/>
      <w:lang w:val="en-US" w:eastAsia="zh-CN" w:bidi="ar-SA"/>
    </w:rPr>
  </w:style>
  <w:style w:type="character" w:customStyle="1" w:styleId="2087">
    <w:name w:val="正文缩二 Char Char"/>
    <w:link w:val="2088"/>
    <w:qFormat/>
    <w:uiPriority w:val="0"/>
    <w:rPr>
      <w:rFonts w:ascii="宋体" w:hAnsi="宋体"/>
      <w:sz w:val="24"/>
      <w:szCs w:val="72"/>
    </w:rPr>
  </w:style>
  <w:style w:type="paragraph" w:customStyle="1" w:styleId="2088">
    <w:name w:val="正文缩二"/>
    <w:basedOn w:val="1"/>
    <w:link w:val="2087"/>
    <w:qFormat/>
    <w:uiPriority w:val="0"/>
    <w:pPr>
      <w:widowControl w:val="0"/>
      <w:tabs>
        <w:tab w:val="left" w:pos="8820"/>
      </w:tabs>
      <w:ind w:firstLine="200" w:firstLineChars="200"/>
    </w:pPr>
    <w:rPr>
      <w:rFonts w:ascii="宋体" w:hAnsi="宋体"/>
      <w:kern w:val="0"/>
      <w:szCs w:val="72"/>
    </w:rPr>
  </w:style>
  <w:style w:type="character" w:customStyle="1" w:styleId="2089">
    <w:name w:val="样式 正文文本缩进 3 + 仿宋_GB2312 Char Char"/>
    <w:link w:val="2090"/>
    <w:qFormat/>
    <w:uiPriority w:val="0"/>
    <w:rPr>
      <w:rFonts w:ascii="仿宋_GB2312" w:hAnsi="仿宋_GB2312" w:eastAsia="仿宋_GB2312"/>
      <w:sz w:val="28"/>
      <w:szCs w:val="24"/>
    </w:rPr>
  </w:style>
  <w:style w:type="paragraph" w:customStyle="1" w:styleId="2090">
    <w:name w:val="样式 正文文本缩进 3 + 仿宋_GB2312"/>
    <w:basedOn w:val="59"/>
    <w:link w:val="2089"/>
    <w:qFormat/>
    <w:uiPriority w:val="0"/>
    <w:pPr>
      <w:widowControl w:val="0"/>
      <w:adjustRightInd/>
      <w:snapToGrid/>
      <w:spacing w:line="360" w:lineRule="auto"/>
      <w:ind w:firstLine="200" w:firstLineChars="200"/>
      <w:jc w:val="both"/>
    </w:pPr>
    <w:rPr>
      <w:rFonts w:ascii="仿宋_GB2312" w:hAnsi="仿宋_GB2312" w:eastAsia="仿宋_GB2312"/>
      <w:color w:val="auto"/>
      <w:kern w:val="0"/>
      <w:szCs w:val="24"/>
    </w:rPr>
  </w:style>
  <w:style w:type="character" w:customStyle="1" w:styleId="2091">
    <w:name w:val="样式 样式 报告正文（瓮福） + 首行缩进:  2 字符 + 首行缩进:  2 字符 Char Char"/>
    <w:link w:val="2092"/>
    <w:qFormat/>
    <w:uiPriority w:val="0"/>
    <w:rPr>
      <w:sz w:val="24"/>
    </w:rPr>
  </w:style>
  <w:style w:type="paragraph" w:customStyle="1" w:styleId="2092">
    <w:name w:val="样式 样式 报告正文（瓮福） + 首行缩进:  2 字符 + 首行缩进:  2 字符"/>
    <w:basedOn w:val="1"/>
    <w:link w:val="2091"/>
    <w:qFormat/>
    <w:uiPriority w:val="0"/>
    <w:pPr>
      <w:widowControl w:val="0"/>
      <w:ind w:firstLine="480" w:firstLineChars="200"/>
    </w:pPr>
    <w:rPr>
      <w:kern w:val="0"/>
      <w:szCs w:val="20"/>
    </w:rPr>
  </w:style>
  <w:style w:type="character" w:customStyle="1" w:styleId="2093">
    <w:name w:val="textcontents"/>
    <w:basedOn w:val="81"/>
    <w:qFormat/>
    <w:uiPriority w:val="0"/>
  </w:style>
  <w:style w:type="character" w:customStyle="1" w:styleId="2094">
    <w:name w:val="正文部分 Char Char"/>
    <w:link w:val="2095"/>
    <w:qFormat/>
    <w:uiPriority w:val="0"/>
    <w:rPr>
      <w:rFonts w:ascii="宋体" w:hAnsi="宋体"/>
      <w:bCs/>
      <w:sz w:val="28"/>
      <w:szCs w:val="32"/>
    </w:rPr>
  </w:style>
  <w:style w:type="paragraph" w:customStyle="1" w:styleId="2095">
    <w:name w:val="正文部分"/>
    <w:basedOn w:val="1"/>
    <w:link w:val="2094"/>
    <w:qFormat/>
    <w:uiPriority w:val="0"/>
    <w:pPr>
      <w:widowControl w:val="0"/>
      <w:spacing w:line="500" w:lineRule="exact"/>
      <w:ind w:firstLine="200" w:firstLineChars="200"/>
    </w:pPr>
    <w:rPr>
      <w:rFonts w:ascii="宋体" w:hAnsi="宋体"/>
      <w:bCs/>
      <w:kern w:val="0"/>
      <w:sz w:val="28"/>
      <w:szCs w:val="32"/>
    </w:rPr>
  </w:style>
  <w:style w:type="character" w:customStyle="1" w:styleId="2096">
    <w:name w:val="表格文字 Char Char Char"/>
    <w:qFormat/>
    <w:uiPriority w:val="0"/>
    <w:rPr>
      <w:rFonts w:eastAsia="宋体"/>
      <w:kern w:val="28"/>
      <w:sz w:val="21"/>
      <w:lang w:val="en-US" w:eastAsia="zh-CN" w:bidi="ar-SA"/>
    </w:rPr>
  </w:style>
  <w:style w:type="character" w:customStyle="1" w:styleId="2097">
    <w:name w:val="yyp Char Char"/>
    <w:qFormat/>
    <w:uiPriority w:val="0"/>
    <w:rPr>
      <w:kern w:val="2"/>
      <w:sz w:val="24"/>
      <w:szCs w:val="24"/>
    </w:rPr>
  </w:style>
  <w:style w:type="character" w:customStyle="1" w:styleId="2098">
    <w:name w:val="楷体加粗 Char Char"/>
    <w:qFormat/>
    <w:uiPriority w:val="0"/>
    <w:rPr>
      <w:rFonts w:ascii="宋体" w:hAnsi="宋体"/>
      <w:sz w:val="24"/>
      <w:szCs w:val="24"/>
      <w:lang w:bidi="ar-SA"/>
    </w:rPr>
  </w:style>
  <w:style w:type="character" w:customStyle="1" w:styleId="2099">
    <w:name w:val="正文不加粗 Char Char"/>
    <w:link w:val="2100"/>
    <w:qFormat/>
    <w:uiPriority w:val="0"/>
    <w:rPr>
      <w:rFonts w:ascii="仿宋_GB2312" w:hAnsi="仿宋" w:eastAsia="仿宋_GB2312"/>
      <w:sz w:val="28"/>
      <w:szCs w:val="28"/>
    </w:rPr>
  </w:style>
  <w:style w:type="paragraph" w:customStyle="1" w:styleId="2100">
    <w:name w:val="正文不加粗"/>
    <w:basedOn w:val="1"/>
    <w:link w:val="2099"/>
    <w:qFormat/>
    <w:uiPriority w:val="0"/>
    <w:pPr>
      <w:widowControl w:val="0"/>
      <w:spacing w:line="240" w:lineRule="auto"/>
      <w:ind w:firstLine="200" w:firstLineChars="200"/>
      <w:jc w:val="both"/>
    </w:pPr>
    <w:rPr>
      <w:rFonts w:ascii="仿宋_GB2312" w:hAnsi="仿宋" w:eastAsia="仿宋_GB2312"/>
      <w:kern w:val="0"/>
      <w:sz w:val="28"/>
      <w:szCs w:val="28"/>
    </w:rPr>
  </w:style>
  <w:style w:type="character" w:customStyle="1" w:styleId="2101">
    <w:name w:val="p141"/>
    <w:qFormat/>
    <w:uiPriority w:val="0"/>
    <w:rPr>
      <w:color w:val="000000"/>
      <w:sz w:val="21"/>
      <w:szCs w:val="21"/>
    </w:rPr>
  </w:style>
  <w:style w:type="paragraph" w:customStyle="1" w:styleId="2102">
    <w:name w:val="Char Char Char Char Char Char Char Char Char2"/>
    <w:basedOn w:val="1"/>
    <w:qFormat/>
    <w:uiPriority w:val="0"/>
    <w:pPr>
      <w:widowControl w:val="0"/>
      <w:spacing w:line="240" w:lineRule="auto"/>
      <w:jc w:val="both"/>
    </w:pPr>
    <w:rPr>
      <w:sz w:val="21"/>
      <w:szCs w:val="24"/>
    </w:rPr>
  </w:style>
  <w:style w:type="paragraph" w:customStyle="1" w:styleId="2103">
    <w:name w:val="表格小四居中"/>
    <w:basedOn w:val="1"/>
    <w:qFormat/>
    <w:uiPriority w:val="0"/>
    <w:pPr>
      <w:widowControl w:val="0"/>
      <w:spacing w:line="300" w:lineRule="auto"/>
      <w:jc w:val="center"/>
    </w:pPr>
    <w:rPr>
      <w:rFonts w:eastAsia="仿宋_GB2312"/>
      <w:szCs w:val="24"/>
    </w:rPr>
  </w:style>
  <w:style w:type="paragraph" w:customStyle="1" w:styleId="2104">
    <w:name w:val="样式  Char + 首行缩进:  2 字符1"/>
    <w:basedOn w:val="206"/>
    <w:qFormat/>
    <w:uiPriority w:val="0"/>
    <w:pPr>
      <w:widowControl w:val="0"/>
      <w:ind w:firstLine="480" w:firstLineChars="200"/>
      <w:jc w:val="both"/>
    </w:pPr>
    <w:rPr>
      <w:rFonts w:ascii="宋体" w:hAnsi="宋体" w:eastAsia="宋体" w:cs="宋体"/>
      <w:sz w:val="24"/>
      <w:szCs w:val="20"/>
    </w:rPr>
  </w:style>
  <w:style w:type="paragraph" w:customStyle="1" w:styleId="2105">
    <w:name w:val="4"/>
    <w:basedOn w:val="1"/>
    <w:qFormat/>
    <w:uiPriority w:val="0"/>
    <w:pPr>
      <w:widowControl w:val="0"/>
      <w:spacing w:line="240" w:lineRule="auto"/>
      <w:jc w:val="both"/>
    </w:pPr>
    <w:rPr>
      <w:sz w:val="21"/>
      <w:szCs w:val="24"/>
    </w:rPr>
  </w:style>
  <w:style w:type="paragraph" w:customStyle="1" w:styleId="2106">
    <w:name w:val="标题 1 + (中文) 宋体"/>
    <w:basedOn w:val="6"/>
    <w:qFormat/>
    <w:uiPriority w:val="0"/>
    <w:pPr>
      <w:pageBreakBefore/>
      <w:widowControl w:val="0"/>
      <w:tabs>
        <w:tab w:val="left" w:pos="360"/>
      </w:tabs>
      <w:spacing w:line="500" w:lineRule="atLeast"/>
      <w:jc w:val="both"/>
      <w:textAlignment w:val="center"/>
    </w:pPr>
    <w:rPr>
      <w:rFonts w:ascii="Times New Roman" w:hAnsi="宋体"/>
      <w:kern w:val="32"/>
      <w:sz w:val="36"/>
      <w:szCs w:val="36"/>
      <w:lang w:val="zh-CN"/>
    </w:rPr>
  </w:style>
  <w:style w:type="paragraph" w:customStyle="1" w:styleId="2107">
    <w:name w:val="样式 标题 2 + 宋体"/>
    <w:basedOn w:val="7"/>
    <w:qFormat/>
    <w:uiPriority w:val="0"/>
    <w:pPr>
      <w:widowControl w:val="0"/>
      <w:spacing w:beforeLines="0" w:afterLines="0" w:line="360" w:lineRule="auto"/>
      <w:jc w:val="both"/>
    </w:pPr>
    <w:rPr>
      <w:rFonts w:ascii="宋体" w:hAnsi="宋体" w:eastAsia="宋体"/>
      <w:sz w:val="32"/>
      <w:lang w:val="zh-CN"/>
    </w:rPr>
  </w:style>
  <w:style w:type="paragraph" w:customStyle="1" w:styleId="2108">
    <w:name w:val="Char1 Char"/>
    <w:basedOn w:val="1"/>
    <w:qFormat/>
    <w:uiPriority w:val="0"/>
    <w:pPr>
      <w:widowControl w:val="0"/>
      <w:ind w:firstLine="200" w:firstLineChars="200"/>
      <w:jc w:val="both"/>
    </w:pPr>
    <w:rPr>
      <w:rFonts w:ascii="宋体" w:hAnsi="宋体" w:cs="宋体"/>
      <w:szCs w:val="24"/>
    </w:rPr>
  </w:style>
  <w:style w:type="paragraph" w:customStyle="1" w:styleId="2109">
    <w:name w:val="样式 宋体 小四 行距: 多倍行距 1.3 字行"/>
    <w:basedOn w:val="1"/>
    <w:qFormat/>
    <w:uiPriority w:val="0"/>
    <w:pPr>
      <w:widowControl w:val="0"/>
      <w:spacing w:line="312" w:lineRule="auto"/>
      <w:ind w:firstLine="480" w:firstLineChars="200"/>
      <w:jc w:val="both"/>
    </w:pPr>
    <w:rPr>
      <w:rFonts w:ascii="宋体" w:hAnsi="宋体" w:cs="宋体"/>
      <w:szCs w:val="20"/>
    </w:rPr>
  </w:style>
  <w:style w:type="paragraph" w:customStyle="1" w:styleId="2110">
    <w:name w:val="表（左对齐）"/>
    <w:basedOn w:val="1"/>
    <w:qFormat/>
    <w:uiPriority w:val="0"/>
    <w:pPr>
      <w:widowControl w:val="0"/>
      <w:spacing w:line="240" w:lineRule="auto"/>
      <w:ind w:left="-20" w:leftChars="-20" w:hanging="42" w:hangingChars="20"/>
      <w:jc w:val="center"/>
    </w:pPr>
    <w:rPr>
      <w:sz w:val="21"/>
      <w:szCs w:val="24"/>
    </w:rPr>
  </w:style>
  <w:style w:type="paragraph" w:customStyle="1" w:styleId="2111">
    <w:name w:val="text"/>
    <w:basedOn w:val="1"/>
    <w:qFormat/>
    <w:uiPriority w:val="0"/>
    <w:pPr>
      <w:spacing w:before="100" w:beforeAutospacing="1" w:after="100" w:afterAutospacing="1" w:line="240" w:lineRule="auto"/>
    </w:pPr>
    <w:rPr>
      <w:rFonts w:ascii="宋体" w:hAnsi="宋体" w:cs="宋体"/>
      <w:kern w:val="0"/>
      <w:szCs w:val="24"/>
    </w:rPr>
  </w:style>
  <w:style w:type="paragraph" w:customStyle="1" w:styleId="2112">
    <w:name w:val="3级别标题王"/>
    <w:basedOn w:val="1"/>
    <w:qFormat/>
    <w:uiPriority w:val="0"/>
    <w:pPr>
      <w:keepNext/>
      <w:keepLines/>
      <w:widowControl w:val="0"/>
      <w:spacing w:line="440" w:lineRule="exact"/>
    </w:pPr>
    <w:rPr>
      <w:b/>
      <w:kern w:val="0"/>
      <w:szCs w:val="24"/>
    </w:rPr>
  </w:style>
  <w:style w:type="paragraph" w:customStyle="1" w:styleId="2113">
    <w:name w:val="样式 表（左对齐） + 左侧:  12.35 厘米"/>
    <w:basedOn w:val="1"/>
    <w:qFormat/>
    <w:uiPriority w:val="0"/>
    <w:pPr>
      <w:widowControl w:val="0"/>
      <w:spacing w:line="240" w:lineRule="auto"/>
      <w:jc w:val="center"/>
    </w:pPr>
    <w:rPr>
      <w:sz w:val="21"/>
    </w:rPr>
  </w:style>
  <w:style w:type="paragraph" w:customStyle="1" w:styleId="2114">
    <w:name w:val="样式 题注 + (西文) Times New Roman (中文) 宋体 小四 加粗 黑色 居中 段前: 3 磅 ..."/>
    <w:basedOn w:val="22"/>
    <w:qFormat/>
    <w:uiPriority w:val="0"/>
    <w:pPr>
      <w:widowControl w:val="0"/>
      <w:snapToGrid/>
      <w:spacing w:before="0" w:afterLines="100" w:line="360" w:lineRule="auto"/>
      <w:jc w:val="center"/>
    </w:pPr>
    <w:rPr>
      <w:rFonts w:ascii="Times New Roman" w:hAnsi="Times New Roman" w:eastAsia="宋体" w:cs="宋体"/>
      <w:sz w:val="24"/>
      <w:szCs w:val="20"/>
    </w:rPr>
  </w:style>
  <w:style w:type="paragraph" w:customStyle="1" w:styleId="2115">
    <w:name w:val="样式 标题 1 + 宋体"/>
    <w:basedOn w:val="6"/>
    <w:qFormat/>
    <w:uiPriority w:val="0"/>
    <w:pPr>
      <w:widowControl w:val="0"/>
      <w:spacing w:line="420" w:lineRule="auto"/>
      <w:jc w:val="both"/>
    </w:pPr>
    <w:rPr>
      <w:rFonts w:ascii="宋体" w:hAnsi="宋体"/>
      <w:sz w:val="32"/>
      <w:lang w:val="zh-CN"/>
    </w:rPr>
  </w:style>
  <w:style w:type="paragraph" w:customStyle="1" w:styleId="2116">
    <w:name w:val="表尾"/>
    <w:basedOn w:val="1"/>
    <w:qFormat/>
    <w:uiPriority w:val="0"/>
    <w:pPr>
      <w:widowControl w:val="0"/>
      <w:tabs>
        <w:tab w:val="left" w:pos="1021"/>
      </w:tabs>
      <w:spacing w:line="200" w:lineRule="exact"/>
      <w:jc w:val="both"/>
    </w:pPr>
    <w:rPr>
      <w:sz w:val="10"/>
      <w:szCs w:val="20"/>
    </w:rPr>
  </w:style>
  <w:style w:type="paragraph" w:customStyle="1" w:styleId="2117">
    <w:name w:val="正文 + 宋体"/>
    <w:basedOn w:val="72"/>
    <w:qFormat/>
    <w:uiPriority w:val="0"/>
    <w:pPr>
      <w:widowControl w:val="0"/>
      <w:spacing w:after="0"/>
      <w:ind w:firstLine="200" w:firstLineChars="200"/>
      <w:jc w:val="both"/>
    </w:pPr>
    <w:rPr>
      <w:rFonts w:ascii="宋体" w:hAnsi="宋体"/>
      <w:sz w:val="20"/>
      <w:szCs w:val="24"/>
      <w:lang w:val="zh-CN"/>
    </w:rPr>
  </w:style>
  <w:style w:type="paragraph" w:customStyle="1" w:styleId="2118">
    <w:name w:val="Char Char Char Char Char Char1 Char Char Char Char"/>
    <w:basedOn w:val="1"/>
    <w:qFormat/>
    <w:uiPriority w:val="0"/>
    <w:pPr>
      <w:widowControl w:val="0"/>
      <w:autoSpaceDE w:val="0"/>
      <w:autoSpaceDN w:val="0"/>
      <w:spacing w:before="50" w:after="50"/>
      <w:ind w:firstLine="560" w:firstLineChars="200"/>
      <w:jc w:val="both"/>
    </w:pPr>
    <w:rPr>
      <w:rFonts w:eastAsia="仿宋_GB2312"/>
      <w:color w:val="000000"/>
      <w:szCs w:val="24"/>
    </w:rPr>
  </w:style>
  <w:style w:type="paragraph" w:customStyle="1" w:styleId="2119">
    <w:name w:val="标题3-3"/>
    <w:basedOn w:val="8"/>
    <w:qFormat/>
    <w:uiPriority w:val="0"/>
    <w:pPr>
      <w:keepNext w:val="0"/>
      <w:keepLines w:val="0"/>
      <w:widowControl w:val="0"/>
      <w:tabs>
        <w:tab w:val="left" w:pos="1260"/>
      </w:tabs>
      <w:spacing w:before="156" w:afterLines="25" w:line="360" w:lineRule="auto"/>
      <w:ind w:left="1260" w:hanging="420"/>
      <w:textAlignment w:val="baseline"/>
    </w:pPr>
    <w:rPr>
      <w:rFonts w:ascii="Arial" w:hAnsi="Arial" w:eastAsia="黑体"/>
      <w:b w:val="0"/>
      <w:bCs w:val="0"/>
      <w:color w:val="000000"/>
      <w:kern w:val="0"/>
      <w:sz w:val="24"/>
      <w:szCs w:val="24"/>
      <w:lang w:val="zh-CN"/>
    </w:rPr>
  </w:style>
  <w:style w:type="paragraph" w:customStyle="1" w:styleId="2120">
    <w:name w:val="正文样式1"/>
    <w:basedOn w:val="1"/>
    <w:qFormat/>
    <w:uiPriority w:val="0"/>
    <w:pPr>
      <w:widowControl w:val="0"/>
      <w:spacing w:beforeLines="10" w:afterLines="10" w:line="264" w:lineRule="auto"/>
      <w:ind w:firstLine="454"/>
      <w:jc w:val="both"/>
      <w:textAlignment w:val="baseline"/>
    </w:pPr>
    <w:rPr>
      <w:snapToGrid w:val="0"/>
      <w:kern w:val="0"/>
      <w:position w:val="-12"/>
      <w:szCs w:val="20"/>
    </w:rPr>
  </w:style>
  <w:style w:type="paragraph" w:customStyle="1" w:styleId="2121">
    <w:name w:val="样式 yyp + (西文) 宋体 (中文) 楷体_GB2312 四号 加粗"/>
    <w:basedOn w:val="762"/>
    <w:qFormat/>
    <w:uiPriority w:val="0"/>
    <w:pPr>
      <w:widowControl w:val="0"/>
      <w:ind w:firstLine="200" w:firstLineChars="200"/>
      <w:jc w:val="both"/>
    </w:pPr>
    <w:rPr>
      <w:rFonts w:ascii="宋体" w:hAnsi="宋体" w:eastAsia="楷体_GB2312"/>
      <w:bCs/>
      <w:kern w:val="0"/>
      <w:sz w:val="28"/>
      <w:szCs w:val="24"/>
      <w:lang w:val="zh-CN"/>
    </w:rPr>
  </w:style>
  <w:style w:type="paragraph" w:customStyle="1" w:styleId="2122">
    <w:name w:val="表格标题01"/>
    <w:basedOn w:val="1"/>
    <w:qFormat/>
    <w:uiPriority w:val="0"/>
    <w:pPr>
      <w:widowControl w:val="0"/>
      <w:spacing w:line="480" w:lineRule="exact"/>
      <w:jc w:val="center"/>
      <w:textAlignment w:val="baseline"/>
    </w:pPr>
    <w:rPr>
      <w:snapToGrid w:val="0"/>
      <w:kern w:val="0"/>
      <w:sz w:val="28"/>
      <w:szCs w:val="28"/>
    </w:rPr>
  </w:style>
  <w:style w:type="paragraph" w:customStyle="1" w:styleId="2123">
    <w:name w:val="地质报告正文"/>
    <w:basedOn w:val="1"/>
    <w:qFormat/>
    <w:uiPriority w:val="0"/>
    <w:pPr>
      <w:widowControl w:val="0"/>
      <w:spacing w:line="240" w:lineRule="auto"/>
      <w:ind w:firstLine="200" w:firstLineChars="200"/>
      <w:jc w:val="both"/>
    </w:pPr>
    <w:rPr>
      <w:sz w:val="28"/>
      <w:szCs w:val="24"/>
    </w:rPr>
  </w:style>
  <w:style w:type="paragraph" w:customStyle="1" w:styleId="2124">
    <w:name w:val="Char Char Char Char Char Char Char Char Char1 Char Char Char Char Char Char Char Char Char Char Char Char Char Char Char Char"/>
    <w:basedOn w:val="1"/>
    <w:qFormat/>
    <w:uiPriority w:val="0"/>
    <w:pPr>
      <w:widowControl w:val="0"/>
      <w:ind w:firstLine="200" w:firstLineChars="200"/>
      <w:jc w:val="both"/>
    </w:pPr>
    <w:rPr>
      <w:rFonts w:ascii="宋体" w:hAnsi="宋体" w:cs="宋体"/>
      <w:sz w:val="26"/>
      <w:szCs w:val="26"/>
    </w:rPr>
  </w:style>
  <w:style w:type="paragraph" w:customStyle="1" w:styleId="2125">
    <w:name w:val="20"/>
    <w:basedOn w:val="1"/>
    <w:qFormat/>
    <w:uiPriority w:val="0"/>
    <w:pPr>
      <w:spacing w:before="100" w:beforeAutospacing="1" w:after="100" w:afterAutospacing="1" w:line="360" w:lineRule="atLeast"/>
      <w:ind w:left="200"/>
      <w:jc w:val="both"/>
    </w:pPr>
    <w:rPr>
      <w:kern w:val="0"/>
      <w:szCs w:val="24"/>
    </w:rPr>
  </w:style>
  <w:style w:type="paragraph" w:customStyle="1" w:styleId="2126">
    <w:name w:val="Char Char Char Char Char Char6"/>
    <w:basedOn w:val="1"/>
    <w:qFormat/>
    <w:uiPriority w:val="0"/>
    <w:pPr>
      <w:widowControl w:val="0"/>
      <w:spacing w:line="240" w:lineRule="auto"/>
      <w:jc w:val="both"/>
    </w:pPr>
    <w:rPr>
      <w:sz w:val="21"/>
      <w:szCs w:val="24"/>
    </w:rPr>
  </w:style>
  <w:style w:type="paragraph" w:customStyle="1" w:styleId="2127">
    <w:name w:val="Char Char Char Char Char Char Char Char"/>
    <w:basedOn w:val="1"/>
    <w:qFormat/>
    <w:uiPriority w:val="0"/>
    <w:pPr>
      <w:widowControl w:val="0"/>
      <w:spacing w:line="240" w:lineRule="auto"/>
      <w:jc w:val="both"/>
    </w:pPr>
    <w:rPr>
      <w:sz w:val="21"/>
      <w:szCs w:val="24"/>
    </w:rPr>
  </w:style>
  <w:style w:type="paragraph" w:customStyle="1" w:styleId="2128">
    <w:name w:val="MTDisplayEquation"/>
    <w:basedOn w:val="1"/>
    <w:next w:val="1"/>
    <w:link w:val="2129"/>
    <w:qFormat/>
    <w:uiPriority w:val="0"/>
    <w:pPr>
      <w:tabs>
        <w:tab w:val="center" w:pos="4500"/>
        <w:tab w:val="right" w:pos="9000"/>
      </w:tabs>
      <w:spacing w:before="60" w:after="120"/>
    </w:pPr>
    <w:rPr>
      <w:kern w:val="0"/>
      <w:szCs w:val="24"/>
      <w:lang w:val="zh-CN"/>
    </w:rPr>
  </w:style>
  <w:style w:type="character" w:customStyle="1" w:styleId="2129">
    <w:name w:val="MTDisplayEquation Char"/>
    <w:link w:val="2128"/>
    <w:qFormat/>
    <w:uiPriority w:val="0"/>
    <w:rPr>
      <w:sz w:val="24"/>
      <w:szCs w:val="24"/>
      <w:lang w:val="zh-CN" w:eastAsia="zh-CN"/>
    </w:rPr>
  </w:style>
  <w:style w:type="paragraph" w:customStyle="1" w:styleId="2130">
    <w:name w:val="B"/>
    <w:basedOn w:val="8"/>
    <w:next w:val="31"/>
    <w:qFormat/>
    <w:uiPriority w:val="0"/>
    <w:pPr>
      <w:widowControl w:val="0"/>
      <w:spacing w:beforeLines="0" w:afterLines="0" w:line="360" w:lineRule="auto"/>
      <w:jc w:val="both"/>
    </w:pPr>
    <w:rPr>
      <w:rFonts w:eastAsia="黑体"/>
      <w:b w:val="0"/>
      <w:sz w:val="24"/>
      <w:szCs w:val="24"/>
      <w:lang w:val="zh-CN"/>
    </w:rPr>
  </w:style>
  <w:style w:type="character" w:customStyle="1" w:styleId="2131">
    <w:name w:val="图名 Char"/>
    <w:qFormat/>
    <w:uiPriority w:val="0"/>
    <w:rPr>
      <w:rFonts w:ascii="Times New Roman" w:hAnsi="Times New Roman" w:eastAsia="黑体"/>
      <w:b/>
      <w:szCs w:val="24"/>
      <w:lang w:bidi="ar-SA"/>
    </w:rPr>
  </w:style>
  <w:style w:type="paragraph" w:customStyle="1" w:styleId="2132">
    <w:name w:val="文章"/>
    <w:qFormat/>
    <w:uiPriority w:val="0"/>
    <w:pPr>
      <w:spacing w:line="360" w:lineRule="auto"/>
      <w:ind w:firstLine="200" w:firstLineChars="200"/>
      <w:jc w:val="both"/>
    </w:pPr>
    <w:rPr>
      <w:rFonts w:ascii="宋体" w:hAnsi="Times New Roman" w:eastAsia="宋体" w:cs="Times New Roman"/>
      <w:kern w:val="2"/>
      <w:sz w:val="26"/>
      <w:lang w:val="en-US" w:eastAsia="zh-CN" w:bidi="ar-SA"/>
    </w:rPr>
  </w:style>
  <w:style w:type="paragraph" w:customStyle="1" w:styleId="2133">
    <w:name w:val="reader-word-layer reader-word-s1-8"/>
    <w:basedOn w:val="1"/>
    <w:qFormat/>
    <w:uiPriority w:val="0"/>
    <w:pPr>
      <w:spacing w:before="100" w:beforeAutospacing="1" w:after="100" w:afterAutospacing="1" w:line="240" w:lineRule="auto"/>
    </w:pPr>
    <w:rPr>
      <w:rFonts w:ascii="宋体" w:hAnsi="宋体" w:cs="宋体"/>
      <w:kern w:val="0"/>
      <w:szCs w:val="24"/>
    </w:rPr>
  </w:style>
  <w:style w:type="paragraph" w:customStyle="1" w:styleId="2134">
    <w:name w:val="reader-word-layer reader-word-s1-11"/>
    <w:basedOn w:val="1"/>
    <w:qFormat/>
    <w:uiPriority w:val="0"/>
    <w:pPr>
      <w:spacing w:before="100" w:beforeAutospacing="1" w:after="100" w:afterAutospacing="1" w:line="240" w:lineRule="auto"/>
    </w:pPr>
    <w:rPr>
      <w:rFonts w:ascii="宋体" w:hAnsi="宋体" w:cs="宋体"/>
      <w:kern w:val="0"/>
      <w:szCs w:val="24"/>
    </w:rPr>
  </w:style>
  <w:style w:type="paragraph" w:customStyle="1" w:styleId="2135">
    <w:name w:val="reader-word-layer reader-word-s1-7"/>
    <w:basedOn w:val="1"/>
    <w:qFormat/>
    <w:uiPriority w:val="0"/>
    <w:pPr>
      <w:spacing w:before="100" w:beforeAutospacing="1" w:after="100" w:afterAutospacing="1" w:line="240" w:lineRule="auto"/>
    </w:pPr>
    <w:rPr>
      <w:rFonts w:ascii="宋体" w:hAnsi="宋体" w:cs="宋体"/>
      <w:kern w:val="0"/>
      <w:szCs w:val="24"/>
    </w:rPr>
  </w:style>
  <w:style w:type="paragraph" w:customStyle="1" w:styleId="2136">
    <w:name w:val="reader-word-layer reader-word-s1-9"/>
    <w:basedOn w:val="1"/>
    <w:qFormat/>
    <w:uiPriority w:val="0"/>
    <w:pPr>
      <w:spacing w:before="100" w:beforeAutospacing="1" w:after="100" w:afterAutospacing="1" w:line="240" w:lineRule="auto"/>
    </w:pPr>
    <w:rPr>
      <w:rFonts w:ascii="宋体" w:hAnsi="宋体" w:cs="宋体"/>
      <w:kern w:val="0"/>
      <w:szCs w:val="24"/>
    </w:rPr>
  </w:style>
  <w:style w:type="character" w:customStyle="1" w:styleId="2137">
    <w:name w:val="排版正文 Char Char Char Char"/>
    <w:qFormat/>
    <w:uiPriority w:val="0"/>
    <w:rPr>
      <w:rFonts w:ascii="Calibri" w:hAnsi="Calibri" w:eastAsia="宋体"/>
      <w:color w:val="000000"/>
      <w:kern w:val="2"/>
      <w:sz w:val="26"/>
      <w:szCs w:val="26"/>
      <w:lang w:val="en-US" w:eastAsia="zh-CN" w:bidi="ar-SA"/>
    </w:rPr>
  </w:style>
  <w:style w:type="paragraph" w:customStyle="1" w:styleId="2138">
    <w:name w:val="Char Char Char Char Char Char1 Char5"/>
    <w:basedOn w:val="1"/>
    <w:qFormat/>
    <w:uiPriority w:val="0"/>
    <w:pPr>
      <w:widowControl w:val="0"/>
      <w:spacing w:line="240" w:lineRule="auto"/>
      <w:jc w:val="both"/>
    </w:pPr>
    <w:rPr>
      <w:sz w:val="21"/>
      <w:szCs w:val="24"/>
    </w:rPr>
  </w:style>
  <w:style w:type="paragraph" w:customStyle="1" w:styleId="2139">
    <w:name w:val="Char Char Char Char Char Char Char5"/>
    <w:basedOn w:val="1"/>
    <w:qFormat/>
    <w:uiPriority w:val="0"/>
    <w:pPr>
      <w:widowControl w:val="0"/>
      <w:spacing w:line="240" w:lineRule="auto"/>
      <w:jc w:val="both"/>
    </w:pPr>
    <w:rPr>
      <w:sz w:val="21"/>
      <w:szCs w:val="24"/>
    </w:rPr>
  </w:style>
  <w:style w:type="paragraph" w:customStyle="1" w:styleId="2140">
    <w:name w:val="Char Char1 Char Char Char Char3"/>
    <w:basedOn w:val="1"/>
    <w:qFormat/>
    <w:uiPriority w:val="0"/>
    <w:pPr>
      <w:widowControl w:val="0"/>
      <w:spacing w:line="240" w:lineRule="auto"/>
      <w:jc w:val="both"/>
    </w:pPr>
    <w:rPr>
      <w:szCs w:val="24"/>
    </w:rPr>
  </w:style>
  <w:style w:type="paragraph" w:customStyle="1" w:styleId="2141">
    <w:name w:val="Char Char Char Char Char Char Char Char Char Char Char Char Char Char Char Char2"/>
    <w:basedOn w:val="1"/>
    <w:qFormat/>
    <w:uiPriority w:val="0"/>
    <w:pPr>
      <w:widowControl w:val="0"/>
      <w:spacing w:line="240" w:lineRule="auto"/>
      <w:jc w:val="both"/>
    </w:pPr>
    <w:rPr>
      <w:sz w:val="32"/>
      <w:szCs w:val="32"/>
    </w:rPr>
  </w:style>
  <w:style w:type="paragraph" w:customStyle="1" w:styleId="2142">
    <w:name w:val="Char Char Char1 Char Char Char Char Char Char Char5"/>
    <w:basedOn w:val="1"/>
    <w:qFormat/>
    <w:uiPriority w:val="0"/>
    <w:pPr>
      <w:widowControl w:val="0"/>
      <w:spacing w:line="240" w:lineRule="auto"/>
      <w:jc w:val="both"/>
    </w:pPr>
    <w:rPr>
      <w:rFonts w:ascii="Tahoma" w:hAnsi="Tahoma"/>
      <w:szCs w:val="20"/>
    </w:rPr>
  </w:style>
  <w:style w:type="paragraph" w:customStyle="1" w:styleId="2143">
    <w:name w:val="Char Char Char Char Char Char3"/>
    <w:basedOn w:val="1"/>
    <w:qFormat/>
    <w:uiPriority w:val="0"/>
    <w:pPr>
      <w:widowControl w:val="0"/>
      <w:spacing w:line="240" w:lineRule="auto"/>
      <w:jc w:val="both"/>
    </w:pPr>
    <w:rPr>
      <w:szCs w:val="24"/>
    </w:rPr>
  </w:style>
  <w:style w:type="paragraph" w:customStyle="1" w:styleId="2144">
    <w:name w:val="Char2 Char Char Char Char Char Char3"/>
    <w:basedOn w:val="1"/>
    <w:next w:val="5"/>
    <w:qFormat/>
    <w:uiPriority w:val="0"/>
    <w:pPr>
      <w:widowControl w:val="0"/>
      <w:spacing w:line="240" w:lineRule="auto"/>
      <w:jc w:val="both"/>
    </w:pPr>
    <w:rPr>
      <w:sz w:val="28"/>
      <w:szCs w:val="20"/>
    </w:rPr>
  </w:style>
  <w:style w:type="paragraph" w:customStyle="1" w:styleId="2145">
    <w:name w:val="Char Char Char1 Char Char Char Char Char Char Char Char Char Char5"/>
    <w:basedOn w:val="1"/>
    <w:qFormat/>
    <w:uiPriority w:val="0"/>
    <w:pPr>
      <w:widowControl w:val="0"/>
      <w:spacing w:line="240" w:lineRule="auto"/>
      <w:jc w:val="both"/>
    </w:pPr>
    <w:rPr>
      <w:sz w:val="21"/>
      <w:szCs w:val="24"/>
    </w:rPr>
  </w:style>
  <w:style w:type="paragraph" w:customStyle="1" w:styleId="2146">
    <w:name w:val="Char Char Char Char Char Char Char Char Char Char Char Char Char4"/>
    <w:basedOn w:val="1"/>
    <w:qFormat/>
    <w:uiPriority w:val="0"/>
    <w:pPr>
      <w:widowControl w:val="0"/>
      <w:ind w:firstLine="200" w:firstLineChars="200"/>
      <w:jc w:val="both"/>
    </w:pPr>
    <w:rPr>
      <w:rFonts w:eastAsia="仿宋_GB2312"/>
      <w:szCs w:val="24"/>
    </w:rPr>
  </w:style>
  <w:style w:type="paragraph" w:customStyle="1" w:styleId="2147">
    <w:name w:val="Char Char Char Char Char Char Char Char Char Char5"/>
    <w:basedOn w:val="1"/>
    <w:qFormat/>
    <w:uiPriority w:val="0"/>
    <w:pPr>
      <w:widowControl w:val="0"/>
      <w:spacing w:line="240" w:lineRule="auto"/>
      <w:jc w:val="both"/>
    </w:pPr>
    <w:rPr>
      <w:rFonts w:ascii="宋体" w:hAnsi="宋体" w:cs="宋体"/>
      <w:color w:val="000000"/>
      <w:sz w:val="21"/>
    </w:rPr>
  </w:style>
  <w:style w:type="paragraph" w:customStyle="1" w:styleId="2148">
    <w:name w:val="Char Char Char1 Char Char Char Char Char Char Char Char Char Char Char Char Char2"/>
    <w:basedOn w:val="1"/>
    <w:qFormat/>
    <w:uiPriority w:val="0"/>
    <w:pPr>
      <w:widowControl w:val="0"/>
      <w:spacing w:line="240" w:lineRule="auto"/>
      <w:jc w:val="both"/>
    </w:pPr>
    <w:rPr>
      <w:rFonts w:ascii="Tahoma" w:hAnsi="Tahoma"/>
      <w:szCs w:val="20"/>
    </w:rPr>
  </w:style>
  <w:style w:type="paragraph" w:customStyle="1" w:styleId="2149">
    <w:name w:val="Char Char Char Char Char Char Char Char Char Char Char Char Char Char Char Char Char Char Char2"/>
    <w:basedOn w:val="1"/>
    <w:qFormat/>
    <w:uiPriority w:val="0"/>
    <w:pPr>
      <w:widowControl w:val="0"/>
      <w:spacing w:line="240" w:lineRule="auto"/>
      <w:jc w:val="both"/>
    </w:pPr>
    <w:rPr>
      <w:sz w:val="21"/>
      <w:szCs w:val="24"/>
    </w:rPr>
  </w:style>
  <w:style w:type="paragraph" w:customStyle="1" w:styleId="2150">
    <w:name w:val="Char Char1 Char Char Char Char Char Char Char2"/>
    <w:basedOn w:val="1"/>
    <w:qFormat/>
    <w:uiPriority w:val="0"/>
    <w:pPr>
      <w:spacing w:after="160" w:line="240" w:lineRule="exact"/>
    </w:pPr>
    <w:rPr>
      <w:szCs w:val="24"/>
    </w:rPr>
  </w:style>
  <w:style w:type="paragraph" w:customStyle="1" w:styleId="2151">
    <w:name w:val="修订2"/>
    <w:semiHidden/>
    <w:qFormat/>
    <w:uiPriority w:val="99"/>
    <w:rPr>
      <w:rFonts w:ascii="宋体" w:hAnsi="Calibri" w:eastAsia="宋体" w:cs="Times New Roman"/>
      <w:sz w:val="24"/>
      <w:lang w:val="en-US" w:eastAsia="zh-CN" w:bidi="ar-SA"/>
    </w:rPr>
  </w:style>
  <w:style w:type="paragraph" w:customStyle="1" w:styleId="2152">
    <w:name w:val="Other|1"/>
    <w:basedOn w:val="1"/>
    <w:qFormat/>
    <w:uiPriority w:val="0"/>
    <w:pPr>
      <w:widowControl w:val="0"/>
      <w:spacing w:line="384" w:lineRule="auto"/>
      <w:ind w:firstLine="400"/>
    </w:pPr>
    <w:rPr>
      <w:rFonts w:ascii="宋体" w:hAnsi="宋体" w:cs="宋体"/>
      <w:lang w:val="zh-TW" w:eastAsia="zh-TW" w:bidi="zh-TW"/>
    </w:rPr>
  </w:style>
  <w:style w:type="paragraph" w:customStyle="1" w:styleId="2153">
    <w:name w:val="Heading #4|1"/>
    <w:basedOn w:val="1"/>
    <w:qFormat/>
    <w:uiPriority w:val="0"/>
    <w:pPr>
      <w:widowControl w:val="0"/>
      <w:spacing w:line="441" w:lineRule="exact"/>
      <w:ind w:firstLine="470"/>
      <w:outlineLvl w:val="3"/>
    </w:pPr>
    <w:rPr>
      <w:rFonts w:ascii="宋体" w:hAnsi="宋体" w:cs="宋体"/>
      <w:b/>
      <w:bCs/>
      <w:lang w:val="zh-TW" w:eastAsia="zh-TW" w:bidi="zh-TW"/>
    </w:rPr>
  </w:style>
  <w:style w:type="paragraph" w:customStyle="1" w:styleId="2154">
    <w:name w:val="Body text|1"/>
    <w:basedOn w:val="1"/>
    <w:qFormat/>
    <w:uiPriority w:val="0"/>
    <w:pPr>
      <w:widowControl w:val="0"/>
      <w:spacing w:line="384" w:lineRule="auto"/>
      <w:ind w:firstLine="400"/>
    </w:pPr>
    <w:rPr>
      <w:rFonts w:ascii="宋体" w:hAnsi="宋体" w:cs="宋体"/>
      <w:lang w:val="zh-TW" w:eastAsia="zh-TW" w:bidi="zh-TW"/>
    </w:rPr>
  </w:style>
  <w:style w:type="paragraph" w:customStyle="1" w:styleId="2155">
    <w:name w:val="Other|2"/>
    <w:basedOn w:val="1"/>
    <w:qFormat/>
    <w:uiPriority w:val="0"/>
    <w:pPr>
      <w:widowControl w:val="0"/>
      <w:jc w:val="center"/>
    </w:pPr>
    <w:rPr>
      <w:rFonts w:ascii="宋体" w:hAnsi="宋体" w:cs="宋体"/>
      <w:b/>
      <w:bCs/>
      <w:sz w:val="18"/>
      <w:szCs w:val="18"/>
      <w:lang w:val="zh-TW" w:eastAsia="zh-TW" w:bidi="zh-TW"/>
    </w:rPr>
  </w:style>
  <w:style w:type="character" w:customStyle="1" w:styleId="2156">
    <w:name w:val="font101"/>
    <w:basedOn w:val="81"/>
    <w:qFormat/>
    <w:uiPriority w:val="0"/>
    <w:rPr>
      <w:rFonts w:hint="default" w:ascii="Times New Roman" w:hAnsi="Times New Roman" w:cs="Times New Roman"/>
      <w:color w:val="000000"/>
      <w:sz w:val="12"/>
      <w:szCs w:val="12"/>
      <w:u w:val="none"/>
    </w:rPr>
  </w:style>
  <w:style w:type="character" w:customStyle="1" w:styleId="2157">
    <w:name w:val="font111"/>
    <w:basedOn w:val="81"/>
    <w:qFormat/>
    <w:uiPriority w:val="0"/>
    <w:rPr>
      <w:rFonts w:hint="eastAsia" w:ascii="宋体" w:hAnsi="宋体" w:eastAsia="宋体" w:cs="宋体"/>
      <w:color w:val="000000"/>
      <w:sz w:val="18"/>
      <w:szCs w:val="18"/>
      <w:u w:val="none"/>
    </w:rPr>
  </w:style>
  <w:style w:type="paragraph" w:customStyle="1" w:styleId="2158">
    <w:name w:val="正文首行缩进 21"/>
    <w:basedOn w:val="3"/>
    <w:qFormat/>
    <w:uiPriority w:val="0"/>
    <w:pPr>
      <w:spacing w:before="100" w:beforeAutospacing="1" w:after="120" w:line="240" w:lineRule="auto"/>
      <w:ind w:left="420" w:leftChars="200" w:firstLine="420" w:firstLineChars="200"/>
    </w:pPr>
    <w:rPr>
      <w:rFonts w:ascii="宋体" w:hAnsi="宋体" w:eastAsia="宋体" w:cs="宋体"/>
      <w:snapToGrid/>
      <w:sz w:val="21"/>
      <w:szCs w:val="21"/>
    </w:rPr>
  </w:style>
  <w:style w:type="paragraph" w:customStyle="1" w:styleId="2159">
    <w:name w:val="环保表内字（五号）"/>
    <w:basedOn w:val="1"/>
    <w:qFormat/>
    <w:uiPriority w:val="0"/>
    <w:pPr>
      <w:widowControl w:val="0"/>
      <w:spacing w:line="0" w:lineRule="atLeast"/>
    </w:pPr>
    <w:rPr>
      <w:kern w:val="0"/>
      <w:sz w:val="21"/>
    </w:rPr>
  </w:style>
  <w:style w:type="paragraph" w:customStyle="1" w:styleId="2160">
    <w:name w:val="图片，环保"/>
    <w:basedOn w:val="1"/>
    <w:qFormat/>
    <w:uiPriority w:val="0"/>
    <w:pPr>
      <w:widowControl w:val="0"/>
      <w:adjustRightInd/>
      <w:snapToGrid/>
      <w:spacing w:beforeLines="50" w:after="100" w:afterAutospacing="1" w:line="240" w:lineRule="auto"/>
      <w:ind w:firstLine="482"/>
      <w:jc w:val="center"/>
    </w:pPr>
    <w:rPr>
      <w:rFonts w:ascii="宋体" w:hAnsi="宋体" w:cs="宋体"/>
      <w:kern w:val="0"/>
      <w:szCs w:val="24"/>
    </w:rPr>
  </w:style>
  <w:style w:type="paragraph" w:customStyle="1" w:styleId="2161">
    <w:name w:val="样式 正文文字缩进 + 行距: 1.5 倍行距 首行缩进:  1.98 字符"/>
    <w:basedOn w:val="3"/>
    <w:qFormat/>
    <w:uiPriority w:val="0"/>
    <w:pPr>
      <w:widowControl w:val="0"/>
      <w:spacing w:line="500" w:lineRule="exact"/>
      <w:ind w:firstLine="0"/>
      <w:jc w:val="both"/>
    </w:pPr>
    <w:rPr>
      <w:rFonts w:ascii="Times New Roman" w:eastAsia="宋体"/>
      <w:snapToGrid/>
      <w:sz w:val="24"/>
      <w:szCs w:val="24"/>
    </w:rPr>
  </w:style>
  <w:style w:type="paragraph" w:customStyle="1" w:styleId="2162">
    <w:name w:val="正文6"/>
    <w:qFormat/>
    <w:uiPriority w:val="0"/>
    <w:pPr>
      <w:jc w:val="both"/>
    </w:pPr>
    <w:rPr>
      <w:rFonts w:ascii="Calibri" w:hAnsi="Calibri" w:eastAsia="宋体" w:cs="Calibri"/>
      <w:kern w:val="2"/>
      <w:sz w:val="24"/>
      <w:szCs w:val="21"/>
      <w:lang w:val="en-US" w:eastAsia="zh-CN" w:bidi="ar-SA"/>
    </w:rPr>
  </w:style>
  <w:style w:type="paragraph" w:customStyle="1" w:styleId="2163">
    <w:name w:val="正文7"/>
    <w:qFormat/>
    <w:uiPriority w:val="0"/>
    <w:pPr>
      <w:jc w:val="both"/>
    </w:pPr>
    <w:rPr>
      <w:rFonts w:ascii="Times New Roman" w:hAnsi="Times New Roman" w:eastAsia="宋体" w:cs="Times New Roman"/>
      <w:kern w:val="2"/>
      <w:sz w:val="21"/>
      <w:szCs w:val="21"/>
      <w:lang w:val="en-US" w:eastAsia="zh-CN" w:bidi="ar-SA"/>
    </w:rPr>
  </w:style>
  <w:style w:type="paragraph" w:customStyle="1" w:styleId="2164">
    <w:name w:val="正文首行缩进 22"/>
    <w:basedOn w:val="3"/>
    <w:qFormat/>
    <w:uiPriority w:val="0"/>
    <w:pPr>
      <w:spacing w:before="100" w:beforeAutospacing="1" w:after="120" w:line="240" w:lineRule="auto"/>
      <w:ind w:left="420" w:leftChars="200" w:firstLine="420" w:firstLineChars="200"/>
    </w:pPr>
    <w:rPr>
      <w:rFonts w:ascii="宋体" w:hAnsi="宋体" w:eastAsia="宋体" w:cs="宋体"/>
      <w:snapToGrid/>
      <w:sz w:val="21"/>
      <w:szCs w:val="21"/>
    </w:rPr>
  </w:style>
  <w:style w:type="paragraph" w:customStyle="1" w:styleId="2165">
    <w:name w:val="列表段落3"/>
    <w:basedOn w:val="1"/>
    <w:qFormat/>
    <w:uiPriority w:val="0"/>
    <w:pPr>
      <w:ind w:firstLine="420"/>
    </w:pPr>
    <w:rPr>
      <w:szCs w:val="24"/>
    </w:rPr>
  </w:style>
  <w:style w:type="paragraph" w:customStyle="1" w:styleId="2166">
    <w:name w:val="正文8"/>
    <w:qFormat/>
    <w:uiPriority w:val="0"/>
    <w:pPr>
      <w:jc w:val="both"/>
    </w:pPr>
    <w:rPr>
      <w:rFonts w:ascii="Times New Roman" w:hAnsi="Times New Roman" w:eastAsia="宋体" w:cs="Times New Roman"/>
      <w:kern w:val="2"/>
      <w:sz w:val="21"/>
      <w:szCs w:val="21"/>
      <w:lang w:val="en-US" w:eastAsia="zh-CN" w:bidi="ar-SA"/>
    </w:rPr>
  </w:style>
  <w:style w:type="character" w:customStyle="1" w:styleId="2167">
    <w:name w:val="lable"/>
    <w:basedOn w:val="81"/>
    <w:qFormat/>
    <w:uiPriority w:val="0"/>
    <w:rPr>
      <w:sz w:val="19"/>
      <w:szCs w:val="19"/>
    </w:rPr>
  </w:style>
  <w:style w:type="character" w:customStyle="1" w:styleId="2168">
    <w:name w:val="cur"/>
    <w:basedOn w:val="81"/>
    <w:qFormat/>
    <w:uiPriority w:val="0"/>
    <w:rPr>
      <w:color w:val="FFFFFF"/>
      <w:shd w:val="clear" w:color="auto" w:fill="2F6B98"/>
    </w:rPr>
  </w:style>
  <w:style w:type="character" w:customStyle="1" w:styleId="2169">
    <w:name w:val="lishishuju"/>
    <w:basedOn w:val="81"/>
    <w:qFormat/>
    <w:uiPriority w:val="0"/>
    <w:rPr>
      <w:b/>
      <w:color w:val="000052"/>
      <w:sz w:val="19"/>
      <w:szCs w:val="19"/>
      <w:bdr w:val="single" w:color="E3E3E3" w:sz="4" w:space="0"/>
    </w:rPr>
  </w:style>
  <w:style w:type="character" w:customStyle="1" w:styleId="2170">
    <w:name w:val="radio-btn"/>
    <w:basedOn w:val="81"/>
    <w:qFormat/>
    <w:uiPriority w:val="0"/>
    <w:rPr>
      <w:sz w:val="16"/>
      <w:szCs w:val="16"/>
    </w:rPr>
  </w:style>
  <w:style w:type="character" w:customStyle="1" w:styleId="2171">
    <w:name w:val="radio-btn1"/>
    <w:basedOn w:val="81"/>
    <w:qFormat/>
    <w:uiPriority w:val="0"/>
    <w:rPr>
      <w:sz w:val="19"/>
      <w:szCs w:val="19"/>
    </w:rPr>
  </w:style>
  <w:style w:type="character" w:customStyle="1" w:styleId="2172">
    <w:name w:val="radio-btn2"/>
    <w:basedOn w:val="81"/>
    <w:qFormat/>
    <w:uiPriority w:val="0"/>
    <w:rPr>
      <w:sz w:val="19"/>
      <w:szCs w:val="19"/>
    </w:rPr>
  </w:style>
  <w:style w:type="character" w:customStyle="1" w:styleId="2173">
    <w:name w:val="znspantitle"/>
    <w:basedOn w:val="81"/>
    <w:qFormat/>
    <w:uiPriority w:val="0"/>
    <w:rPr>
      <w:b/>
      <w:color w:val="333333"/>
    </w:rPr>
  </w:style>
  <w:style w:type="paragraph" w:customStyle="1" w:styleId="2174">
    <w:name w:val="正文9"/>
    <w:qFormat/>
    <w:uiPriority w:val="0"/>
    <w:pPr>
      <w:jc w:val="both"/>
    </w:pPr>
    <w:rPr>
      <w:rFonts w:ascii="Calibri" w:hAnsi="Calibri" w:eastAsia="宋体" w:cs="Calibri"/>
      <w:kern w:val="2"/>
      <w:sz w:val="21"/>
      <w:szCs w:val="21"/>
      <w:lang w:val="en-US" w:eastAsia="zh-CN" w:bidi="ar-SA"/>
    </w:rPr>
  </w:style>
  <w:style w:type="paragraph" w:customStyle="1" w:styleId="2175">
    <w:name w:val="正文首行缩进 23"/>
    <w:basedOn w:val="3"/>
    <w:qFormat/>
    <w:uiPriority w:val="0"/>
    <w:pPr>
      <w:adjustRightInd/>
      <w:snapToGrid/>
      <w:spacing w:before="100" w:beforeAutospacing="1" w:after="120" w:line="240" w:lineRule="auto"/>
      <w:ind w:left="420" w:leftChars="200" w:firstLine="420" w:firstLineChars="200"/>
    </w:pPr>
    <w:rPr>
      <w:rFonts w:ascii="宋体" w:hAnsi="宋体" w:eastAsia="宋体" w:cs="宋体"/>
      <w:snapToGrid/>
      <w:sz w:val="21"/>
      <w:szCs w:val="21"/>
    </w:rPr>
  </w:style>
  <w:style w:type="paragraph" w:customStyle="1" w:styleId="2176">
    <w:name w:val="正文+编号"/>
    <w:basedOn w:val="1"/>
    <w:qFormat/>
    <w:uiPriority w:val="0"/>
    <w:pPr>
      <w:ind w:firstLine="482"/>
    </w:pPr>
    <w:rPr>
      <w:lang w:val="zh-CN"/>
    </w:rPr>
  </w:style>
  <w:style w:type="paragraph" w:customStyle="1" w:styleId="2177">
    <w:name w:val="正文图表标题"/>
    <w:basedOn w:val="1"/>
    <w:qFormat/>
    <w:uiPriority w:val="0"/>
  </w:style>
  <w:style w:type="paragraph" w:customStyle="1" w:styleId="2178">
    <w:name w:val="正文文本，表格"/>
    <w:basedOn w:val="1"/>
    <w:qFormat/>
    <w:uiPriority w:val="0"/>
    <w:pPr>
      <w:adjustRightInd/>
      <w:spacing w:line="240" w:lineRule="auto"/>
      <w:jc w:val="center"/>
    </w:pPr>
    <w:rPr>
      <w:rFonts w:cs="宋体"/>
      <w:sz w:val="21"/>
    </w:rPr>
  </w:style>
  <w:style w:type="paragraph" w:customStyle="1" w:styleId="2179">
    <w:name w:val="表格的标题"/>
    <w:basedOn w:val="528"/>
    <w:qFormat/>
    <w:uiPriority w:val="0"/>
    <w:pPr>
      <w:tabs>
        <w:tab w:val="right" w:leader="dot" w:pos="8296"/>
      </w:tabs>
    </w:pPr>
  </w:style>
  <w:style w:type="paragraph" w:customStyle="1" w:styleId="2180">
    <w:name w:val="表格内的字"/>
    <w:basedOn w:val="2181"/>
    <w:link w:val="2183"/>
    <w:qFormat/>
    <w:uiPriority w:val="0"/>
  </w:style>
  <w:style w:type="paragraph" w:customStyle="1" w:styleId="2181">
    <w:name w:val="表格的字"/>
    <w:basedOn w:val="1"/>
    <w:link w:val="2182"/>
    <w:qFormat/>
    <w:uiPriority w:val="0"/>
    <w:pPr>
      <w:spacing w:line="240" w:lineRule="auto"/>
      <w:jc w:val="center"/>
    </w:pPr>
    <w:rPr>
      <w:kern w:val="0"/>
      <w:sz w:val="21"/>
      <w:szCs w:val="20"/>
    </w:rPr>
  </w:style>
  <w:style w:type="character" w:customStyle="1" w:styleId="2182">
    <w:name w:val="表格的字 Char"/>
    <w:link w:val="2181"/>
    <w:qFormat/>
    <w:uiPriority w:val="0"/>
    <w:rPr>
      <w:sz w:val="21"/>
    </w:rPr>
  </w:style>
  <w:style w:type="character" w:customStyle="1" w:styleId="2183">
    <w:name w:val="表格内的字 Char"/>
    <w:basedOn w:val="2182"/>
    <w:link w:val="2180"/>
    <w:qFormat/>
    <w:uiPriority w:val="0"/>
  </w:style>
  <w:style w:type="paragraph" w:customStyle="1" w:styleId="2184">
    <w:name w:val="1正文"/>
    <w:link w:val="2185"/>
    <w:qFormat/>
    <w:uiPriority w:val="0"/>
    <w:pPr>
      <w:spacing w:line="500" w:lineRule="exact"/>
      <w:ind w:firstLine="480" w:firstLineChars="200"/>
      <w:jc w:val="both"/>
    </w:pPr>
    <w:rPr>
      <w:rFonts w:ascii="Times New Roman" w:hAnsi="Times New Roman" w:eastAsia="宋体" w:cs="Times New Roman"/>
      <w:kern w:val="2"/>
      <w:sz w:val="24"/>
      <w:szCs w:val="24"/>
      <w:lang w:val="en-US" w:eastAsia="zh-CN" w:bidi="ar-SA"/>
    </w:rPr>
  </w:style>
  <w:style w:type="character" w:customStyle="1" w:styleId="2185">
    <w:name w:val="1正文 Char"/>
    <w:link w:val="2184"/>
    <w:qFormat/>
    <w:uiPriority w:val="0"/>
    <w:rPr>
      <w:kern w:val="2"/>
      <w:sz w:val="24"/>
      <w:szCs w:val="24"/>
      <w:lang w:val="en-US" w:eastAsia="zh-CN" w:bidi="ar-SA"/>
    </w:rPr>
  </w:style>
  <w:style w:type="paragraph" w:customStyle="1" w:styleId="2186">
    <w:name w:val="表格内居中文字"/>
    <w:basedOn w:val="1"/>
    <w:qFormat/>
    <w:uiPriority w:val="0"/>
    <w:pPr>
      <w:spacing w:line="320" w:lineRule="exact"/>
      <w:jc w:val="center"/>
    </w:pPr>
    <w:rPr>
      <w:sz w:val="22"/>
      <w:szCs w:val="24"/>
    </w:rPr>
  </w:style>
  <w:style w:type="paragraph" w:customStyle="1" w:styleId="2187">
    <w:name w:val="涪陵正文"/>
    <w:basedOn w:val="507"/>
    <w:qFormat/>
    <w:uiPriority w:val="99"/>
    <w:pPr>
      <w:spacing w:line="288" w:lineRule="auto"/>
      <w:ind w:firstLine="480"/>
    </w:pPr>
    <w:rPr>
      <w:rFonts w:ascii="宋体" w:hAnsi="宋体"/>
    </w:rPr>
  </w:style>
  <w:style w:type="character" w:customStyle="1" w:styleId="2188">
    <w:name w:val="fontstyle01"/>
    <w:qFormat/>
    <w:uiPriority w:val="0"/>
    <w:rPr>
      <w:rFonts w:hint="eastAsia" w:ascii="宋体" w:hAnsi="宋体" w:eastAsia="宋体"/>
      <w:color w:val="000000"/>
      <w:sz w:val="24"/>
      <w:szCs w:val="24"/>
    </w:rPr>
  </w:style>
  <w:style w:type="paragraph" w:customStyle="1" w:styleId="2189">
    <w:name w:val="报告表标题"/>
    <w:basedOn w:val="2190"/>
    <w:qFormat/>
    <w:uiPriority w:val="0"/>
    <w:pPr>
      <w:ind w:firstLine="0" w:firstLineChars="0"/>
      <w:jc w:val="center"/>
    </w:pPr>
  </w:style>
  <w:style w:type="paragraph" w:customStyle="1" w:styleId="2190">
    <w:name w:val="报告表文本"/>
    <w:basedOn w:val="1"/>
    <w:qFormat/>
    <w:uiPriority w:val="0"/>
    <w:pPr>
      <w:autoSpaceDE w:val="0"/>
      <w:autoSpaceDN w:val="0"/>
      <w:ind w:firstLine="720" w:firstLineChars="200"/>
    </w:pPr>
    <w:rPr>
      <w:kern w:val="0"/>
    </w:rPr>
  </w:style>
  <w:style w:type="paragraph" w:customStyle="1" w:styleId="2191">
    <w:name w:val="表格中的文字"/>
    <w:basedOn w:val="1"/>
    <w:qFormat/>
    <w:uiPriority w:val="0"/>
    <w:pPr>
      <w:spacing w:line="240" w:lineRule="auto"/>
      <w:jc w:val="center"/>
    </w:pPr>
    <w:rPr>
      <w:sz w:val="21"/>
      <w:szCs w:val="22"/>
    </w:rPr>
  </w:style>
  <w:style w:type="paragraph" w:customStyle="1" w:styleId="2192">
    <w:name w:val="表格（窄）"/>
    <w:basedOn w:val="1"/>
    <w:qFormat/>
    <w:uiPriority w:val="0"/>
    <w:pPr>
      <w:adjustRightInd/>
      <w:snapToGrid/>
      <w:spacing w:line="240" w:lineRule="auto"/>
      <w:jc w:val="center"/>
    </w:pPr>
    <w:rPr>
      <w:kern w:val="0"/>
      <w:sz w:val="21"/>
      <w:szCs w:val="24"/>
    </w:rPr>
  </w:style>
  <w:style w:type="paragraph" w:customStyle="1" w:styleId="2193">
    <w:name w:val="纯文本5"/>
    <w:basedOn w:val="1"/>
    <w:qFormat/>
    <w:uiPriority w:val="0"/>
    <w:pPr>
      <w:adjustRightInd/>
      <w:snapToGrid/>
      <w:spacing w:line="240" w:lineRule="auto"/>
    </w:pPr>
    <w:rPr>
      <w:rFonts w:ascii="宋体" w:hAnsi="Courier New" w:cs="Courier New"/>
      <w:sz w:val="21"/>
    </w:rPr>
  </w:style>
  <w:style w:type="paragraph" w:customStyle="1" w:styleId="2194">
    <w:name w:val="样式 小四 行距: 固定值 16 磅"/>
    <w:basedOn w:val="1"/>
    <w:qFormat/>
    <w:uiPriority w:val="0"/>
    <w:pPr>
      <w:spacing w:line="400" w:lineRule="exact"/>
      <w:ind w:firstLine="480" w:firstLineChars="200"/>
    </w:pPr>
    <w:rPr>
      <w:rFonts w:ascii="Dutch801 Rm BT" w:hAnsi="Dutch801 Rm BT" w:cs="Dutch801 Rm BT"/>
      <w:szCs w:val="20"/>
    </w:rPr>
  </w:style>
  <w:style w:type="paragraph" w:customStyle="1" w:styleId="2195">
    <w:name w:val="zx正文"/>
    <w:basedOn w:val="1"/>
    <w:qFormat/>
    <w:uiPriority w:val="0"/>
    <w:pPr>
      <w:adjustRightInd/>
      <w:spacing w:line="440" w:lineRule="exact"/>
    </w:pPr>
    <w:rPr>
      <w:rFonts w:ascii="宋体" w:hAnsi="宋体" w:cs="Tahoma"/>
      <w:b/>
      <w:kern w:val="0"/>
      <w:sz w:val="28"/>
      <w:szCs w:val="28"/>
    </w:rPr>
  </w:style>
  <w:style w:type="paragraph" w:customStyle="1" w:styleId="2196">
    <w:name w:val="样式 (符号) 宋体 首行缩进:  2 字符"/>
    <w:basedOn w:val="1"/>
    <w:uiPriority w:val="0"/>
    <w:rPr>
      <w:rFonts w:hAnsi="宋体" w:cs="宋体"/>
      <w:szCs w:val="20"/>
    </w:rPr>
  </w:style>
  <w:style w:type="paragraph" w:customStyle="1" w:styleId="2197">
    <w:name w:val="样式 来福士 + 蓝色 首行缩进:  2 字符"/>
    <w:basedOn w:val="2198"/>
    <w:uiPriority w:val="0"/>
    <w:pPr>
      <w:ind w:firstLine="560"/>
    </w:pPr>
  </w:style>
  <w:style w:type="paragraph" w:customStyle="1" w:styleId="2198">
    <w:name w:val="来福士"/>
    <w:basedOn w:val="1"/>
    <w:link w:val="2199"/>
    <w:uiPriority w:val="0"/>
    <w:pPr>
      <w:ind w:firstLine="200" w:firstLineChars="200"/>
    </w:pPr>
    <w:rPr>
      <w:rFonts w:cs="宋体"/>
      <w:sz w:val="28"/>
      <w:szCs w:val="28"/>
    </w:rPr>
  </w:style>
  <w:style w:type="character" w:customStyle="1" w:styleId="2199">
    <w:name w:val="来福士 Char Char"/>
    <w:basedOn w:val="81"/>
    <w:link w:val="2198"/>
    <w:uiPriority w:val="0"/>
    <w:rPr>
      <w:rFonts w:eastAsia="宋体" w:cs="宋体"/>
      <w:kern w:val="2"/>
      <w:sz w:val="28"/>
      <w:szCs w:val="28"/>
      <w:lang w:val="en-US" w:eastAsia="zh-CN" w:bidi="ar-SA"/>
    </w:rPr>
  </w:style>
  <w:style w:type="character" w:customStyle="1" w:styleId="2200">
    <w:name w:val="样式 来福士 + 宋体 Char Char"/>
    <w:basedOn w:val="2199"/>
    <w:link w:val="2201"/>
    <w:uiPriority w:val="0"/>
    <w:rPr>
      <w:rFonts w:ascii="宋体" w:hAnsi="宋体"/>
    </w:rPr>
  </w:style>
  <w:style w:type="paragraph" w:customStyle="1" w:styleId="2201">
    <w:name w:val="样式 来福士 + 宋体"/>
    <w:basedOn w:val="2198"/>
    <w:link w:val="2200"/>
    <w:uiPriority w:val="0"/>
    <w:pPr>
      <w:ind w:firstLine="0" w:firstLineChars="0"/>
    </w:pPr>
    <w:rPr>
      <w:rFonts w:ascii="宋体" w:hAnsi="宋体"/>
    </w:rPr>
  </w:style>
  <w:style w:type="paragraph" w:customStyle="1" w:styleId="2202">
    <w:name w:val="Char13"/>
    <w:basedOn w:val="1"/>
    <w:uiPriority w:val="0"/>
    <w:rPr>
      <w:rFonts w:eastAsia="仿宋_GB2312"/>
      <w:b/>
      <w:kern w:val="0"/>
    </w:rPr>
  </w:style>
  <w:style w:type="paragraph" w:customStyle="1" w:styleId="2203">
    <w:name w:val="样式 样式1 + 段后: 7.8 磅"/>
    <w:basedOn w:val="362"/>
    <w:uiPriority w:val="0"/>
    <w:pPr>
      <w:spacing w:after="156"/>
    </w:pPr>
    <w:rPr>
      <w:rFonts w:cs="宋体"/>
      <w:bCs/>
    </w:rPr>
  </w:style>
  <w:style w:type="paragraph" w:customStyle="1" w:styleId="2204">
    <w:name w:val="A正文"/>
    <w:basedOn w:val="1"/>
    <w:uiPriority w:val="0"/>
    <w:pPr>
      <w:overflowPunct w:val="0"/>
      <w:autoSpaceDE w:val="0"/>
      <w:autoSpaceDN w:val="0"/>
      <w:snapToGrid/>
      <w:textAlignment w:val="baseline"/>
    </w:pPr>
    <w:rPr>
      <w:rFonts w:eastAsia="仿宋_GB2312"/>
      <w:kern w:val="0"/>
    </w:rPr>
  </w:style>
  <w:style w:type="paragraph" w:customStyle="1" w:styleId="2205">
    <w:name w:val="T表内字"/>
    <w:qFormat/>
    <w:uiPriority w:val="0"/>
    <w:pPr>
      <w:jc w:val="center"/>
    </w:pPr>
    <w:rPr>
      <w:rFonts w:ascii="Times New Roman" w:hAnsi="Times New Roman" w:eastAsia="宋体" w:cs="Times New Roman"/>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6.png"/><Relationship Id="rId4" Type="http://schemas.openxmlformats.org/officeDocument/2006/relationships/endnotes" Target="endnotes.xml"/><Relationship Id="rId39" Type="http://schemas.openxmlformats.org/officeDocument/2006/relationships/image" Target="media/image15.png"/><Relationship Id="rId38" Type="http://schemas.openxmlformats.org/officeDocument/2006/relationships/image" Target="media/image14.wmf"/><Relationship Id="rId37" Type="http://schemas.openxmlformats.org/officeDocument/2006/relationships/image" Target="media/image13.wmf"/><Relationship Id="rId36" Type="http://schemas.openxmlformats.org/officeDocument/2006/relationships/oleObject" Target="embeddings/oleObject7.bin"/><Relationship Id="rId35" Type="http://schemas.openxmlformats.org/officeDocument/2006/relationships/image" Target="media/image12.wmf"/><Relationship Id="rId34" Type="http://schemas.openxmlformats.org/officeDocument/2006/relationships/oleObject" Target="embeddings/oleObject6.bin"/><Relationship Id="rId33" Type="http://schemas.openxmlformats.org/officeDocument/2006/relationships/image" Target="media/image11.wmf"/><Relationship Id="rId32" Type="http://schemas.openxmlformats.org/officeDocument/2006/relationships/oleObject" Target="embeddings/oleObject5.bin"/><Relationship Id="rId31" Type="http://schemas.openxmlformats.org/officeDocument/2006/relationships/image" Target="media/image10.wmf"/><Relationship Id="rId30" Type="http://schemas.openxmlformats.org/officeDocument/2006/relationships/oleObject" Target="embeddings/oleObject4.bin"/><Relationship Id="rId3" Type="http://schemas.openxmlformats.org/officeDocument/2006/relationships/footnotes" Target="footnotes.xml"/><Relationship Id="rId29" Type="http://schemas.openxmlformats.org/officeDocument/2006/relationships/image" Target="media/image9.wmf"/><Relationship Id="rId28" Type="http://schemas.openxmlformats.org/officeDocument/2006/relationships/oleObject" Target="embeddings/oleObject3.bin"/><Relationship Id="rId27" Type="http://schemas.openxmlformats.org/officeDocument/2006/relationships/image" Target="media/image8.wmf"/><Relationship Id="rId26" Type="http://schemas.openxmlformats.org/officeDocument/2006/relationships/oleObject" Target="embeddings/oleObject2.bin"/><Relationship Id="rId25" Type="http://schemas.openxmlformats.org/officeDocument/2006/relationships/image" Target="media/image7.emf"/><Relationship Id="rId24" Type="http://schemas.openxmlformats.org/officeDocument/2006/relationships/oleObject" Target="embeddings/oleObject1.bin"/><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emf"/><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2"/>
    <customShpInfo spid="_x0000_s2053"/>
    <customShpInfo spid="_x0000_s2054"/>
    <customShpInfo spid="_x0000_s2049"/>
    <customShpInfo spid="_x0000_s2050"/>
    <customShpInfo spid="_x0000_s2051"/>
    <customShpInfo spid="_x0000_s1028"/>
    <customShpInfo spid="_x0000_s1032"/>
    <customShpInfo spid="_x0000_s1034"/>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重庆后科环保有限责任公司</Company>
  <Pages>166</Pages>
  <Words>104438</Words>
  <Characters>123275</Characters>
  <Lines>292</Lines>
  <Paragraphs>278</Paragraphs>
  <TotalTime>9</TotalTime>
  <ScaleCrop>false</ScaleCrop>
  <LinksUpToDate>false</LinksUpToDate>
  <CharactersWithSpaces>125992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2023-10-18T06:49:00Z</dcterms:created>
  <dc:creator>OCEAN</dc:creator>
  <cp:lastModifiedBy>彬</cp:lastModifiedBy>
  <cp:lastPrinted>2020-12-23T02:02:00Z</cp:lastPrinted>
  <dcterms:modified xsi:type="dcterms:W3CDTF">2024-08-14T00:20:45Z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718ED3EE7DCD4E24A7A2DF98520E1E82</vt:lpwstr>
  </property>
</Properties>
</file>